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7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陕西省恢复植被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林业生产条件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、</w:t>
      </w:r>
    </w:p>
    <w:p>
      <w:pPr>
        <w:adjustRightInd w:val="0"/>
        <w:snapToGrid w:val="0"/>
        <w:spacing w:after="312" w:afterLines="100" w:line="57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树木补种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标准（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为规范行政相对人履行法定义务及林业主管部门代履行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，根据《中华人民共和国森林法》（以下简称《森林法》）、《国家林业和草原局关于制定恢复植被和林业生产条件、树木补种标准的指导意见》（林办发〔2020〕94号）有关规定，结合我省实际，制定本标准。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一、适用范围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本标准适用于本省行政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行政相对人履行《森林法》第三十八条第二款规定的义务，履行林业主管部门依据《森林法》第七十三条第一款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第三款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第七十四条第一款、第二款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第七十六条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《森林防火条例》第五十三条作出的行政处罚规定的义务，以及林业主管部门依据《森林法》第八十一条第一款规定实施的代履行。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恢复植被和林业生产条件标准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（一）恢复原则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恢复植被和林业生产条件，以恢复林地土壤、恢复原有植被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不改变原有林地用途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为主要目标，实行原地、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等面积、不低于原质量恢复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，防止水土流失，避免立地条件恶化。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（二）恢复植被标准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植被恢复措施及施工工艺的选择应参照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《裸露坡面植被恢复技术规范》（GB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T 38360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2019）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《北方地区裸露边坡植被恢复技术规范》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（LY/T 2771-2016）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。树种选择应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当坚持适地适树原则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，优先采用与盗伐、滥伐和毁坏树种相同的树种或乡土树种种植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法种植乔木树种的，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人工种植或者直播、撒播灌木树种。种植乔木树种应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优先使用容器苗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使用Ⅰ、Ⅱ级苗。植物（林木）种子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质量应当达到《林木种子质量分级》（GB7908-1999）二级以上、苗木质量应当达到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《主要造林树种苗木质量分级》（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GB6000-1999、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DB61/T 378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-2006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规定的标准，初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植密度不低于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《造林技术规范》（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DB61/T 142-2021）规定的最低初植密度。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禁止从松材线虫病和美国白蛾疫区调运寄主植物。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）恢复林业生产条件标准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经批准临时使用林地期满或者擅自改变林地用途、违法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毁坏林地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恢复林业生产条件的，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按下列要求进行恢复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岩石裸露林地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由于采石、采砂、采土、采矿等造成林地破坏，土壤损失而变为岩石裸露地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通过覆盖物清除、地面平整、客土表土覆盖等工序恢复林地土壤。覆土厚度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30厘米以上，植穴处厚度不低于50厘米。恢复后的林地土壤质量和生产力水平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《土地复垦质量控制标准》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（TD／T 1036—2013）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损毁土地复垦质量要求”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对应部分。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受损林地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林地上有建（构）筑物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硬化路面、建筑地基、压占物等硬化层，底层土壤尚存在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通过拆除建（构）筑物、清除硬化层、疏松土壤等工序恢复林地土壤。土壤厚度不足30厘米的应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客土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恢复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至30厘米以上，植穴处厚度不低于50厘米。土壤质量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《土地复垦质量控制标准》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（TD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／T 1036—2013）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损毁土地复垦质量要求”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对应部分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3.塌陷林地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挖塘养殖、开挖水库等造成林地塌陷的，应当拆除养殖围栏及临时建筑物，平整清除塌陷坑周边的石块、杂物，回填塌陷坑穴，进行土地平整。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土壤质量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《土地复垦质量控制标准》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（TD／T 1036—2013）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损毁土地复垦质量要求”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对应部分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4.污染林地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污染林地应当根据《中华人民共和国土壤污染防治法》等有关规定进行除治。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无法消除污染物的，可通过采取工程措施铺设隔离层，再行覆土，覆土厚度一般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土壤质量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《土地复垦质量控制标准》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（TD／T 1036—2013）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损毁土地复垦质量要求”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对应部分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5.其他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其他毁坏林地的，按照《土地复垦质量控制标准》（TD/T1036—2013）中的“损毁土地复垦质量要求”执行。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（四）恢复期限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green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批准临时使用林地的，应当自使用期满之日起一年内完成恢复植被和林业生产条件的施工；其他情形下，综合考虑总体作业量、现场作业条件、当事人承受能力等因素，应当在作出行政处罚决定当年或次年内完成施工。恢复植被养护期限为3年。养护期结束时，恢复植被质量以小班为单元进行评价。株数保存率应不低于80%，年均降水量400 mm以下地区不低于65%。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三、补种树木标准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（一）补种原则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补种树木，以确保森林面积不减少、森林质量不下降为主要目标，通过种植不少于被盗伐、滥伐、毁坏、烧毁的林木株数的树木，恢复森林植被。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（二）补种地点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补种树木以原地补种为原则，原地无法满足补种株数要求的，可以异地补种。异地补种地点原则上相对集中连片、限定在违法行为发生地的同一行政区域内，由属地林业主管部门协商有关部门确定。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（三）补种标准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原地补种的，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应当优先选择原树种或者本地乡土树种；异地补种的，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补种地点周边森林类型和立地条件选择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适合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树种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林木种子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质量应当达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到《林木种子质量分级》（GB7908-1999）二级以上、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苗木质量应当达到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《主要造林树种苗木质量分级》（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GB6000-1999、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DB61/T 378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-2006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规定的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标准，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植密度不低于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《造林技术规范》（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DB61/T 142-2021）规定的最低初植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密度。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禁止从松材线虫病和美国白蛾疫区调运寄主植物。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（四）补种期限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补种树木原则上应在当年造林季节结束前完成，但作出行政处罚决定时，当年造林季节已结束或者在造林季节内难以完成的，可以延长至下一年度造林季节结束前完成。补种完成后，植被养护期限为3年。养护期结束时，恢复植被株数保存率应不低于80%，年均降水量400 mm以下地区不低于65%。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四、费用标准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恢复植被和林业生产条件以及补种树木的费用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按照当地实际合理成本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也可以参考相关标准测算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（一）按照实际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成本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测算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测算林业生产条件费用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包括：按照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本标准规定的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恢复林业生产条件质量和工序要求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实际需要的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费用。即恢复林业生产条件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作业设计费用，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林地地面清理费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边坡、坡面平整费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以及恢复林地土壤费用。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测算恢复植被费用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包括：按照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本标准规定的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恢复植被质量和工序要求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实际需要的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费用。即整地、造林费用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抚育管护费用。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测算补种树木费用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包括：按照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本标准规定的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补种树木质量和工序要求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实际需要的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即林地清理、整地、造林费用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抚育管护费用。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上述人工费以本县（市、区）当年行业平均用工价为标准进行计算，物质材料费以本县（市、区）当年市场平均价格或政府指导价为标准进行计算，作业设计费用和抚育管护费用按相关标准进行计算。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（二）参考相关标准测算。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恢复林业生产条件费用标准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参考我省土地复垦费的具体征收标准确定。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恢复植被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补种树木费用标准，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《陕西省财政厅 陕西省林业局关于印发&lt;陕西省森林植被恢复费征收使用管理实施办法&gt;的通知》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（陕财税〔2021〕10号）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具体征收标准确定。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参考以上标准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测算的费用明显偏离恢复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植被和林业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生产条件、补种树木实际成本的，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应当按照实际成本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（三）违法者自行承担。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规定标准和要求组织实施恢复植被和林业生产条件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补种树木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所需费用。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县级以上林业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主管部门负责监督验收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五、代履行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（一）代履行的条件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违法者拒不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恢复植被和林业生产条件、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拒不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补种树木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恢复植被和林业生产条件、补种树木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不符合国家有关规定的，由县级以上林业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依法组织代为履行。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（二）代履行的程序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违法者符合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代履行条件的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，由县级以上林业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依法发出《代履行催告书》，告知当事人的权利和义务；催告期限届满后当事人仍不履行或履行不符合有关规定的，由林业主管部门依法发出《代履行决定书》，代为履行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（三）代履行的费用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除恢复植被和林业生产条件、树木补种的成本费用外，还应包括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规定的生态环境损害调查、鉴定、评估等费用，以及为防止损害发生和扩大所支出的合理费用。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 xml:space="preserve"> 六、其他要求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（一）恢复植被和林业生产条件、树木补种质量验收，由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县级以上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林业主管部门组织完成。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（二）本标准所列标准、规范性文件，如有新修订或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规定，按新修订或新规定执行。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本标准自印发之日起施行。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 w:tentative="0">
      <w:start w:val="1"/>
      <w:numFmt w:val="decimal"/>
      <w:pStyle w:val="16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auto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79"/>
    <w:rsid w:val="000269EB"/>
    <w:rsid w:val="000516BF"/>
    <w:rsid w:val="000714AA"/>
    <w:rsid w:val="000A4A5C"/>
    <w:rsid w:val="00110AB1"/>
    <w:rsid w:val="00137CD8"/>
    <w:rsid w:val="001A7CA9"/>
    <w:rsid w:val="00240375"/>
    <w:rsid w:val="00253A69"/>
    <w:rsid w:val="00255428"/>
    <w:rsid w:val="002B75F5"/>
    <w:rsid w:val="002D42DC"/>
    <w:rsid w:val="003013F9"/>
    <w:rsid w:val="00307B41"/>
    <w:rsid w:val="00341EF1"/>
    <w:rsid w:val="003E711A"/>
    <w:rsid w:val="0044436F"/>
    <w:rsid w:val="004F16D3"/>
    <w:rsid w:val="005A7DE2"/>
    <w:rsid w:val="005F504B"/>
    <w:rsid w:val="00616A1D"/>
    <w:rsid w:val="006306B1"/>
    <w:rsid w:val="006A1542"/>
    <w:rsid w:val="00784D21"/>
    <w:rsid w:val="00797336"/>
    <w:rsid w:val="007A118F"/>
    <w:rsid w:val="007B7C8F"/>
    <w:rsid w:val="007D281A"/>
    <w:rsid w:val="007D2F7F"/>
    <w:rsid w:val="007D2FF9"/>
    <w:rsid w:val="007F0733"/>
    <w:rsid w:val="007F40EC"/>
    <w:rsid w:val="00803D86"/>
    <w:rsid w:val="00833849"/>
    <w:rsid w:val="00833FD3"/>
    <w:rsid w:val="008A2413"/>
    <w:rsid w:val="008C1F1B"/>
    <w:rsid w:val="00933112"/>
    <w:rsid w:val="00964AEA"/>
    <w:rsid w:val="00A1349E"/>
    <w:rsid w:val="00A158CC"/>
    <w:rsid w:val="00A8030D"/>
    <w:rsid w:val="00A95D7D"/>
    <w:rsid w:val="00AA22F6"/>
    <w:rsid w:val="00AB60C3"/>
    <w:rsid w:val="00AC3697"/>
    <w:rsid w:val="00B62635"/>
    <w:rsid w:val="00B86350"/>
    <w:rsid w:val="00C22FD3"/>
    <w:rsid w:val="00C8220F"/>
    <w:rsid w:val="00D71E23"/>
    <w:rsid w:val="00E53F93"/>
    <w:rsid w:val="00E75887"/>
    <w:rsid w:val="00E91197"/>
    <w:rsid w:val="00EB3EEE"/>
    <w:rsid w:val="00EB721B"/>
    <w:rsid w:val="00FC7314"/>
    <w:rsid w:val="00FF3179"/>
    <w:rsid w:val="01484834"/>
    <w:rsid w:val="019A0B04"/>
    <w:rsid w:val="019E2A11"/>
    <w:rsid w:val="01A27902"/>
    <w:rsid w:val="03CD0F87"/>
    <w:rsid w:val="042C443A"/>
    <w:rsid w:val="042C7925"/>
    <w:rsid w:val="04361AA3"/>
    <w:rsid w:val="04A95892"/>
    <w:rsid w:val="04A96B57"/>
    <w:rsid w:val="04FE5071"/>
    <w:rsid w:val="0577176E"/>
    <w:rsid w:val="0591227F"/>
    <w:rsid w:val="05D825BB"/>
    <w:rsid w:val="06FA4A67"/>
    <w:rsid w:val="076159D3"/>
    <w:rsid w:val="07A45F85"/>
    <w:rsid w:val="07F023F8"/>
    <w:rsid w:val="07FD3504"/>
    <w:rsid w:val="08CC0C16"/>
    <w:rsid w:val="08F835BB"/>
    <w:rsid w:val="093B60F5"/>
    <w:rsid w:val="0A3723BC"/>
    <w:rsid w:val="0A8425B5"/>
    <w:rsid w:val="0A985C03"/>
    <w:rsid w:val="0B24788B"/>
    <w:rsid w:val="0B997803"/>
    <w:rsid w:val="0C336921"/>
    <w:rsid w:val="0C541392"/>
    <w:rsid w:val="0C7B7F42"/>
    <w:rsid w:val="0C850385"/>
    <w:rsid w:val="0CE12BD5"/>
    <w:rsid w:val="0D1B7228"/>
    <w:rsid w:val="0D2F316D"/>
    <w:rsid w:val="0D4B251A"/>
    <w:rsid w:val="0D7A6A3E"/>
    <w:rsid w:val="0D876E90"/>
    <w:rsid w:val="0D967843"/>
    <w:rsid w:val="0DB7644E"/>
    <w:rsid w:val="0E1964BC"/>
    <w:rsid w:val="0E576A2E"/>
    <w:rsid w:val="0ECA509C"/>
    <w:rsid w:val="0EE806FD"/>
    <w:rsid w:val="0F247068"/>
    <w:rsid w:val="0F50398D"/>
    <w:rsid w:val="0F8F2A8A"/>
    <w:rsid w:val="106E4B46"/>
    <w:rsid w:val="10EB209C"/>
    <w:rsid w:val="115716B7"/>
    <w:rsid w:val="121254DA"/>
    <w:rsid w:val="123E651E"/>
    <w:rsid w:val="12401E97"/>
    <w:rsid w:val="12776534"/>
    <w:rsid w:val="127D08DE"/>
    <w:rsid w:val="12AB47CF"/>
    <w:rsid w:val="12AE4342"/>
    <w:rsid w:val="12E96252"/>
    <w:rsid w:val="12EF5F59"/>
    <w:rsid w:val="131A0569"/>
    <w:rsid w:val="131F16BB"/>
    <w:rsid w:val="132425F9"/>
    <w:rsid w:val="133130B7"/>
    <w:rsid w:val="139D79A5"/>
    <w:rsid w:val="13D64D3B"/>
    <w:rsid w:val="13DD5B3E"/>
    <w:rsid w:val="14647C63"/>
    <w:rsid w:val="146C5FF5"/>
    <w:rsid w:val="146D5D4F"/>
    <w:rsid w:val="14FF0696"/>
    <w:rsid w:val="158B72C8"/>
    <w:rsid w:val="15B61A14"/>
    <w:rsid w:val="16130500"/>
    <w:rsid w:val="161A06BA"/>
    <w:rsid w:val="1649547C"/>
    <w:rsid w:val="16B45F55"/>
    <w:rsid w:val="16B66272"/>
    <w:rsid w:val="16F76BEC"/>
    <w:rsid w:val="170C49C5"/>
    <w:rsid w:val="17312967"/>
    <w:rsid w:val="178A47B0"/>
    <w:rsid w:val="179502CD"/>
    <w:rsid w:val="17C30E1E"/>
    <w:rsid w:val="18207916"/>
    <w:rsid w:val="184F30CC"/>
    <w:rsid w:val="18F86FA9"/>
    <w:rsid w:val="191B3F69"/>
    <w:rsid w:val="1954639F"/>
    <w:rsid w:val="19892C55"/>
    <w:rsid w:val="19CF7D31"/>
    <w:rsid w:val="19DFB3D6"/>
    <w:rsid w:val="1AC86DD1"/>
    <w:rsid w:val="1ADE6625"/>
    <w:rsid w:val="1AFFAD74"/>
    <w:rsid w:val="1B1F1FA2"/>
    <w:rsid w:val="1B5648D9"/>
    <w:rsid w:val="1B6C42A4"/>
    <w:rsid w:val="1C52165E"/>
    <w:rsid w:val="1CAC0140"/>
    <w:rsid w:val="1E355DDB"/>
    <w:rsid w:val="1EC6601D"/>
    <w:rsid w:val="1F172829"/>
    <w:rsid w:val="1FB74AFD"/>
    <w:rsid w:val="1FF7F3B2"/>
    <w:rsid w:val="20454629"/>
    <w:rsid w:val="2072537E"/>
    <w:rsid w:val="20910F8F"/>
    <w:rsid w:val="20C515E4"/>
    <w:rsid w:val="20D31DB7"/>
    <w:rsid w:val="21732217"/>
    <w:rsid w:val="22017DF4"/>
    <w:rsid w:val="22053128"/>
    <w:rsid w:val="221715A7"/>
    <w:rsid w:val="223C4E45"/>
    <w:rsid w:val="22693E8F"/>
    <w:rsid w:val="22A326B1"/>
    <w:rsid w:val="22BE2DF5"/>
    <w:rsid w:val="23A23202"/>
    <w:rsid w:val="23A275BB"/>
    <w:rsid w:val="240429B0"/>
    <w:rsid w:val="24211053"/>
    <w:rsid w:val="24421138"/>
    <w:rsid w:val="247C017C"/>
    <w:rsid w:val="248F0241"/>
    <w:rsid w:val="25651D14"/>
    <w:rsid w:val="25D077D0"/>
    <w:rsid w:val="25E1224B"/>
    <w:rsid w:val="262003E4"/>
    <w:rsid w:val="263524AB"/>
    <w:rsid w:val="26522606"/>
    <w:rsid w:val="26A35307"/>
    <w:rsid w:val="26AA35CE"/>
    <w:rsid w:val="26BF440E"/>
    <w:rsid w:val="2771076E"/>
    <w:rsid w:val="27B4090F"/>
    <w:rsid w:val="27B8684B"/>
    <w:rsid w:val="27F97C7F"/>
    <w:rsid w:val="285E0A29"/>
    <w:rsid w:val="286E564D"/>
    <w:rsid w:val="28CE592E"/>
    <w:rsid w:val="296550F4"/>
    <w:rsid w:val="296E71E7"/>
    <w:rsid w:val="29DE6F87"/>
    <w:rsid w:val="29F5164B"/>
    <w:rsid w:val="2B2C73FE"/>
    <w:rsid w:val="2C052148"/>
    <w:rsid w:val="2C2159B7"/>
    <w:rsid w:val="2C6D7EE4"/>
    <w:rsid w:val="2C88196D"/>
    <w:rsid w:val="2CC662FB"/>
    <w:rsid w:val="2CD119ED"/>
    <w:rsid w:val="2D807F7E"/>
    <w:rsid w:val="2E46728B"/>
    <w:rsid w:val="2E537482"/>
    <w:rsid w:val="2F0964D0"/>
    <w:rsid w:val="2F3E11CE"/>
    <w:rsid w:val="2F433E70"/>
    <w:rsid w:val="2F7470B4"/>
    <w:rsid w:val="2FAFC689"/>
    <w:rsid w:val="2FBB05F7"/>
    <w:rsid w:val="2FFAFDCC"/>
    <w:rsid w:val="302A1A34"/>
    <w:rsid w:val="30340223"/>
    <w:rsid w:val="304F4C66"/>
    <w:rsid w:val="30779EB0"/>
    <w:rsid w:val="30B425ED"/>
    <w:rsid w:val="30CC6470"/>
    <w:rsid w:val="317F29DC"/>
    <w:rsid w:val="31B82A48"/>
    <w:rsid w:val="32061A80"/>
    <w:rsid w:val="321B13B2"/>
    <w:rsid w:val="322865B2"/>
    <w:rsid w:val="32370D24"/>
    <w:rsid w:val="32A84E28"/>
    <w:rsid w:val="32CC60F1"/>
    <w:rsid w:val="3303665D"/>
    <w:rsid w:val="336828E8"/>
    <w:rsid w:val="33857396"/>
    <w:rsid w:val="339D74AC"/>
    <w:rsid w:val="33BE476B"/>
    <w:rsid w:val="33ED782E"/>
    <w:rsid w:val="35320855"/>
    <w:rsid w:val="3586527F"/>
    <w:rsid w:val="361F210F"/>
    <w:rsid w:val="367F229B"/>
    <w:rsid w:val="370015C6"/>
    <w:rsid w:val="37102F52"/>
    <w:rsid w:val="37231EAA"/>
    <w:rsid w:val="378F5794"/>
    <w:rsid w:val="379B69D4"/>
    <w:rsid w:val="37AF0BC8"/>
    <w:rsid w:val="37E1381A"/>
    <w:rsid w:val="37FB5EA3"/>
    <w:rsid w:val="37FDD965"/>
    <w:rsid w:val="38237A3F"/>
    <w:rsid w:val="38252580"/>
    <w:rsid w:val="38455582"/>
    <w:rsid w:val="38586CE6"/>
    <w:rsid w:val="389812AB"/>
    <w:rsid w:val="392D2577"/>
    <w:rsid w:val="3A8F5264"/>
    <w:rsid w:val="3AB7A324"/>
    <w:rsid w:val="3B00794B"/>
    <w:rsid w:val="3B3555A8"/>
    <w:rsid w:val="3B5D291D"/>
    <w:rsid w:val="3B693974"/>
    <w:rsid w:val="3C023CD5"/>
    <w:rsid w:val="3C5F0FF8"/>
    <w:rsid w:val="3D077C8C"/>
    <w:rsid w:val="3D331613"/>
    <w:rsid w:val="3D3644B4"/>
    <w:rsid w:val="3D753F99"/>
    <w:rsid w:val="3D76719B"/>
    <w:rsid w:val="3D8F4B69"/>
    <w:rsid w:val="3DA17146"/>
    <w:rsid w:val="3DD5715B"/>
    <w:rsid w:val="3E661C8B"/>
    <w:rsid w:val="3FCE49AF"/>
    <w:rsid w:val="3FF55C4B"/>
    <w:rsid w:val="3FFB1931"/>
    <w:rsid w:val="40123146"/>
    <w:rsid w:val="401D619D"/>
    <w:rsid w:val="408D097D"/>
    <w:rsid w:val="40945A3A"/>
    <w:rsid w:val="40AA22EF"/>
    <w:rsid w:val="40EF3183"/>
    <w:rsid w:val="415770E1"/>
    <w:rsid w:val="41600035"/>
    <w:rsid w:val="41880D91"/>
    <w:rsid w:val="41D7432A"/>
    <w:rsid w:val="43530405"/>
    <w:rsid w:val="43563151"/>
    <w:rsid w:val="437D3B27"/>
    <w:rsid w:val="43892C7B"/>
    <w:rsid w:val="4394320C"/>
    <w:rsid w:val="44786914"/>
    <w:rsid w:val="44B71A70"/>
    <w:rsid w:val="450F5606"/>
    <w:rsid w:val="453D1B2F"/>
    <w:rsid w:val="455D17E6"/>
    <w:rsid w:val="45632700"/>
    <w:rsid w:val="45687B91"/>
    <w:rsid w:val="45F97E54"/>
    <w:rsid w:val="46DD5631"/>
    <w:rsid w:val="47113173"/>
    <w:rsid w:val="476477EC"/>
    <w:rsid w:val="47A74FEF"/>
    <w:rsid w:val="483B0A95"/>
    <w:rsid w:val="486C1BF5"/>
    <w:rsid w:val="488039B6"/>
    <w:rsid w:val="48AA78EF"/>
    <w:rsid w:val="48BF401F"/>
    <w:rsid w:val="49021F3A"/>
    <w:rsid w:val="49583E5E"/>
    <w:rsid w:val="49842214"/>
    <w:rsid w:val="498D48A5"/>
    <w:rsid w:val="49C3771F"/>
    <w:rsid w:val="49D97A18"/>
    <w:rsid w:val="4A055501"/>
    <w:rsid w:val="4A162EDA"/>
    <w:rsid w:val="4A9E73F7"/>
    <w:rsid w:val="4AD70214"/>
    <w:rsid w:val="4B0C3A10"/>
    <w:rsid w:val="4B752B85"/>
    <w:rsid w:val="4BC92EE0"/>
    <w:rsid w:val="4BE23F8A"/>
    <w:rsid w:val="4C4C4C28"/>
    <w:rsid w:val="4C4E2CCF"/>
    <w:rsid w:val="4CC147CF"/>
    <w:rsid w:val="4D1F5FA3"/>
    <w:rsid w:val="4DC35C95"/>
    <w:rsid w:val="4E3B3CEB"/>
    <w:rsid w:val="4E7F7BE9"/>
    <w:rsid w:val="4E8E0D90"/>
    <w:rsid w:val="4EB15F71"/>
    <w:rsid w:val="4EB54193"/>
    <w:rsid w:val="4F1F3F48"/>
    <w:rsid w:val="4F310761"/>
    <w:rsid w:val="4F3743EF"/>
    <w:rsid w:val="4F645905"/>
    <w:rsid w:val="4F6C6190"/>
    <w:rsid w:val="4F701E74"/>
    <w:rsid w:val="4FF7B28F"/>
    <w:rsid w:val="502316FC"/>
    <w:rsid w:val="50915A2E"/>
    <w:rsid w:val="50974A26"/>
    <w:rsid w:val="509E7EFB"/>
    <w:rsid w:val="50A00266"/>
    <w:rsid w:val="50A4187D"/>
    <w:rsid w:val="513EAFC9"/>
    <w:rsid w:val="51844954"/>
    <w:rsid w:val="51A60D7B"/>
    <w:rsid w:val="51DC073D"/>
    <w:rsid w:val="51E55E4B"/>
    <w:rsid w:val="51F14279"/>
    <w:rsid w:val="520D3878"/>
    <w:rsid w:val="53137104"/>
    <w:rsid w:val="531F273E"/>
    <w:rsid w:val="532612E9"/>
    <w:rsid w:val="53605EF0"/>
    <w:rsid w:val="5362105A"/>
    <w:rsid w:val="538B721E"/>
    <w:rsid w:val="53DB4AAF"/>
    <w:rsid w:val="544E18DD"/>
    <w:rsid w:val="54D638D7"/>
    <w:rsid w:val="54F618AE"/>
    <w:rsid w:val="54F7618D"/>
    <w:rsid w:val="550F2EB6"/>
    <w:rsid w:val="552C1BB4"/>
    <w:rsid w:val="55586BDC"/>
    <w:rsid w:val="56261A94"/>
    <w:rsid w:val="57087EAA"/>
    <w:rsid w:val="573E508C"/>
    <w:rsid w:val="57675A38"/>
    <w:rsid w:val="577D92B4"/>
    <w:rsid w:val="5781534D"/>
    <w:rsid w:val="578A5BA2"/>
    <w:rsid w:val="57C25BB5"/>
    <w:rsid w:val="584738DB"/>
    <w:rsid w:val="587120BC"/>
    <w:rsid w:val="58941773"/>
    <w:rsid w:val="58DC0D72"/>
    <w:rsid w:val="592E20A2"/>
    <w:rsid w:val="59323486"/>
    <w:rsid w:val="59347D3C"/>
    <w:rsid w:val="593C482A"/>
    <w:rsid w:val="594C79E8"/>
    <w:rsid w:val="596549D4"/>
    <w:rsid w:val="59D94E19"/>
    <w:rsid w:val="5AAD1D3E"/>
    <w:rsid w:val="5AC104C5"/>
    <w:rsid w:val="5B1C41B5"/>
    <w:rsid w:val="5B546865"/>
    <w:rsid w:val="5B6A335C"/>
    <w:rsid w:val="5BC7492C"/>
    <w:rsid w:val="5BCF6DFF"/>
    <w:rsid w:val="5BEB1478"/>
    <w:rsid w:val="5BEE10A9"/>
    <w:rsid w:val="5BEE1107"/>
    <w:rsid w:val="5C2E6B0E"/>
    <w:rsid w:val="5C897632"/>
    <w:rsid w:val="5CAC4C16"/>
    <w:rsid w:val="5CD11488"/>
    <w:rsid w:val="5CD7281F"/>
    <w:rsid w:val="5D2B314B"/>
    <w:rsid w:val="5D3D4AF8"/>
    <w:rsid w:val="5DE435F2"/>
    <w:rsid w:val="5E081DB9"/>
    <w:rsid w:val="5E311E53"/>
    <w:rsid w:val="5E546715"/>
    <w:rsid w:val="5EB342BC"/>
    <w:rsid w:val="5EDB492F"/>
    <w:rsid w:val="5EFB3D96"/>
    <w:rsid w:val="5EFFD15C"/>
    <w:rsid w:val="5F9EA673"/>
    <w:rsid w:val="5FCE0849"/>
    <w:rsid w:val="5FEFDA4C"/>
    <w:rsid w:val="5FFDA645"/>
    <w:rsid w:val="60600030"/>
    <w:rsid w:val="609758A7"/>
    <w:rsid w:val="61243546"/>
    <w:rsid w:val="62436880"/>
    <w:rsid w:val="62534A3D"/>
    <w:rsid w:val="62A4518A"/>
    <w:rsid w:val="62CF50E6"/>
    <w:rsid w:val="62F803A4"/>
    <w:rsid w:val="6314068A"/>
    <w:rsid w:val="635172BE"/>
    <w:rsid w:val="63912E52"/>
    <w:rsid w:val="63D22D4B"/>
    <w:rsid w:val="64692CDB"/>
    <w:rsid w:val="647C1157"/>
    <w:rsid w:val="64A11A6C"/>
    <w:rsid w:val="651253AF"/>
    <w:rsid w:val="655D7559"/>
    <w:rsid w:val="65636FF7"/>
    <w:rsid w:val="66130C42"/>
    <w:rsid w:val="66797398"/>
    <w:rsid w:val="66975FD2"/>
    <w:rsid w:val="66B71753"/>
    <w:rsid w:val="66FC4402"/>
    <w:rsid w:val="67212EB4"/>
    <w:rsid w:val="675F2137"/>
    <w:rsid w:val="67870C1E"/>
    <w:rsid w:val="678E0A0D"/>
    <w:rsid w:val="68B42443"/>
    <w:rsid w:val="694449EA"/>
    <w:rsid w:val="698A4458"/>
    <w:rsid w:val="69AA18A3"/>
    <w:rsid w:val="69DF007C"/>
    <w:rsid w:val="69F37FA0"/>
    <w:rsid w:val="6A7F7A76"/>
    <w:rsid w:val="6ABC4B51"/>
    <w:rsid w:val="6B104DB3"/>
    <w:rsid w:val="6B324108"/>
    <w:rsid w:val="6BE26CC4"/>
    <w:rsid w:val="6C140B9A"/>
    <w:rsid w:val="6C9F4236"/>
    <w:rsid w:val="6D4B34FA"/>
    <w:rsid w:val="6D7D1609"/>
    <w:rsid w:val="6D8E4D02"/>
    <w:rsid w:val="6D9B6206"/>
    <w:rsid w:val="6DC58E86"/>
    <w:rsid w:val="6DFF3C5F"/>
    <w:rsid w:val="6E4618E7"/>
    <w:rsid w:val="6EAE4CC2"/>
    <w:rsid w:val="6ED636ED"/>
    <w:rsid w:val="6F012854"/>
    <w:rsid w:val="6F8D6B68"/>
    <w:rsid w:val="6F97E143"/>
    <w:rsid w:val="6FF7A9FB"/>
    <w:rsid w:val="70B103F3"/>
    <w:rsid w:val="70E27196"/>
    <w:rsid w:val="70EC0617"/>
    <w:rsid w:val="70FD407E"/>
    <w:rsid w:val="70FE1CDB"/>
    <w:rsid w:val="70FE5769"/>
    <w:rsid w:val="710C6C66"/>
    <w:rsid w:val="711047AD"/>
    <w:rsid w:val="71A73858"/>
    <w:rsid w:val="71D1487A"/>
    <w:rsid w:val="72330E69"/>
    <w:rsid w:val="72A3686F"/>
    <w:rsid w:val="72BFC6EF"/>
    <w:rsid w:val="72F11343"/>
    <w:rsid w:val="7405090D"/>
    <w:rsid w:val="753B0532"/>
    <w:rsid w:val="75B10EBB"/>
    <w:rsid w:val="75E9068D"/>
    <w:rsid w:val="764F756D"/>
    <w:rsid w:val="76530844"/>
    <w:rsid w:val="768656CA"/>
    <w:rsid w:val="76DC4B74"/>
    <w:rsid w:val="76F718C5"/>
    <w:rsid w:val="771069BC"/>
    <w:rsid w:val="7733AEA2"/>
    <w:rsid w:val="77417438"/>
    <w:rsid w:val="774B0FE7"/>
    <w:rsid w:val="77BF687E"/>
    <w:rsid w:val="77C88C2B"/>
    <w:rsid w:val="77FF4A65"/>
    <w:rsid w:val="782437ED"/>
    <w:rsid w:val="78706639"/>
    <w:rsid w:val="78CB1B7D"/>
    <w:rsid w:val="790F5EDE"/>
    <w:rsid w:val="79215340"/>
    <w:rsid w:val="79561636"/>
    <w:rsid w:val="79626D4D"/>
    <w:rsid w:val="7965290C"/>
    <w:rsid w:val="79690426"/>
    <w:rsid w:val="797865CF"/>
    <w:rsid w:val="79A458EE"/>
    <w:rsid w:val="79D82A45"/>
    <w:rsid w:val="79F70BD2"/>
    <w:rsid w:val="7A3426FB"/>
    <w:rsid w:val="7A704B32"/>
    <w:rsid w:val="7A7D133C"/>
    <w:rsid w:val="7A993951"/>
    <w:rsid w:val="7AE707F6"/>
    <w:rsid w:val="7B6F4FAE"/>
    <w:rsid w:val="7B7F72CE"/>
    <w:rsid w:val="7BC650E7"/>
    <w:rsid w:val="7BFF3EB3"/>
    <w:rsid w:val="7C211364"/>
    <w:rsid w:val="7C976A71"/>
    <w:rsid w:val="7D060E57"/>
    <w:rsid w:val="7D0A054A"/>
    <w:rsid w:val="7D213B7A"/>
    <w:rsid w:val="7D7210A2"/>
    <w:rsid w:val="7DB44134"/>
    <w:rsid w:val="7DEB0992"/>
    <w:rsid w:val="7DEE1EDF"/>
    <w:rsid w:val="7DFE40AE"/>
    <w:rsid w:val="7E534863"/>
    <w:rsid w:val="7EA9E9C9"/>
    <w:rsid w:val="7EAF5A01"/>
    <w:rsid w:val="7EE31300"/>
    <w:rsid w:val="7EEBF2C2"/>
    <w:rsid w:val="7EF62CD4"/>
    <w:rsid w:val="7F4636F2"/>
    <w:rsid w:val="7F69BE08"/>
    <w:rsid w:val="7F8F5E50"/>
    <w:rsid w:val="7F8F7672"/>
    <w:rsid w:val="7F937CF7"/>
    <w:rsid w:val="7FA9307A"/>
    <w:rsid w:val="7FAD903F"/>
    <w:rsid w:val="7FBF4D57"/>
    <w:rsid w:val="7FFF7EDC"/>
    <w:rsid w:val="8DEFDDDB"/>
    <w:rsid w:val="9DDD7022"/>
    <w:rsid w:val="9E7F8677"/>
    <w:rsid w:val="9FFA652A"/>
    <w:rsid w:val="AF3FFEDA"/>
    <w:rsid w:val="B8BB415F"/>
    <w:rsid w:val="BC7F8C67"/>
    <w:rsid w:val="BEFFB0C1"/>
    <w:rsid w:val="BF7CBDD8"/>
    <w:rsid w:val="BF9EF7F4"/>
    <w:rsid w:val="BFFF28D1"/>
    <w:rsid w:val="CBAF0F39"/>
    <w:rsid w:val="CF1FB2AF"/>
    <w:rsid w:val="D2771096"/>
    <w:rsid w:val="DB7BA23F"/>
    <w:rsid w:val="DDFB72BF"/>
    <w:rsid w:val="DEFBC2A8"/>
    <w:rsid w:val="DF7FA145"/>
    <w:rsid w:val="DFFEF7F2"/>
    <w:rsid w:val="E2ADDB4E"/>
    <w:rsid w:val="E5D5F82B"/>
    <w:rsid w:val="EB0F938F"/>
    <w:rsid w:val="ECF58670"/>
    <w:rsid w:val="EE7B9784"/>
    <w:rsid w:val="EFDC54B5"/>
    <w:rsid w:val="EFEF42C5"/>
    <w:rsid w:val="EFFF94E2"/>
    <w:rsid w:val="F37F5DA5"/>
    <w:rsid w:val="F5DB719D"/>
    <w:rsid w:val="F76BBB1A"/>
    <w:rsid w:val="F7F766B6"/>
    <w:rsid w:val="F7F77EE5"/>
    <w:rsid w:val="F8CBEC0A"/>
    <w:rsid w:val="FAF3B6B9"/>
    <w:rsid w:val="FBF18FD2"/>
    <w:rsid w:val="FBF9B5DB"/>
    <w:rsid w:val="FBFDA920"/>
    <w:rsid w:val="FD3EAE6B"/>
    <w:rsid w:val="FDF6BFFE"/>
    <w:rsid w:val="FE9B4DED"/>
    <w:rsid w:val="FED5010B"/>
    <w:rsid w:val="FEEF43C7"/>
    <w:rsid w:val="FEF5A4E0"/>
    <w:rsid w:val="FEFF0750"/>
    <w:rsid w:val="FF3EB9A4"/>
    <w:rsid w:val="FF7F0AA7"/>
    <w:rsid w:val="FFEF5908"/>
    <w:rsid w:val="FFF7A411"/>
    <w:rsid w:val="FFFB5141"/>
    <w:rsid w:val="FFFE7A8E"/>
    <w:rsid w:val="FF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段 + 首行缩进:  2 字符"/>
    <w:basedOn w:val="10"/>
    <w:qFormat/>
    <w:uiPriority w:val="0"/>
    <w:pPr>
      <w:tabs>
        <w:tab w:val="center" w:pos="4201"/>
        <w:tab w:val="right" w:leader="dot" w:pos="9298"/>
      </w:tabs>
    </w:pPr>
    <w:rPr>
      <w:rFonts w:cs="宋体"/>
      <w:szCs w:val="21"/>
    </w:rPr>
  </w:style>
  <w:style w:type="paragraph" w:customStyle="1" w:styleId="10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3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 Char"/>
    <w:link w:val="10"/>
    <w:qFormat/>
    <w:uiPriority w:val="0"/>
    <w:rPr>
      <w:rFonts w:ascii="宋体"/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章标题"/>
    <w:next w:val="10"/>
    <w:qFormat/>
    <w:uiPriority w:val="0"/>
    <w:pPr>
      <w:numPr>
        <w:ilvl w:val="0"/>
        <w:numId w:val="2"/>
      </w:numPr>
      <w:spacing w:beforeLines="100" w:afterLines="100"/>
      <w:ind w:left="852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一级条标题"/>
    <w:next w:val="10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二级条标题"/>
    <w:basedOn w:val="17"/>
    <w:next w:val="10"/>
    <w:qFormat/>
    <w:uiPriority w:val="0"/>
    <w:pPr>
      <w:numPr>
        <w:ilvl w:val="2"/>
      </w:numPr>
      <w:spacing w:before="50" w:beforeLines="0" w:after="50" w:afterLines="0"/>
      <w:outlineLvl w:val="3"/>
    </w:pPr>
  </w:style>
  <w:style w:type="character" w:customStyle="1" w:styleId="19">
    <w:name w:val="fontstyle01"/>
    <w:basedOn w:val="7"/>
    <w:qFormat/>
    <w:uiPriority w:val="0"/>
    <w:rPr>
      <w:rFonts w:hint="eastAsia" w:ascii="黑体" w:hAnsi="黑体" w:eastAsia="黑体"/>
      <w:color w:val="000000"/>
      <w:sz w:val="28"/>
      <w:szCs w:val="28"/>
    </w:rPr>
  </w:style>
  <w:style w:type="paragraph" w:customStyle="1" w:styleId="20">
    <w:name w:val="四级条标题"/>
    <w:basedOn w:val="1"/>
    <w:next w:val="10"/>
    <w:qFormat/>
    <w:uiPriority w:val="0"/>
    <w:pPr>
      <w:widowControl/>
      <w:spacing w:before="50" w:beforeLines="50" w:after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21">
    <w:name w:val="二级无"/>
    <w:basedOn w:val="18"/>
    <w:qFormat/>
    <w:uiPriority w:val="0"/>
    <w:pPr>
      <w:numPr>
        <w:ilvl w:val="0"/>
        <w:numId w:val="0"/>
      </w:numPr>
      <w:spacing w:before="0" w:after="0"/>
    </w:pPr>
    <w:rPr>
      <w:rFonts w:ascii="宋体" w:eastAsia="宋体"/>
    </w:rPr>
  </w:style>
  <w:style w:type="paragraph" w:customStyle="1" w:styleId="22">
    <w:name w:val="五级条标题"/>
    <w:basedOn w:val="20"/>
    <w:next w:val="10"/>
    <w:qFormat/>
    <w:uiPriority w:val="0"/>
    <w:pPr>
      <w:outlineLvl w:val="6"/>
    </w:pPr>
  </w:style>
  <w:style w:type="paragraph" w:customStyle="1" w:styleId="23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543</Words>
  <Characters>3097</Characters>
  <Lines>25</Lines>
  <Paragraphs>7</Paragraphs>
  <TotalTime>25</TotalTime>
  <ScaleCrop>false</ScaleCrop>
  <LinksUpToDate>false</LinksUpToDate>
  <CharactersWithSpaces>3633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2021-12-05T15:34:00Z</dcterms:created>
  <dc:creator>hp</dc:creator>
  <cp:lastModifiedBy>刘蕾</cp:lastModifiedBy>
  <dcterms:modified xsi:type="dcterms:W3CDTF">2022-05-19T07:07:17Z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