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仿宋_GB2312" w:eastAsia="仿宋_GB2312" w:hAnsiTheme="minorEastAsia" w:cstheme="minorEastAsia"/>
          <w:sz w:val="32"/>
          <w:szCs w:val="32"/>
        </w:rPr>
      </w:pPr>
      <w:bookmarkStart w:id="1" w:name="_GoBack"/>
      <w:bookmarkEnd w:id="1"/>
    </w:p>
    <w:p>
      <w:pPr>
        <w:spacing w:line="570" w:lineRule="exact"/>
        <w:jc w:val="center"/>
        <w:rPr>
          <w:rFonts w:ascii="仿宋_GB2312" w:eastAsia="仿宋_GB2312" w:hAnsiTheme="minorEastAsia" w:cstheme="minorEastAsia"/>
          <w:sz w:val="32"/>
          <w:szCs w:val="32"/>
        </w:rPr>
      </w:pPr>
    </w:p>
    <w:p>
      <w:pPr>
        <w:spacing w:line="570" w:lineRule="exact"/>
        <w:jc w:val="center"/>
        <w:rPr>
          <w:rFonts w:asciiTheme="minorEastAsia" w:hAnsiTheme="minorEastAsia" w:cstheme="minorEastAsia"/>
          <w:sz w:val="44"/>
          <w:szCs w:val="44"/>
        </w:rPr>
      </w:pPr>
      <w:r>
        <w:rPr>
          <w:rFonts w:hint="eastAsia" w:asciiTheme="minorEastAsia" w:hAnsiTheme="minorEastAsia" w:cstheme="minorEastAsia"/>
          <w:sz w:val="44"/>
          <w:szCs w:val="44"/>
        </w:rPr>
        <w:t>陕西省人民政府关于不得举行</w:t>
      </w:r>
    </w:p>
    <w:p>
      <w:pPr>
        <w:spacing w:line="570" w:lineRule="exact"/>
        <w:jc w:val="center"/>
        <w:rPr>
          <w:rFonts w:asciiTheme="minorEastAsia" w:hAnsiTheme="minorEastAsia" w:cstheme="minorEastAsia"/>
          <w:sz w:val="44"/>
          <w:szCs w:val="44"/>
        </w:rPr>
      </w:pPr>
      <w:r>
        <w:rPr>
          <w:rFonts w:hint="eastAsia" w:asciiTheme="minorEastAsia" w:hAnsiTheme="minorEastAsia" w:cstheme="minorEastAsia"/>
          <w:sz w:val="44"/>
          <w:szCs w:val="44"/>
        </w:rPr>
        <w:t>集会游行示威场所具体周边距离的规定</w:t>
      </w:r>
    </w:p>
    <w:p>
      <w:pPr>
        <w:spacing w:line="570" w:lineRule="exact"/>
        <w:ind w:firstLine="640" w:firstLineChars="200"/>
        <w:rPr>
          <w:rFonts w:ascii="楷体_GB2312" w:hAnsi="楷体"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 </w:t>
      </w:r>
      <w:r>
        <w:rPr>
          <w:rFonts w:hint="eastAsia" w:ascii="楷体_GB2312" w:hAnsi="楷体" w:eastAsia="楷体_GB2312" w:cs="楷体_GB2312"/>
          <w:color w:val="333333"/>
          <w:sz w:val="32"/>
          <w:szCs w:val="32"/>
          <w:shd w:val="clear" w:color="auto" w:fill="FFFFFF"/>
        </w:rPr>
        <w:t>(</w:t>
      </w:r>
      <w:r>
        <w:rPr>
          <w:rFonts w:ascii="楷体_GB2312" w:hAnsi="楷体" w:eastAsia="楷体_GB2312" w:cs="Times New Roman"/>
          <w:color w:val="000000"/>
          <w:kern w:val="0"/>
          <w:sz w:val="32"/>
          <w:szCs w:val="32"/>
        </w:rPr>
        <w:t>1990</w:t>
      </w:r>
      <w:r>
        <w:rPr>
          <w:rFonts w:hint="eastAsia" w:ascii="楷体_GB2312" w:hAnsi="楷体" w:eastAsia="楷体_GB2312" w:cs="Times New Roman"/>
          <w:color w:val="000000"/>
          <w:kern w:val="0"/>
          <w:sz w:val="32"/>
          <w:szCs w:val="32"/>
        </w:rPr>
        <w:t>年4月30日陕西省人民政府令第</w:t>
      </w:r>
      <w:r>
        <w:rPr>
          <w:rFonts w:ascii="楷体_GB2312" w:hAnsi="楷体" w:eastAsia="楷体_GB2312" w:cs="Times New Roman"/>
          <w:color w:val="000000"/>
          <w:kern w:val="0"/>
          <w:sz w:val="32"/>
          <w:szCs w:val="32"/>
        </w:rPr>
        <w:t>1</w:t>
      </w:r>
      <w:r>
        <w:rPr>
          <w:rFonts w:hint="eastAsia" w:ascii="楷体_GB2312" w:hAnsi="楷体" w:eastAsia="楷体_GB2312" w:cs="Times New Roman"/>
          <w:color w:val="000000"/>
          <w:kern w:val="0"/>
          <w:sz w:val="32"/>
          <w:szCs w:val="32"/>
        </w:rPr>
        <w:t xml:space="preserve">号公布 </w:t>
      </w:r>
      <w:r>
        <w:rPr>
          <w:rFonts w:ascii="楷体_GB2312" w:hAnsi="楷体" w:eastAsia="楷体_GB2312" w:cs="Times New Roman"/>
          <w:color w:val="000000"/>
          <w:kern w:val="0"/>
          <w:sz w:val="32"/>
          <w:szCs w:val="32"/>
        </w:rPr>
        <w:t xml:space="preserve"> </w:t>
      </w:r>
      <w:r>
        <w:rPr>
          <w:rFonts w:hint="eastAsia" w:ascii="楷体_GB2312" w:hAnsi="楷体" w:eastAsia="楷体_GB2312" w:cs="Times New Roman"/>
          <w:color w:val="000000"/>
          <w:kern w:val="0"/>
          <w:sz w:val="32"/>
          <w:szCs w:val="32"/>
        </w:rPr>
        <w:t>根据2011年2月25日陕西省人民政府令第148号修订</w:t>
      </w:r>
      <w:r>
        <w:rPr>
          <w:rFonts w:hint="eastAsia" w:ascii="楷体_GB2312" w:hAnsi="楷体" w:eastAsia="楷体_GB2312" w:cs="楷体_GB2312"/>
          <w:color w:val="333333"/>
          <w:sz w:val="32"/>
          <w:szCs w:val="32"/>
          <w:shd w:val="clear" w:color="auto" w:fill="FFFFFF"/>
        </w:rPr>
        <w:t>)</w:t>
      </w:r>
    </w:p>
    <w:p>
      <w:pPr>
        <w:spacing w:line="570" w:lineRule="exact"/>
        <w:rPr>
          <w:rFonts w:ascii="黑体" w:hAnsi="黑体" w:eastAsia="黑体" w:cs="宋体"/>
          <w:color w:val="333333"/>
          <w:sz w:val="32"/>
          <w:szCs w:val="32"/>
          <w:shd w:val="clear" w:color="auto" w:fill="FFFFFF"/>
        </w:rPr>
      </w:pPr>
    </w:p>
    <w:p>
      <w:pPr>
        <w:spacing w:line="570" w:lineRule="exact"/>
        <w:ind w:firstLine="640" w:firstLineChars="200"/>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根据《中华人民共和国集会游行示威法》第二十三条和《陕西省实施中华人民共和国集会游行示威法办法》第十九条的规定，现对我省行政区域内非经省人民政府批准，不得举行集会、游行、示威场所的具体周边距离等事项作如下规定：</w:t>
      </w:r>
    </w:p>
    <w:p>
      <w:pPr>
        <w:spacing w:line="570" w:lineRule="exact"/>
        <w:ind w:firstLine="640" w:firstLineChars="200"/>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一、非经省人民政府批准，不得举行集会、游行、示威场所的具体周边距离：</w:t>
      </w:r>
    </w:p>
    <w:p>
      <w:pPr>
        <w:spacing w:line="570" w:lineRule="exact"/>
        <w:ind w:firstLine="640" w:firstLineChars="200"/>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1.国宾来陕西临时下榻处周边距离三百米以内的公共道路和露天公共场所；</w:t>
      </w:r>
    </w:p>
    <w:p>
      <w:pPr>
        <w:spacing w:line="570" w:lineRule="exact"/>
        <w:ind w:firstLine="640" w:firstLineChars="200"/>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2.西安火车站以南广场及东、西八路口以北的解放路路段以东、以西各三百米以内的公共道路和露天公共场所；</w:t>
      </w:r>
    </w:p>
    <w:p>
      <w:pPr>
        <w:spacing w:line="570" w:lineRule="exact"/>
        <w:ind w:firstLine="640" w:firstLineChars="200"/>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3.宝鸡火车站以南二百零三米、由西端向东长度二百七十米以内的公共道路和露天公共场所；</w:t>
      </w:r>
    </w:p>
    <w:p>
      <w:pPr>
        <w:spacing w:line="570" w:lineRule="exact"/>
        <w:ind w:firstLine="640" w:firstLineChars="200"/>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咸阳火车站周边距离二百米以内的公共道路和露天公共场所；</w:t>
      </w:r>
    </w:p>
    <w:p>
      <w:pPr>
        <w:spacing w:line="570" w:lineRule="exact"/>
        <w:ind w:firstLine="640" w:firstLineChars="200"/>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铜川火车站以西十米，以南、以北各一百五十米以内的公共道路和露天公共场所；</w:t>
      </w:r>
    </w:p>
    <w:p>
      <w:pPr>
        <w:spacing w:line="570" w:lineRule="exact"/>
        <w:ind w:firstLine="640" w:firstLineChars="200"/>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渭南火车站以北一百七十米，以南五十米，以西各一百米以内的公共道路和露天公共场所；</w:t>
      </w:r>
    </w:p>
    <w:p>
      <w:pPr>
        <w:spacing w:line="570" w:lineRule="exact"/>
        <w:ind w:firstLine="640" w:firstLineChars="200"/>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汉中火车站、安康火车站周边距离一百米以内的公共道路和露天公共场所；</w:t>
      </w:r>
    </w:p>
    <w:p>
      <w:pPr>
        <w:spacing w:line="570" w:lineRule="exact"/>
        <w:ind w:firstLine="640" w:firstLineChars="200"/>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其他各火车站周边五十米以内的公共道路和露天公共场所。</w:t>
      </w:r>
    </w:p>
    <w:p>
      <w:pPr>
        <w:spacing w:line="570" w:lineRule="exact"/>
        <w:ind w:firstLine="640" w:firstLineChars="200"/>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4. 西安咸阳国际机场；</w:t>
      </w:r>
    </w:p>
    <w:p>
      <w:pPr>
        <w:spacing w:line="570" w:lineRule="exact"/>
        <w:ind w:firstLine="640" w:firstLineChars="200"/>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咸阳、汉中、安康、延安、榆林等民用飞机场周边距离三百米以内的公共道路和露天公共场所。</w:t>
      </w:r>
    </w:p>
    <w:p>
      <w:pPr>
        <w:spacing w:line="570" w:lineRule="exact"/>
        <w:ind w:firstLine="640" w:firstLineChars="200"/>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5.重要军事设施周边距离三百米以内的公共道路和露天公共场所。</w:t>
      </w:r>
    </w:p>
    <w:p>
      <w:pPr>
        <w:spacing w:line="570" w:lineRule="exact"/>
        <w:ind w:firstLine="640" w:firstLineChars="200"/>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重要军事设施按中央军事委员会划定为准。</w:t>
      </w:r>
    </w:p>
    <w:p>
      <w:pPr>
        <w:spacing w:line="570" w:lineRule="exact"/>
        <w:ind w:firstLine="640" w:firstLineChars="200"/>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二、未经省人民政府批准，在本规定第一项划定的具体周边距离范围内，举行集会、游行、示威的，按照《中华人民共和国集会游行示威法》和《陕西省实施中华人民共和国集会游行示威法办法》追究法律责任。</w:t>
      </w:r>
    </w:p>
    <w:p>
      <w:pPr>
        <w:spacing w:line="570" w:lineRule="exact"/>
        <w:ind w:firstLine="640" w:firstLineChars="200"/>
        <w:rPr>
          <w:rFonts w:hint="eastAsia"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三、本规定自一九九○年五月一日起施行。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陕西省人民政府发布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1" name="图片 1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0" w:name="_Hlk91518048"/>
    <w:r>
      <w:rPr>
        <w:rFonts w:hint="eastAsia" w:ascii="宋体" w:hAnsi="宋体" w:eastAsia="宋体" w:cs="宋体"/>
        <w:b/>
        <w:bCs/>
        <w:color w:val="005192"/>
        <w:sz w:val="32"/>
        <w:szCs w:val="32"/>
      </w:rPr>
      <w:t>陕西省人民政府</w:t>
    </w:r>
    <w:bookmarkEnd w:id="0"/>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2C8"/>
    <w:rsid w:val="00015FF5"/>
    <w:rsid w:val="000179AB"/>
    <w:rsid w:val="0003492C"/>
    <w:rsid w:val="00045270"/>
    <w:rsid w:val="00046993"/>
    <w:rsid w:val="000567CA"/>
    <w:rsid w:val="000577DD"/>
    <w:rsid w:val="000674F0"/>
    <w:rsid w:val="00077FA1"/>
    <w:rsid w:val="00082A6A"/>
    <w:rsid w:val="0009640A"/>
    <w:rsid w:val="000B3957"/>
    <w:rsid w:val="000C0D40"/>
    <w:rsid w:val="000C446F"/>
    <w:rsid w:val="000C6FBD"/>
    <w:rsid w:val="000D5FCF"/>
    <w:rsid w:val="000E01DF"/>
    <w:rsid w:val="000E466B"/>
    <w:rsid w:val="000F0374"/>
    <w:rsid w:val="000F3B66"/>
    <w:rsid w:val="000F7E2E"/>
    <w:rsid w:val="0011027E"/>
    <w:rsid w:val="00134907"/>
    <w:rsid w:val="00141111"/>
    <w:rsid w:val="00154C8D"/>
    <w:rsid w:val="00170348"/>
    <w:rsid w:val="00172A27"/>
    <w:rsid w:val="00187633"/>
    <w:rsid w:val="00196A77"/>
    <w:rsid w:val="001A3828"/>
    <w:rsid w:val="001C28B0"/>
    <w:rsid w:val="001C42E2"/>
    <w:rsid w:val="001C529D"/>
    <w:rsid w:val="001C543C"/>
    <w:rsid w:val="001D2C2A"/>
    <w:rsid w:val="001E5F86"/>
    <w:rsid w:val="001F5394"/>
    <w:rsid w:val="002027B8"/>
    <w:rsid w:val="002029AC"/>
    <w:rsid w:val="002063AC"/>
    <w:rsid w:val="002108C8"/>
    <w:rsid w:val="00213A3A"/>
    <w:rsid w:val="00213EA4"/>
    <w:rsid w:val="0023005C"/>
    <w:rsid w:val="00236629"/>
    <w:rsid w:val="00240DFD"/>
    <w:rsid w:val="00245867"/>
    <w:rsid w:val="0024710B"/>
    <w:rsid w:val="00251598"/>
    <w:rsid w:val="00251E7D"/>
    <w:rsid w:val="00264F77"/>
    <w:rsid w:val="0027445A"/>
    <w:rsid w:val="00290C75"/>
    <w:rsid w:val="00295A00"/>
    <w:rsid w:val="00297F8B"/>
    <w:rsid w:val="002A576F"/>
    <w:rsid w:val="002B5203"/>
    <w:rsid w:val="002B7BBA"/>
    <w:rsid w:val="002D3223"/>
    <w:rsid w:val="002D4311"/>
    <w:rsid w:val="002D6D3A"/>
    <w:rsid w:val="002E6258"/>
    <w:rsid w:val="002F02A2"/>
    <w:rsid w:val="002F08DA"/>
    <w:rsid w:val="002F23D8"/>
    <w:rsid w:val="002F2B80"/>
    <w:rsid w:val="002F3BEE"/>
    <w:rsid w:val="002F4768"/>
    <w:rsid w:val="00300A70"/>
    <w:rsid w:val="0030175E"/>
    <w:rsid w:val="0030273D"/>
    <w:rsid w:val="0031306B"/>
    <w:rsid w:val="003151B0"/>
    <w:rsid w:val="00342CF9"/>
    <w:rsid w:val="0036697B"/>
    <w:rsid w:val="0036781B"/>
    <w:rsid w:val="00382135"/>
    <w:rsid w:val="003940DC"/>
    <w:rsid w:val="003A107A"/>
    <w:rsid w:val="003D2906"/>
    <w:rsid w:val="003E6F33"/>
    <w:rsid w:val="003F2D22"/>
    <w:rsid w:val="003F615D"/>
    <w:rsid w:val="00406878"/>
    <w:rsid w:val="0042059D"/>
    <w:rsid w:val="00420D42"/>
    <w:rsid w:val="00443E5A"/>
    <w:rsid w:val="00473AB9"/>
    <w:rsid w:val="0049069E"/>
    <w:rsid w:val="004B05F0"/>
    <w:rsid w:val="004B6C6B"/>
    <w:rsid w:val="004B798C"/>
    <w:rsid w:val="004D05DB"/>
    <w:rsid w:val="004D2ED0"/>
    <w:rsid w:val="004D324F"/>
    <w:rsid w:val="004D5222"/>
    <w:rsid w:val="004D5BB5"/>
    <w:rsid w:val="004E0A97"/>
    <w:rsid w:val="004E55F3"/>
    <w:rsid w:val="004F21CC"/>
    <w:rsid w:val="004F4233"/>
    <w:rsid w:val="005170C1"/>
    <w:rsid w:val="00541D5E"/>
    <w:rsid w:val="00543D45"/>
    <w:rsid w:val="00551D1C"/>
    <w:rsid w:val="0055270E"/>
    <w:rsid w:val="00553859"/>
    <w:rsid w:val="005650BC"/>
    <w:rsid w:val="005704E2"/>
    <w:rsid w:val="00571448"/>
    <w:rsid w:val="0057521D"/>
    <w:rsid w:val="005767A1"/>
    <w:rsid w:val="00581317"/>
    <w:rsid w:val="00582F83"/>
    <w:rsid w:val="00596066"/>
    <w:rsid w:val="005A7BF0"/>
    <w:rsid w:val="005B172A"/>
    <w:rsid w:val="005C26F8"/>
    <w:rsid w:val="005D6405"/>
    <w:rsid w:val="005E2D42"/>
    <w:rsid w:val="005F08CC"/>
    <w:rsid w:val="005F6A50"/>
    <w:rsid w:val="00602F3B"/>
    <w:rsid w:val="006041F2"/>
    <w:rsid w:val="0060702A"/>
    <w:rsid w:val="00610C81"/>
    <w:rsid w:val="0061717D"/>
    <w:rsid w:val="006208E5"/>
    <w:rsid w:val="0062602D"/>
    <w:rsid w:val="00627A5F"/>
    <w:rsid w:val="00641B22"/>
    <w:rsid w:val="00641F4E"/>
    <w:rsid w:val="00647BF9"/>
    <w:rsid w:val="00651B54"/>
    <w:rsid w:val="00665742"/>
    <w:rsid w:val="0067287B"/>
    <w:rsid w:val="006C6ED0"/>
    <w:rsid w:val="006C752B"/>
    <w:rsid w:val="006D109B"/>
    <w:rsid w:val="006E1ADC"/>
    <w:rsid w:val="006E1BBC"/>
    <w:rsid w:val="006E48E1"/>
    <w:rsid w:val="006F0375"/>
    <w:rsid w:val="0071019F"/>
    <w:rsid w:val="00711D83"/>
    <w:rsid w:val="0071594D"/>
    <w:rsid w:val="00744087"/>
    <w:rsid w:val="00751763"/>
    <w:rsid w:val="00752648"/>
    <w:rsid w:val="00752757"/>
    <w:rsid w:val="00754135"/>
    <w:rsid w:val="007622BB"/>
    <w:rsid w:val="00762F01"/>
    <w:rsid w:val="00764226"/>
    <w:rsid w:val="00771665"/>
    <w:rsid w:val="00773877"/>
    <w:rsid w:val="00783221"/>
    <w:rsid w:val="007846C6"/>
    <w:rsid w:val="0079152F"/>
    <w:rsid w:val="0079337D"/>
    <w:rsid w:val="007938BF"/>
    <w:rsid w:val="00794921"/>
    <w:rsid w:val="00796A26"/>
    <w:rsid w:val="007A51DB"/>
    <w:rsid w:val="007A7922"/>
    <w:rsid w:val="007B666B"/>
    <w:rsid w:val="007C438B"/>
    <w:rsid w:val="007D116D"/>
    <w:rsid w:val="007D5EE7"/>
    <w:rsid w:val="007E2757"/>
    <w:rsid w:val="007F607A"/>
    <w:rsid w:val="008009A1"/>
    <w:rsid w:val="008024B3"/>
    <w:rsid w:val="008152EB"/>
    <w:rsid w:val="00844A02"/>
    <w:rsid w:val="00845545"/>
    <w:rsid w:val="008525AE"/>
    <w:rsid w:val="00853A8A"/>
    <w:rsid w:val="00854687"/>
    <w:rsid w:val="008573FA"/>
    <w:rsid w:val="00870B2B"/>
    <w:rsid w:val="00870E76"/>
    <w:rsid w:val="0087150A"/>
    <w:rsid w:val="0087396B"/>
    <w:rsid w:val="00881698"/>
    <w:rsid w:val="008829E1"/>
    <w:rsid w:val="008876BC"/>
    <w:rsid w:val="00891B2B"/>
    <w:rsid w:val="00892FF1"/>
    <w:rsid w:val="00895341"/>
    <w:rsid w:val="008A7406"/>
    <w:rsid w:val="008B0075"/>
    <w:rsid w:val="008D671E"/>
    <w:rsid w:val="008F3F5E"/>
    <w:rsid w:val="008F5D36"/>
    <w:rsid w:val="009007BB"/>
    <w:rsid w:val="009013D3"/>
    <w:rsid w:val="00907E93"/>
    <w:rsid w:val="0091694C"/>
    <w:rsid w:val="00924BEE"/>
    <w:rsid w:val="00936EFD"/>
    <w:rsid w:val="009549BB"/>
    <w:rsid w:val="00965949"/>
    <w:rsid w:val="00975F04"/>
    <w:rsid w:val="00987B27"/>
    <w:rsid w:val="0099079F"/>
    <w:rsid w:val="009926B1"/>
    <w:rsid w:val="00994D4C"/>
    <w:rsid w:val="00997AFA"/>
    <w:rsid w:val="009A243B"/>
    <w:rsid w:val="009B0DCE"/>
    <w:rsid w:val="009C4B74"/>
    <w:rsid w:val="00A01E13"/>
    <w:rsid w:val="00A056C3"/>
    <w:rsid w:val="00A05D64"/>
    <w:rsid w:val="00A13856"/>
    <w:rsid w:val="00A13C1D"/>
    <w:rsid w:val="00A34EF5"/>
    <w:rsid w:val="00A35990"/>
    <w:rsid w:val="00A36424"/>
    <w:rsid w:val="00A364A1"/>
    <w:rsid w:val="00A42F2A"/>
    <w:rsid w:val="00A44F21"/>
    <w:rsid w:val="00A50AAD"/>
    <w:rsid w:val="00A531F8"/>
    <w:rsid w:val="00A57232"/>
    <w:rsid w:val="00A5776E"/>
    <w:rsid w:val="00A61486"/>
    <w:rsid w:val="00A67CF9"/>
    <w:rsid w:val="00A91971"/>
    <w:rsid w:val="00A93713"/>
    <w:rsid w:val="00AA50AE"/>
    <w:rsid w:val="00AB2CB2"/>
    <w:rsid w:val="00AD3890"/>
    <w:rsid w:val="00B03BD3"/>
    <w:rsid w:val="00B05459"/>
    <w:rsid w:val="00B103B5"/>
    <w:rsid w:val="00B13B27"/>
    <w:rsid w:val="00B14E06"/>
    <w:rsid w:val="00B15C4E"/>
    <w:rsid w:val="00B209BB"/>
    <w:rsid w:val="00B223E0"/>
    <w:rsid w:val="00B231C1"/>
    <w:rsid w:val="00B30642"/>
    <w:rsid w:val="00B3287B"/>
    <w:rsid w:val="00B55B17"/>
    <w:rsid w:val="00B60B64"/>
    <w:rsid w:val="00B62199"/>
    <w:rsid w:val="00B63ABF"/>
    <w:rsid w:val="00B71AAE"/>
    <w:rsid w:val="00B73C7B"/>
    <w:rsid w:val="00B846AB"/>
    <w:rsid w:val="00B87B2C"/>
    <w:rsid w:val="00B90F66"/>
    <w:rsid w:val="00B912D4"/>
    <w:rsid w:val="00B97CFD"/>
    <w:rsid w:val="00BA18B9"/>
    <w:rsid w:val="00BA2E94"/>
    <w:rsid w:val="00BA5DB4"/>
    <w:rsid w:val="00BC4261"/>
    <w:rsid w:val="00BD3B9A"/>
    <w:rsid w:val="00BE0BA7"/>
    <w:rsid w:val="00BF00B2"/>
    <w:rsid w:val="00BF1748"/>
    <w:rsid w:val="00BF4B39"/>
    <w:rsid w:val="00C006C6"/>
    <w:rsid w:val="00C028A6"/>
    <w:rsid w:val="00C1088E"/>
    <w:rsid w:val="00C154B4"/>
    <w:rsid w:val="00C251A8"/>
    <w:rsid w:val="00C30BED"/>
    <w:rsid w:val="00C34704"/>
    <w:rsid w:val="00C44C4C"/>
    <w:rsid w:val="00C50D04"/>
    <w:rsid w:val="00C6303B"/>
    <w:rsid w:val="00C67428"/>
    <w:rsid w:val="00C726B1"/>
    <w:rsid w:val="00CA2A7F"/>
    <w:rsid w:val="00CB0E04"/>
    <w:rsid w:val="00CC446A"/>
    <w:rsid w:val="00CD46B4"/>
    <w:rsid w:val="00D04BCA"/>
    <w:rsid w:val="00D14A54"/>
    <w:rsid w:val="00D16E56"/>
    <w:rsid w:val="00D232C0"/>
    <w:rsid w:val="00D46B1D"/>
    <w:rsid w:val="00D516D1"/>
    <w:rsid w:val="00D60A27"/>
    <w:rsid w:val="00D628F6"/>
    <w:rsid w:val="00D639B0"/>
    <w:rsid w:val="00D64696"/>
    <w:rsid w:val="00D73691"/>
    <w:rsid w:val="00D75470"/>
    <w:rsid w:val="00D76B4C"/>
    <w:rsid w:val="00D82890"/>
    <w:rsid w:val="00D9115F"/>
    <w:rsid w:val="00D9218A"/>
    <w:rsid w:val="00D9223D"/>
    <w:rsid w:val="00DA3D2C"/>
    <w:rsid w:val="00DA496B"/>
    <w:rsid w:val="00DA4CF6"/>
    <w:rsid w:val="00DA699A"/>
    <w:rsid w:val="00DB3E10"/>
    <w:rsid w:val="00DC0158"/>
    <w:rsid w:val="00DE2CB3"/>
    <w:rsid w:val="00DF2C12"/>
    <w:rsid w:val="00DF7CBE"/>
    <w:rsid w:val="00E01AD3"/>
    <w:rsid w:val="00E15AC5"/>
    <w:rsid w:val="00E3043B"/>
    <w:rsid w:val="00E641DE"/>
    <w:rsid w:val="00E65D0B"/>
    <w:rsid w:val="00E66117"/>
    <w:rsid w:val="00E7308D"/>
    <w:rsid w:val="00E96748"/>
    <w:rsid w:val="00E96863"/>
    <w:rsid w:val="00EA14FF"/>
    <w:rsid w:val="00EB0F28"/>
    <w:rsid w:val="00EC1320"/>
    <w:rsid w:val="00EC515C"/>
    <w:rsid w:val="00EC652D"/>
    <w:rsid w:val="00EC6DDA"/>
    <w:rsid w:val="00ED214A"/>
    <w:rsid w:val="00ED5F8C"/>
    <w:rsid w:val="00ED7F5B"/>
    <w:rsid w:val="00EE1A66"/>
    <w:rsid w:val="00F0631E"/>
    <w:rsid w:val="00F114E6"/>
    <w:rsid w:val="00F20D50"/>
    <w:rsid w:val="00F26D0F"/>
    <w:rsid w:val="00F32C87"/>
    <w:rsid w:val="00F34510"/>
    <w:rsid w:val="00F36366"/>
    <w:rsid w:val="00F479F4"/>
    <w:rsid w:val="00F47E97"/>
    <w:rsid w:val="00F515B1"/>
    <w:rsid w:val="00F619CE"/>
    <w:rsid w:val="00F644B8"/>
    <w:rsid w:val="00F64F4A"/>
    <w:rsid w:val="00F67BBB"/>
    <w:rsid w:val="00F758CF"/>
    <w:rsid w:val="00F76AB9"/>
    <w:rsid w:val="00F806C1"/>
    <w:rsid w:val="00F822B1"/>
    <w:rsid w:val="00F87181"/>
    <w:rsid w:val="00F90C76"/>
    <w:rsid w:val="00F90DAF"/>
    <w:rsid w:val="00F92697"/>
    <w:rsid w:val="00F93198"/>
    <w:rsid w:val="00FA1D7E"/>
    <w:rsid w:val="00FB60C1"/>
    <w:rsid w:val="00FC6F6F"/>
    <w:rsid w:val="00FD1967"/>
    <w:rsid w:val="00FD3D8F"/>
    <w:rsid w:val="00FD5B8A"/>
    <w:rsid w:val="00FD65DD"/>
    <w:rsid w:val="00FF402C"/>
    <w:rsid w:val="019E71BD"/>
    <w:rsid w:val="04B679C3"/>
    <w:rsid w:val="080F63D8"/>
    <w:rsid w:val="09341458"/>
    <w:rsid w:val="0B0912D7"/>
    <w:rsid w:val="152D2DCA"/>
    <w:rsid w:val="1DEC284C"/>
    <w:rsid w:val="1E6523AC"/>
    <w:rsid w:val="22440422"/>
    <w:rsid w:val="23C45E80"/>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annotation reference"/>
    <w:basedOn w:val="9"/>
    <w:uiPriority w:val="0"/>
    <w:rPr>
      <w:sz w:val="21"/>
      <w:szCs w:val="21"/>
    </w:rPr>
  </w:style>
  <w:style w:type="character" w:customStyle="1" w:styleId="12">
    <w:name w:val="标题 1 字符"/>
    <w:basedOn w:val="9"/>
    <w:link w:val="2"/>
    <w:uiPriority w:val="0"/>
    <w:rPr>
      <w:rFonts w:ascii="宋体" w:hAnsi="宋体"/>
      <w:b/>
      <w:bCs/>
      <w:kern w:val="44"/>
      <w:sz w:val="48"/>
      <w:szCs w:val="48"/>
    </w:rPr>
  </w:style>
  <w:style w:type="paragraph" w:styleId="13">
    <w:name w:val="List Paragraph"/>
    <w:basedOn w:val="1"/>
    <w:uiPriority w:val="99"/>
    <w:pPr>
      <w:ind w:firstLine="420" w:firstLineChars="200"/>
    </w:pPr>
  </w:style>
  <w:style w:type="paragraph" w:customStyle="1" w:styleId="14">
    <w:name w:val="Other|1"/>
    <w:basedOn w:val="1"/>
    <w:qFormat/>
    <w:uiPriority w:val="0"/>
    <w:pPr>
      <w:spacing w:after="140" w:line="360" w:lineRule="auto"/>
    </w:pPr>
    <w:rPr>
      <w:rFonts w:ascii="宋体" w:hAnsi="宋体" w:eastAsia="宋体" w:cs="宋体"/>
      <w:color w:val="6E7562"/>
      <w:sz w:val="20"/>
      <w:szCs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4534DD-3D1C-40A5-9A28-9DC125FBA6D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706</Words>
  <Characters>722</Characters>
  <Lines>5</Lines>
  <Paragraphs>1</Paragraphs>
  <TotalTime>0</TotalTime>
  <ScaleCrop>false</ScaleCrop>
  <LinksUpToDate>false</LinksUpToDate>
  <CharactersWithSpaces>726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2021-12-29T07:21:00Z</dcterms:created>
  <dc:creator>t</dc:creator>
  <cp:lastModifiedBy>就说好的.</cp:lastModifiedBy>
  <cp:lastPrinted>2021-12-29T07:18:00Z</cp:lastPrinted>
  <dcterms:modified xsi:type="dcterms:W3CDTF">2023-03-28T08:17:58Z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05475FF473854C2C834BFB0304116314</vt:lpwstr>
  </property>
</Properties>
</file>