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仿宋_GB2312"/>
          <w:color w:val="000000"/>
          <w:sz w:val="32"/>
          <w:szCs w:val="32"/>
        </w:rPr>
      </w:pPr>
      <w:bookmarkStart w:id="0" w:name="Content"/>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exact"/>
        <w:ind w:left="0" w:right="0"/>
        <w:jc w:val="center"/>
        <w:rPr>
          <w:rFonts w:hint="default" w:ascii="宋体" w:hAnsi="宋体" w:eastAsia="宋体" w:cs="Times New Roman"/>
          <w:b w:val="0"/>
          <w:color w:val="000000"/>
          <w:kern w:val="2"/>
          <w:sz w:val="44"/>
          <w:szCs w:val="44"/>
          <w:shd w:val="clear"/>
          <w:lang w:val="en-US" w:eastAsia="zh-CN" w:bidi="ar"/>
        </w:rPr>
      </w:pPr>
      <w:r>
        <w:rPr>
          <w:rFonts w:ascii="宋体" w:hAnsi="宋体"/>
          <w:color w:val="000000"/>
          <w:sz w:val="44"/>
          <w:szCs w:val="44"/>
        </w:rPr>
        <w:t>陕西省药品监督管理局</w:t>
      </w:r>
      <w:r>
        <w:rPr>
          <w:rFonts w:hint="default" w:ascii="宋体" w:hAnsi="宋体" w:eastAsia="宋体" w:cs="Times New Roman"/>
          <w:b w:val="0"/>
          <w:color w:val="000000"/>
          <w:kern w:val="2"/>
          <w:sz w:val="44"/>
          <w:szCs w:val="44"/>
          <w:shd w:val="clear"/>
          <w:lang w:val="en-US" w:eastAsia="zh-CN" w:bidi="ar"/>
        </w:rPr>
        <w:t>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exact"/>
        <w:ind w:left="0" w:right="0"/>
        <w:jc w:val="center"/>
        <w:rPr>
          <w:rFonts w:hint="default" w:ascii="宋体" w:hAnsi="宋体" w:eastAsia="宋体" w:cs="Times New Roman"/>
          <w:b w:val="0"/>
          <w:color w:val="000000"/>
          <w:kern w:val="2"/>
          <w:sz w:val="44"/>
          <w:szCs w:val="44"/>
          <w:shd w:val="clear"/>
          <w:lang w:val="en-US" w:eastAsia="zh-CN" w:bidi="ar"/>
        </w:rPr>
      </w:pPr>
      <w:r>
        <w:rPr>
          <w:rFonts w:hint="default" w:ascii="宋体" w:hAnsi="宋体" w:eastAsia="宋体" w:cs="Times New Roman"/>
          <w:b w:val="0"/>
          <w:color w:val="000000"/>
          <w:kern w:val="2"/>
          <w:sz w:val="44"/>
          <w:szCs w:val="44"/>
          <w:shd w:val="clear"/>
          <w:lang w:val="en-US" w:eastAsia="zh-CN" w:bidi="ar"/>
        </w:rPr>
        <w:t>关于印发优化药品生产许可及监督检查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exact"/>
        <w:ind w:left="0" w:right="0"/>
        <w:jc w:val="center"/>
        <w:rPr>
          <w:rFonts w:ascii="宋体" w:hAnsi="宋体" w:eastAsia="宋体" w:cs="Times New Roman"/>
          <w:b w:val="0"/>
          <w:color w:val="000000"/>
          <w:sz w:val="44"/>
          <w:szCs w:val="44"/>
        </w:rPr>
      </w:pPr>
      <w:r>
        <w:rPr>
          <w:rFonts w:hint="default" w:ascii="宋体" w:hAnsi="宋体" w:eastAsia="宋体" w:cs="Times New Roman"/>
          <w:b w:val="0"/>
          <w:color w:val="000000"/>
          <w:kern w:val="2"/>
          <w:sz w:val="44"/>
          <w:szCs w:val="44"/>
          <w:shd w:val="clear"/>
          <w:lang w:val="en-US" w:eastAsia="zh-CN" w:bidi="ar"/>
        </w:rPr>
        <w:t xml:space="preserve">若干措施的通知 </w:t>
      </w:r>
    </w:p>
    <w:p>
      <w:pPr>
        <w:spacing w:line="540" w:lineRule="exact"/>
        <w:jc w:val="center"/>
        <w:rPr>
          <w:rFonts w:hint="default" w:ascii="楷体_GB2312" w:hAnsi="楷体_GB2312" w:eastAsia="楷体_GB2312" w:cs="Times New Roman"/>
          <w:color w:val="000000"/>
          <w:sz w:val="32"/>
          <w:szCs w:val="32"/>
          <w:lang w:eastAsia="zh-CN"/>
        </w:rPr>
      </w:pPr>
      <w:r>
        <w:rPr>
          <w:rFonts w:hint="default" w:ascii="楷体_GB2312" w:hAnsi="楷体_GB2312" w:eastAsia="楷体_GB2312" w:cs="Times New Roman"/>
          <w:color w:val="000000"/>
          <w:sz w:val="32"/>
          <w:szCs w:val="32"/>
          <w:lang w:eastAsia="zh-CN"/>
        </w:rPr>
        <w:t>陕药监发〔2023〕1号</w:t>
      </w:r>
    </w:p>
    <w:p>
      <w:pPr>
        <w:spacing w:line="540" w:lineRule="exact"/>
        <w:jc w:val="center"/>
        <w:rPr>
          <w:rFonts w:hint="eastAsia" w:ascii="楷体_GB2312" w:hAnsi="楷体_GB2312" w:eastAsia="楷体_GB2312"/>
          <w:color w:val="000000"/>
          <w:sz w:val="32"/>
          <w:szCs w:val="32"/>
        </w:rPr>
      </w:pPr>
    </w:p>
    <w:p>
      <w:pPr>
        <w:spacing w:beforeLines="0" w:afterLines="0" w:line="560" w:lineRule="exac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各药品上市许可持有人（药品生产企业）：</w:t>
      </w:r>
    </w:p>
    <w:p>
      <w:pPr>
        <w:spacing w:beforeLines="0" w:afterLines="0" w:line="560" w:lineRule="exact"/>
        <w:ind w:firstLine="64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为进一步贯彻落实省政府关于全面加快推进医药产业高质量发展的决策部署，省药监局制定了《关于优化药品生产许可及监督检查的若干措施》，现予以发布，请按要求执行。</w:t>
      </w:r>
    </w:p>
    <w:p>
      <w:pPr>
        <w:widowControl w:val="0"/>
        <w:snapToGrid w:val="0"/>
        <w:spacing w:beforeLines="0" w:afterLines="0" w:line="560" w:lineRule="exact"/>
        <w:jc w:val="both"/>
        <w:rPr>
          <w:rFonts w:hint="default" w:ascii="Times New Roman" w:hAnsi="Times New Roman" w:eastAsia="仿宋_GB2312" w:cs="Times New Roman"/>
          <w:color w:val="000000"/>
          <w:sz w:val="32"/>
          <w:szCs w:val="32"/>
        </w:rPr>
      </w:pPr>
    </w:p>
    <w:p>
      <w:pPr>
        <w:widowControl w:val="0"/>
        <w:snapToGrid w:val="0"/>
        <w:spacing w:beforeLines="0" w:afterLines="0" w:line="560" w:lineRule="exact"/>
        <w:jc w:val="both"/>
        <w:rPr>
          <w:rFonts w:hint="default" w:ascii="Times New Roman" w:hAnsi="Times New Roman" w:eastAsia="仿宋_GB2312" w:cs="Times New Roman"/>
          <w:color w:val="000000"/>
          <w:sz w:val="32"/>
          <w:szCs w:val="32"/>
        </w:rPr>
      </w:pPr>
    </w:p>
    <w:p>
      <w:pPr>
        <w:widowControl w:val="0"/>
        <w:snapToGrid w:val="0"/>
        <w:spacing w:beforeLines="0" w:afterLines="0" w:line="560" w:lineRule="exact"/>
        <w:ind w:right="976" w:rightChars="465"/>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陕西省药品监督管理局</w:t>
      </w:r>
    </w:p>
    <w:p>
      <w:pPr>
        <w:widowControl w:val="0"/>
        <w:snapToGrid w:val="0"/>
        <w:spacing w:beforeLines="0" w:afterLines="0" w:line="560" w:lineRule="exact"/>
        <w:ind w:right="1396" w:rightChars="665" w:firstLine="4960" w:firstLineChars="155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月1</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w:t>
      </w:r>
    </w:p>
    <w:p>
      <w:pPr>
        <w:spacing w:beforeLines="0" w:afterLines="0" w:line="560" w:lineRule="exact"/>
        <w:rPr>
          <w:rFonts w:hint="default" w:ascii="Times New Roman" w:hAnsi="Times New Roman" w:eastAsia="仿宋_GB2312" w:cs="Times New Roman"/>
          <w:color w:val="000000"/>
          <w:sz w:val="32"/>
          <w:szCs w:val="32"/>
        </w:rPr>
      </w:pPr>
    </w:p>
    <w:p>
      <w:pPr>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（公开属性：主动公开）</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kern w:val="2"/>
          <w:sz w:val="32"/>
          <w:szCs w:val="32"/>
        </w:rPr>
        <w:t>40.1-26</w:t>
      </w:r>
      <w:r>
        <w:rPr>
          <w:rFonts w:hint="default" w:ascii="Times New Roman" w:hAnsi="Times New Roman" w:eastAsia="仿宋_GB2312" w:cs="Times New Roman"/>
          <w:color w:val="000000"/>
          <w:sz w:val="32"/>
          <w:szCs w:val="32"/>
          <w:lang w:eastAsia="zh-CN"/>
        </w:rPr>
        <w:t>〔2023〕</w:t>
      </w:r>
      <w:r>
        <w:rPr>
          <w:rFonts w:hint="default" w:ascii="Times New Roman" w:hAnsi="Times New Roman" w:eastAsia="仿宋_GB2312" w:cs="Times New Roman"/>
          <w:color w:val="000000"/>
          <w:kern w:val="2"/>
          <w:sz w:val="32"/>
          <w:szCs w:val="32"/>
        </w:rPr>
        <w:t>1</w:t>
      </w:r>
      <w:r>
        <w:rPr>
          <w:rFonts w:hint="default" w:ascii="Times New Roman" w:hAnsi="Times New Roman" w:eastAsia="仿宋_GB2312" w:cs="Times New Roman"/>
          <w:color w:val="000000"/>
          <w:kern w:val="2"/>
          <w:sz w:val="32"/>
          <w:szCs w:val="32"/>
          <w:lang w:eastAsia="zh-CN"/>
        </w:rPr>
        <w:t>号</w:t>
      </w:r>
      <w:r>
        <w:rPr>
          <w:rFonts w:hint="eastAsia" w:ascii="Times New Roman" w:hAnsi="Times New Roman" w:eastAsia="仿宋_GB2312" w:cs="Times New Roman"/>
          <w:color w:val="000000"/>
          <w:sz w:val="32"/>
          <w:szCs w:val="32"/>
          <w:lang w:eastAsia="zh-CN"/>
        </w:rPr>
        <w:t>）</w:t>
      </w:r>
    </w:p>
    <w:p>
      <w:pPr>
        <w:pStyle w:val="2"/>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bookmarkStart w:id="1" w:name="_GoBack"/>
      <w:bookmarkEnd w:id="1"/>
    </w:p>
    <w:p/>
    <w:p>
      <w:pPr>
        <w:spacing w:line="540" w:lineRule="exact"/>
        <w:rPr>
          <w:rFonts w:eastAsia="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lang w:val="en-US" w:eastAsia="zh-CN"/>
        </w:rPr>
      </w:pPr>
      <w:r>
        <w:rPr>
          <w:rFonts w:hint="default" w:ascii="黑体" w:hAnsi="黑体" w:eastAsia="黑体" w:cs="Times New Roman"/>
          <w:color w:val="000000"/>
          <w:sz w:val="32"/>
          <w:szCs w:val="32"/>
          <w:lang w:val="en-US" w:eastAsia="zh-CN"/>
        </w:rPr>
        <w:t>关于优化药品生产许可及监督检查若干措施</w:t>
      </w:r>
    </w:p>
    <w:p>
      <w:pPr>
        <w:spacing w:beforeLines="0" w:afterLines="0" w:line="640" w:lineRule="exact"/>
        <w:jc w:val="both"/>
        <w:rPr>
          <w:rFonts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为贯彻落实陕西省药品监督管理局《以高质量监管和服务促进全省医药产业高质量发展的若干措施》（陕药监发〔2021〕37号），进一步深化改革创新，提高行政许可服务效能，持续推进我省医药产业高质量发展，我局基于风险可控、方便企业的原则，结合我省药品监管工作实际，制定以下措施</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640" w:firstLineChars="200"/>
        <w:jc w:val="left"/>
        <w:textAlignment w:val="auto"/>
        <w:outlineLvl w:val="9"/>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一、简化部分药品生产许可证申报材料</w:t>
      </w:r>
    </w:p>
    <w:p>
      <w:pPr>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（一）对于申请B类药品生产许可证用于境内药品上市许可持有人变更，转出方为外省企业的，可免于提交转出方所在地省级药品监管部门出具的同意受托生产意见。</w:t>
      </w:r>
    </w:p>
    <w:p>
      <w:pPr>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（二）委托双方均为省内企业的，药品上市许可持有人在办理B类药品生产许可证时，免于提交省药监局出具的</w:t>
      </w:r>
      <w:r>
        <w:rPr>
          <w:rFonts w:hint="default" w:ascii="Times New Roman" w:hAnsi="Times New Roman" w:eastAsia="仿宋_GB2312" w:cs="Times New Roman"/>
          <w:color w:val="000000"/>
          <w:sz w:val="32"/>
          <w:szCs w:val="32"/>
        </w:rPr>
        <w:t>通过药品GMP符合性检查告知书以及</w:t>
      </w:r>
      <w:r>
        <w:rPr>
          <w:rFonts w:hint="default" w:ascii="Times New Roman" w:hAnsi="Times New Roman" w:eastAsia="仿宋_GB2312" w:cs="Times New Roman"/>
          <w:color w:val="000000"/>
          <w:sz w:val="32"/>
          <w:szCs w:val="32"/>
          <w:lang w:val="en-US" w:eastAsia="zh-CN"/>
        </w:rPr>
        <w:t>同意受托意见，由省药监局通过内部确认获取。</w:t>
      </w:r>
    </w:p>
    <w:p>
      <w:pPr>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640" w:firstLineChars="200"/>
        <w:jc w:val="left"/>
        <w:textAlignment w:val="auto"/>
        <w:outlineLvl w:val="9"/>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b w:val="0"/>
          <w:bCs w:val="0"/>
          <w:color w:val="000000"/>
          <w:sz w:val="32"/>
          <w:szCs w:val="32"/>
          <w:lang w:val="en-US" w:eastAsia="zh-CN"/>
        </w:rPr>
        <w:t>二、</w:t>
      </w:r>
      <w:r>
        <w:rPr>
          <w:rFonts w:hint="default" w:ascii="Times New Roman" w:hAnsi="Times New Roman" w:eastAsia="黑体" w:cs="Times New Roman"/>
          <w:b w:val="0"/>
          <w:bCs w:val="0"/>
          <w:i w:val="0"/>
          <w:caps w:val="0"/>
          <w:color w:val="000000"/>
          <w:spacing w:val="0"/>
          <w:sz w:val="32"/>
          <w:szCs w:val="32"/>
        </w:rPr>
        <w:t>优化药品现场检查</w:t>
      </w:r>
    </w:p>
    <w:p>
      <w:pPr>
        <w:pStyle w:val="2"/>
        <w:keepNext w:val="0"/>
        <w:keepLines w:val="0"/>
        <w:pageBreakBefore w:val="0"/>
        <w:kinsoku/>
        <w:wordWrap/>
        <w:overflowPunct/>
        <w:topLinePunct w:val="0"/>
        <w:autoSpaceDE/>
        <w:autoSpaceDN/>
        <w:bidi w:val="0"/>
        <w:adjustRightInd/>
        <w:snapToGrid/>
        <w:spacing w:beforeLines="0" w:afterLines="0" w:line="640" w:lineRule="exact"/>
        <w:ind w:left="0" w:leftChars="0" w:right="0" w:rightChars="0"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（一）对因办理持有人变更或药品上市许可申请核发B类药品生产许可证或相关范围，因申请人尚未持有药品批准证明文件暂不具备开展药品GMP符合性检查条件的，在</w:t>
      </w:r>
      <w:r>
        <w:rPr>
          <w:rFonts w:hint="default" w:ascii="Times New Roman" w:hAnsi="Times New Roman" w:eastAsia="仿宋_GB2312" w:cs="Times New Roman"/>
          <w:color w:val="000000"/>
          <w:sz w:val="32"/>
          <w:szCs w:val="32"/>
          <w:shd w:val="clear" w:color="auto" w:fill="auto"/>
          <w:lang w:val="en-US" w:eastAsia="zh-CN"/>
        </w:rPr>
        <w:t>获得药品上市许可持有人变更批件或药品注册证书后，持有人及其受托生产企业应当通过药品GMP符合性检查，相关产品符合放行要求后方可上市销售。</w:t>
      </w:r>
    </w:p>
    <w:p>
      <w:pPr>
        <w:pStyle w:val="2"/>
        <w:keepNext w:val="0"/>
        <w:keepLines w:val="0"/>
        <w:pageBreakBefore w:val="0"/>
        <w:kinsoku/>
        <w:wordWrap/>
        <w:overflowPunct/>
        <w:topLinePunct w:val="0"/>
        <w:autoSpaceDE/>
        <w:autoSpaceDN/>
        <w:bidi w:val="0"/>
        <w:adjustRightInd/>
        <w:snapToGrid/>
        <w:spacing w:beforeLines="0" w:afterLines="0" w:line="640" w:lineRule="exact"/>
        <w:ind w:left="0" w:leftChars="0" w:right="0" w:rightChars="0" w:firstLine="64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受托</w:t>
      </w:r>
      <w:r>
        <w:rPr>
          <w:rFonts w:hint="default" w:ascii="Times New Roman" w:hAnsi="Times New Roman" w:eastAsia="仿宋_GB2312" w:cs="Times New Roman"/>
          <w:color w:val="000000"/>
          <w:sz w:val="32"/>
          <w:szCs w:val="32"/>
          <w:lang w:val="en-US" w:eastAsia="zh-CN"/>
        </w:rPr>
        <w:t>药品</w:t>
      </w:r>
      <w:r>
        <w:rPr>
          <w:rFonts w:hint="default" w:ascii="Times New Roman" w:hAnsi="Times New Roman" w:eastAsia="仿宋_GB2312" w:cs="Times New Roman"/>
          <w:color w:val="000000"/>
          <w:sz w:val="32"/>
          <w:szCs w:val="32"/>
        </w:rPr>
        <w:t>生产</w:t>
      </w:r>
      <w:r>
        <w:rPr>
          <w:rFonts w:hint="default" w:ascii="Times New Roman" w:hAnsi="Times New Roman" w:eastAsia="仿宋_GB2312" w:cs="Times New Roman"/>
          <w:color w:val="000000"/>
          <w:sz w:val="32"/>
          <w:szCs w:val="32"/>
          <w:lang w:val="en-US" w:eastAsia="zh-CN"/>
        </w:rPr>
        <w:t>企业</w:t>
      </w:r>
      <w:r>
        <w:rPr>
          <w:rFonts w:hint="default" w:ascii="Times New Roman" w:hAnsi="Times New Roman" w:eastAsia="仿宋_GB2312" w:cs="Times New Roman"/>
          <w:color w:val="000000"/>
          <w:sz w:val="32"/>
          <w:szCs w:val="32"/>
        </w:rPr>
        <w:t>的生产线未进行药品GMP符合性检查的，受托企业可凭拟受托生产的品种开展药品GMP符合性检查；</w:t>
      </w:r>
      <w:r>
        <w:rPr>
          <w:rFonts w:hint="default" w:ascii="Times New Roman" w:hAnsi="Times New Roman" w:eastAsia="仿宋_GB2312" w:cs="Times New Roman"/>
          <w:color w:val="000000"/>
          <w:sz w:val="32"/>
          <w:szCs w:val="32"/>
          <w:lang w:val="en-US" w:eastAsia="zh-CN"/>
        </w:rPr>
        <w:t>拟受托</w:t>
      </w:r>
      <w:r>
        <w:rPr>
          <w:rFonts w:hint="default" w:ascii="Times New Roman" w:hAnsi="Times New Roman" w:eastAsia="仿宋_GB2312" w:cs="Times New Roman"/>
          <w:color w:val="000000"/>
          <w:sz w:val="32"/>
          <w:szCs w:val="32"/>
        </w:rPr>
        <w:t>生产线1年内已通过药品GMP符合性检查，且处于正常生产状态的，基于风险评估，可免于现场检查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高风险品种、特殊复杂剂型、国家法规政策明确要求的品种除外。</w:t>
      </w:r>
    </w:p>
    <w:p>
      <w:pPr>
        <w:pStyle w:val="2"/>
        <w:keepNext w:val="0"/>
        <w:keepLines w:val="0"/>
        <w:pageBreakBefore w:val="0"/>
        <w:kinsoku/>
        <w:wordWrap/>
        <w:overflowPunct/>
        <w:topLinePunct w:val="0"/>
        <w:autoSpaceDE/>
        <w:autoSpaceDN/>
        <w:bidi w:val="0"/>
        <w:adjustRightInd/>
        <w:snapToGrid/>
        <w:spacing w:beforeLines="0" w:afterLines="0" w:line="640" w:lineRule="exact"/>
        <w:ind w:left="0" w:leftChars="0" w:right="0" w:rightChars="0"/>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（三）对</w:t>
      </w:r>
      <w:r>
        <w:rPr>
          <w:rFonts w:hint="default" w:ascii="Times New Roman" w:hAnsi="Times New Roman" w:eastAsia="仿宋_GB2312" w:cs="Times New Roman"/>
          <w:color w:val="000000"/>
          <w:sz w:val="32"/>
          <w:szCs w:val="32"/>
        </w:rPr>
        <w:t>于以下情况开展监督检查的</w:t>
      </w:r>
      <w:r>
        <w:rPr>
          <w:rFonts w:hint="default" w:ascii="Times New Roman" w:hAnsi="Times New Roman" w:eastAsia="仿宋_GB2312" w:cs="Times New Roman"/>
          <w:i w:val="0"/>
          <w:caps w:val="0"/>
          <w:color w:val="000000"/>
          <w:spacing w:val="0"/>
          <w:sz w:val="32"/>
          <w:szCs w:val="32"/>
        </w:rPr>
        <w:t>，基于风险管理原则和信用等级情况，</w:t>
      </w:r>
      <w:r>
        <w:rPr>
          <w:rFonts w:hint="default" w:ascii="Times New Roman" w:hAnsi="Times New Roman" w:eastAsia="仿宋_GB2312" w:cs="Times New Roman"/>
          <w:i w:val="0"/>
          <w:caps w:val="0"/>
          <w:color w:val="000000"/>
          <w:spacing w:val="0"/>
          <w:sz w:val="32"/>
          <w:szCs w:val="32"/>
          <w:lang w:val="en-US" w:eastAsia="zh-CN"/>
        </w:rPr>
        <w:t>可选取现场检查、远程检查、书面审查等多种方式开展，</w:t>
      </w:r>
      <w:r>
        <w:rPr>
          <w:rFonts w:hint="default" w:ascii="Times New Roman" w:hAnsi="Times New Roman" w:eastAsia="仿宋_GB2312" w:cs="Times New Roman"/>
          <w:i w:val="0"/>
          <w:caps w:val="0"/>
          <w:color w:val="000000"/>
          <w:spacing w:val="0"/>
          <w:sz w:val="32"/>
          <w:szCs w:val="32"/>
        </w:rPr>
        <w:t>结合企业实际制定检查方案</w:t>
      </w:r>
      <w:r>
        <w:rPr>
          <w:rFonts w:hint="default" w:ascii="Times New Roman" w:hAnsi="Times New Roman" w:eastAsia="仿宋_GB2312" w:cs="Times New Roman"/>
          <w:i w:val="0"/>
          <w:caps w:val="0"/>
          <w:color w:val="000000"/>
          <w:spacing w:val="0"/>
          <w:sz w:val="32"/>
          <w:szCs w:val="32"/>
          <w:lang w:val="en-US" w:eastAsia="zh-CN"/>
        </w:rPr>
        <w:t>：1.依法</w:t>
      </w:r>
      <w:r>
        <w:rPr>
          <w:rFonts w:hint="default" w:ascii="Times New Roman" w:hAnsi="Times New Roman" w:eastAsia="仿宋_GB2312" w:cs="Times New Roman"/>
          <w:i w:val="0"/>
          <w:caps w:val="0"/>
          <w:color w:val="000000"/>
          <w:spacing w:val="0"/>
          <w:sz w:val="32"/>
          <w:szCs w:val="32"/>
        </w:rPr>
        <w:t>开展</w:t>
      </w:r>
      <w:r>
        <w:rPr>
          <w:rFonts w:hint="default" w:ascii="Times New Roman" w:hAnsi="Times New Roman" w:eastAsia="仿宋_GB2312" w:cs="Times New Roman"/>
          <w:i w:val="0"/>
          <w:caps w:val="0"/>
          <w:color w:val="000000"/>
          <w:spacing w:val="0"/>
          <w:sz w:val="32"/>
          <w:szCs w:val="32"/>
          <w:lang w:val="en-US" w:eastAsia="zh-CN"/>
        </w:rPr>
        <w:t>的</w:t>
      </w:r>
      <w:r>
        <w:rPr>
          <w:rFonts w:hint="default" w:ascii="Times New Roman" w:hAnsi="Times New Roman" w:eastAsia="仿宋_GB2312" w:cs="Times New Roman"/>
          <w:i w:val="0"/>
          <w:caps w:val="0"/>
          <w:color w:val="000000"/>
          <w:spacing w:val="0"/>
          <w:sz w:val="32"/>
          <w:szCs w:val="32"/>
        </w:rPr>
        <w:t>周期性药品GMP符合性检查</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2.</w:t>
      </w:r>
      <w:r>
        <w:rPr>
          <w:rFonts w:hint="default" w:ascii="Times New Roman" w:hAnsi="Times New Roman" w:eastAsia="仿宋_GB2312" w:cs="Times New Roman"/>
          <w:i w:val="0"/>
          <w:caps w:val="0"/>
          <w:color w:val="000000"/>
          <w:spacing w:val="0"/>
          <w:sz w:val="32"/>
          <w:szCs w:val="32"/>
          <w:lang w:eastAsia="zh-CN"/>
        </w:rPr>
        <w:t>生产场地、处方工艺未发生变化，仅变更持有人后开展的</w:t>
      </w:r>
      <w:r>
        <w:rPr>
          <w:rFonts w:hint="default" w:ascii="Times New Roman" w:hAnsi="Times New Roman" w:eastAsia="仿宋_GB2312" w:cs="Times New Roman"/>
          <w:i w:val="0"/>
          <w:caps w:val="0"/>
          <w:color w:val="000000"/>
          <w:spacing w:val="0"/>
          <w:sz w:val="32"/>
          <w:szCs w:val="32"/>
          <w:lang w:val="en-US" w:eastAsia="zh-CN"/>
        </w:rPr>
        <w:t>药品</w:t>
      </w:r>
      <w:r>
        <w:rPr>
          <w:rFonts w:hint="default" w:ascii="Times New Roman" w:hAnsi="Times New Roman" w:eastAsia="仿宋_GB2312" w:cs="Times New Roman"/>
          <w:i w:val="0"/>
          <w:caps w:val="0"/>
          <w:color w:val="000000"/>
          <w:spacing w:val="0"/>
          <w:sz w:val="32"/>
          <w:szCs w:val="32"/>
          <w:lang w:eastAsia="zh-CN"/>
        </w:rPr>
        <w:t>GMP符合性检查；</w:t>
      </w:r>
      <w:r>
        <w:rPr>
          <w:rFonts w:hint="default" w:ascii="Times New Roman" w:hAnsi="Times New Roman" w:eastAsia="仿宋_GB2312" w:cs="Times New Roman"/>
          <w:i w:val="0"/>
          <w:caps w:val="0"/>
          <w:color w:val="000000"/>
          <w:spacing w:val="0"/>
          <w:sz w:val="32"/>
          <w:szCs w:val="32"/>
          <w:lang w:val="en-US" w:eastAsia="zh-CN"/>
        </w:rPr>
        <w:t>3.</w:t>
      </w:r>
      <w:r>
        <w:rPr>
          <w:rFonts w:hint="default" w:ascii="Times New Roman" w:hAnsi="Times New Roman" w:eastAsia="仿宋_GB2312" w:cs="Times New Roman"/>
          <w:i w:val="0"/>
          <w:caps w:val="0"/>
          <w:color w:val="000000"/>
          <w:spacing w:val="0"/>
          <w:sz w:val="32"/>
          <w:szCs w:val="32"/>
          <w:lang w:eastAsia="zh-CN"/>
        </w:rPr>
        <w:t>公司分立，新增加的公司在原生产许可证的生产地址和生产范围内申请核发新的药品生产许可证时开展的许可检查。</w:t>
      </w:r>
    </w:p>
    <w:p>
      <w:pPr>
        <w:pStyle w:val="2"/>
        <w:keepNext w:val="0"/>
        <w:keepLines w:val="0"/>
        <w:pageBreakBefore w:val="0"/>
        <w:kinsoku/>
        <w:wordWrap/>
        <w:overflowPunct/>
        <w:topLinePunct w:val="0"/>
        <w:autoSpaceDE/>
        <w:autoSpaceDN/>
        <w:bidi w:val="0"/>
        <w:adjustRightInd/>
        <w:snapToGrid/>
        <w:spacing w:beforeLines="0" w:afterLines="0" w:line="640" w:lineRule="exact"/>
        <w:ind w:left="0" w:leftChars="0" w:right="0" w:rightChars="0"/>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（四）药品上市许可持有人持有的</w:t>
      </w:r>
      <w:r>
        <w:rPr>
          <w:rFonts w:hint="default" w:ascii="Times New Roman" w:hAnsi="Times New Roman" w:eastAsia="仿宋_GB2312" w:cs="Times New Roman"/>
          <w:i w:val="0"/>
          <w:caps w:val="0"/>
          <w:color w:val="000000"/>
          <w:spacing w:val="0"/>
          <w:sz w:val="31"/>
          <w:szCs w:val="31"/>
          <w:shd w:val="clear" w:color="auto" w:fill="FFFFFF"/>
        </w:rPr>
        <w:t>多个</w:t>
      </w:r>
      <w:r>
        <w:rPr>
          <w:rFonts w:hint="default" w:ascii="Times New Roman" w:hAnsi="Times New Roman" w:eastAsia="仿宋_GB2312" w:cs="Times New Roman"/>
          <w:i w:val="0"/>
          <w:caps w:val="0"/>
          <w:color w:val="000000"/>
          <w:spacing w:val="0"/>
          <w:sz w:val="31"/>
          <w:szCs w:val="31"/>
          <w:shd w:val="clear" w:color="auto" w:fill="FFFFFF"/>
          <w:lang w:val="en-US" w:eastAsia="zh-CN"/>
        </w:rPr>
        <w:t>同剂型</w:t>
      </w:r>
      <w:r>
        <w:rPr>
          <w:rFonts w:hint="default" w:ascii="Times New Roman" w:hAnsi="Times New Roman" w:eastAsia="仿宋_GB2312" w:cs="Times New Roman"/>
          <w:i w:val="0"/>
          <w:caps w:val="0"/>
          <w:color w:val="000000"/>
          <w:spacing w:val="0"/>
          <w:sz w:val="31"/>
          <w:szCs w:val="31"/>
          <w:shd w:val="clear" w:color="auto" w:fill="FFFFFF"/>
        </w:rPr>
        <w:t>品种陆续变更</w:t>
      </w:r>
      <w:r>
        <w:rPr>
          <w:rFonts w:hint="default" w:ascii="Times New Roman" w:hAnsi="Times New Roman" w:eastAsia="仿宋_GB2312" w:cs="Times New Roman"/>
          <w:i w:val="0"/>
          <w:caps w:val="0"/>
          <w:color w:val="000000"/>
          <w:spacing w:val="0"/>
          <w:sz w:val="31"/>
          <w:szCs w:val="31"/>
          <w:shd w:val="clear" w:color="auto" w:fill="FFFFFF"/>
          <w:lang w:val="en-US" w:eastAsia="zh-CN"/>
        </w:rPr>
        <w:t>至同一</w:t>
      </w:r>
      <w:r>
        <w:rPr>
          <w:rFonts w:hint="default" w:ascii="Times New Roman" w:hAnsi="Times New Roman" w:eastAsia="仿宋_GB2312" w:cs="Times New Roman"/>
          <w:i w:val="0"/>
          <w:caps w:val="0"/>
          <w:color w:val="000000"/>
          <w:spacing w:val="0"/>
          <w:sz w:val="31"/>
          <w:szCs w:val="31"/>
          <w:shd w:val="clear" w:color="auto" w:fill="FFFFFF"/>
        </w:rPr>
        <w:t>生产场地的，基于风险原则可仅对代表性品种开展现场检查</w:t>
      </w:r>
      <w:r>
        <w:rPr>
          <w:rFonts w:hint="default" w:ascii="Times New Roman" w:hAnsi="Times New Roman" w:eastAsia="仿宋_GB2312" w:cs="Times New Roman"/>
          <w:i w:val="0"/>
          <w:caps w:val="0"/>
          <w:color w:val="000000"/>
          <w:spacing w:val="0"/>
          <w:sz w:val="31"/>
          <w:szCs w:val="31"/>
          <w:shd w:val="clear" w:color="auto" w:fill="FFFFFF"/>
          <w:lang w:eastAsia="zh-CN"/>
        </w:rPr>
        <w:t>，</w:t>
      </w:r>
      <w:r>
        <w:rPr>
          <w:rFonts w:hint="default" w:ascii="Times New Roman" w:hAnsi="Times New Roman" w:eastAsia="仿宋_GB2312" w:cs="Times New Roman"/>
          <w:i w:val="0"/>
          <w:caps w:val="0"/>
          <w:color w:val="000000"/>
          <w:spacing w:val="0"/>
          <w:sz w:val="31"/>
          <w:szCs w:val="31"/>
          <w:shd w:val="clear" w:color="auto" w:fill="FFFFFF"/>
          <w:lang w:val="en-US" w:eastAsia="zh-CN"/>
        </w:rPr>
        <w:t>未进行现场检查的品种可基于风险列入下年度监督抽检计划。</w:t>
      </w:r>
      <w:r>
        <w:rPr>
          <w:rFonts w:hint="default" w:ascii="Times New Roman" w:hAnsi="Times New Roman" w:eastAsia="仿宋_GB2312" w:cs="Times New Roman"/>
          <w:color w:val="000000"/>
          <w:sz w:val="32"/>
          <w:szCs w:val="32"/>
        </w:rPr>
        <w:t>高风险品种、特殊复杂剂型、国家法规政策明确要求的品种除外</w:t>
      </w:r>
      <w:r>
        <w:rPr>
          <w:rFonts w:hint="default" w:ascii="Times New Roman" w:hAnsi="Times New Roman" w:eastAsia="仿宋_GB2312" w:cs="Times New Roman"/>
          <w:i w:val="0"/>
          <w:caps w:val="0"/>
          <w:color w:val="000000"/>
          <w:spacing w:val="0"/>
          <w:sz w:val="31"/>
          <w:szCs w:val="31"/>
          <w:shd w:val="clear" w:color="auto" w:fill="FFFFFF"/>
        </w:rPr>
        <w:t>。</w:t>
      </w:r>
    </w:p>
    <w:p>
      <w:pPr>
        <w:keepNext w:val="0"/>
        <w:keepLines w:val="0"/>
        <w:pageBreakBefore w:val="0"/>
        <w:kinsoku/>
        <w:wordWrap/>
        <w:overflowPunct/>
        <w:topLinePunct w:val="0"/>
        <w:autoSpaceDE/>
        <w:autoSpaceDN/>
        <w:bidi w:val="0"/>
        <w:adjustRightInd/>
        <w:snapToGrid/>
        <w:spacing w:beforeLines="0" w:afterLines="0" w:line="640" w:lineRule="exact"/>
        <w:ind w:left="0" w:leftChars="0" w:right="0" w:rightChars="0" w:firstLine="643"/>
        <w:jc w:val="left"/>
        <w:textAlignment w:val="auto"/>
        <w:outlineLvl w:val="9"/>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三、其他说明事项</w:t>
      </w:r>
    </w:p>
    <w:p>
      <w:pPr>
        <w:pStyle w:val="2"/>
        <w:keepNext w:val="0"/>
        <w:keepLines w:val="0"/>
        <w:pageBreakBefore w:val="0"/>
        <w:kinsoku/>
        <w:wordWrap/>
        <w:overflowPunct/>
        <w:topLinePunct w:val="0"/>
        <w:autoSpaceDE/>
        <w:autoSpaceDN/>
        <w:bidi w:val="0"/>
        <w:adjustRightInd/>
        <w:snapToGrid/>
        <w:spacing w:beforeLines="0" w:afterLines="0" w:line="640" w:lineRule="exact"/>
        <w:ind w:left="0" w:leftChars="0" w:right="0" w:right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本措施中的高风险品种主要指疫苗、血液制品、生物制品、多组分生化药、中药注射剂等；特殊复杂剂型主要指脂质体、微球、微乳、肠溶、长效或缓控释制剂等。</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line="640" w:lineRule="exact"/>
        <w:ind w:left="0" w:leftChars="0" w:right="0" w:rightChars="0" w:firstLine="645"/>
        <w:jc w:val="both"/>
        <w:textAlignment w:val="auto"/>
        <w:rPr>
          <w:rFonts w:hint="default" w:ascii="Times New Roman" w:hAnsi="Times New Roman" w:eastAsia="仿宋_GB2312" w:cs="Times New Roman"/>
          <w:color w:val="000000"/>
          <w:sz w:val="31"/>
          <w:szCs w:val="31"/>
          <w:shd w:val="clear" w:color="auto" w:fill="FFFFFF"/>
          <w:lang w:val="en-US" w:eastAsia="zh-CN"/>
        </w:rPr>
      </w:pPr>
      <w:r>
        <w:rPr>
          <w:rFonts w:hint="default" w:ascii="Times New Roman" w:hAnsi="Times New Roman" w:eastAsia="仿宋_GB2312" w:cs="Times New Roman"/>
          <w:i w:val="0"/>
          <w:caps w:val="0"/>
          <w:color w:val="000000"/>
          <w:spacing w:val="0"/>
          <w:sz w:val="31"/>
          <w:szCs w:val="31"/>
          <w:shd w:val="clear" w:color="auto" w:fill="FFFFFF"/>
        </w:rPr>
        <w:t>本措施自</w:t>
      </w:r>
      <w:r>
        <w:rPr>
          <w:rFonts w:hint="default" w:ascii="Times New Roman" w:hAnsi="Times New Roman" w:eastAsia="仿宋_GB2312" w:cs="Times New Roman"/>
          <w:i w:val="0"/>
          <w:caps w:val="0"/>
          <w:color w:val="000000"/>
          <w:spacing w:val="0"/>
          <w:sz w:val="31"/>
          <w:szCs w:val="31"/>
          <w:shd w:val="clear" w:color="auto" w:fill="FFFFFF"/>
          <w:lang w:val="en-US" w:eastAsia="zh-CN"/>
        </w:rPr>
        <w:t>公布</w:t>
      </w:r>
      <w:r>
        <w:rPr>
          <w:rFonts w:hint="default" w:ascii="Times New Roman" w:hAnsi="Times New Roman" w:eastAsia="仿宋_GB2312" w:cs="Times New Roman"/>
          <w:i w:val="0"/>
          <w:caps w:val="0"/>
          <w:color w:val="000000"/>
          <w:spacing w:val="0"/>
          <w:sz w:val="31"/>
          <w:szCs w:val="31"/>
          <w:shd w:val="clear" w:color="auto" w:fill="FFFFFF"/>
        </w:rPr>
        <w:t>之日起</w:t>
      </w:r>
      <w:r>
        <w:rPr>
          <w:rFonts w:hint="default" w:ascii="Times New Roman" w:hAnsi="Times New Roman" w:eastAsia="仿宋_GB2312" w:cs="Times New Roman"/>
          <w:i w:val="0"/>
          <w:caps w:val="0"/>
          <w:color w:val="000000"/>
          <w:spacing w:val="0"/>
          <w:sz w:val="31"/>
          <w:szCs w:val="31"/>
          <w:shd w:val="clear" w:color="auto" w:fill="FFFFFF"/>
          <w:lang w:val="en-US" w:eastAsia="zh-CN"/>
        </w:rPr>
        <w:t>30日后</w:t>
      </w:r>
      <w:r>
        <w:rPr>
          <w:rFonts w:hint="default" w:ascii="Times New Roman" w:hAnsi="Times New Roman" w:eastAsia="仿宋_GB2312" w:cs="Times New Roman"/>
          <w:i w:val="0"/>
          <w:caps w:val="0"/>
          <w:color w:val="000000"/>
          <w:spacing w:val="0"/>
          <w:sz w:val="31"/>
          <w:szCs w:val="31"/>
          <w:shd w:val="clear" w:color="auto" w:fill="FFFFFF"/>
        </w:rPr>
        <w:t>施行</w:t>
      </w:r>
      <w:r>
        <w:rPr>
          <w:rFonts w:hint="eastAsia" w:ascii="Times New Roman" w:hAnsi="Times New Roman" w:eastAsia="仿宋_GB2312" w:cs="Times New Roman"/>
          <w:i w:val="0"/>
          <w:caps w:val="0"/>
          <w:color w:val="000000"/>
          <w:spacing w:val="0"/>
          <w:sz w:val="31"/>
          <w:szCs w:val="31"/>
          <w:shd w:val="clear" w:color="auto" w:fill="FFFFFF"/>
          <w:lang w:eastAsia="zh-CN"/>
        </w:rPr>
        <w:t>，</w:t>
      </w:r>
      <w:r>
        <w:rPr>
          <w:rFonts w:hint="default" w:ascii="Times New Roman" w:hAnsi="Times New Roman" w:eastAsia="仿宋_GB2312" w:cs="Times New Roman"/>
          <w:i w:val="0"/>
          <w:caps w:val="0"/>
          <w:color w:val="000000"/>
          <w:spacing w:val="0"/>
          <w:sz w:val="31"/>
          <w:szCs w:val="31"/>
          <w:shd w:val="clear" w:color="auto" w:fill="FFFFFF"/>
        </w:rPr>
        <w:t>此前发布的有关规定与本措施不一致的</w:t>
      </w:r>
      <w:r>
        <w:rPr>
          <w:rFonts w:hint="eastAsia" w:ascii="Times New Roman" w:hAnsi="Times New Roman" w:eastAsia="仿宋_GB2312" w:cs="Times New Roman"/>
          <w:i w:val="0"/>
          <w:caps w:val="0"/>
          <w:color w:val="000000"/>
          <w:spacing w:val="0"/>
          <w:sz w:val="31"/>
          <w:szCs w:val="31"/>
          <w:shd w:val="clear" w:color="auto" w:fill="FFFFFF"/>
          <w:lang w:eastAsia="zh-CN"/>
        </w:rPr>
        <w:t>，</w:t>
      </w:r>
      <w:r>
        <w:rPr>
          <w:rFonts w:hint="default" w:ascii="Times New Roman" w:hAnsi="Times New Roman" w:eastAsia="仿宋_GB2312" w:cs="Times New Roman"/>
          <w:i w:val="0"/>
          <w:caps w:val="0"/>
          <w:color w:val="000000"/>
          <w:spacing w:val="0"/>
          <w:sz w:val="31"/>
          <w:szCs w:val="31"/>
          <w:shd w:val="clear" w:color="auto" w:fill="FFFFFF"/>
        </w:rPr>
        <w:t>以本措施为准。国家法律法规等有新规定的，按新规定执行。</w:t>
      </w:r>
    </w:p>
    <w:p/>
    <w:p/>
    <w:sectPr>
      <w:footerReference r:id="rId5" w:type="first"/>
      <w:headerReference r:id="rId3" w:type="default"/>
      <w:footerReference r:id="rId4" w:type="default"/>
      <w:pgSz w:w="11906" w:h="16838"/>
      <w:pgMar w:top="1474" w:right="1304" w:bottom="147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32"/>
        <w:szCs w:val="32"/>
      </w:rPr>
    </w:pPr>
    <w:r>
      <w:rPr>
        <w:rStyle w:val="10"/>
        <w:rFonts w:ascii="宋体" w:hAnsi="宋体"/>
        <w:sz w:val="32"/>
        <w:szCs w:val="32"/>
      </w:rPr>
      <w:fldChar w:fldCharType="begin"/>
    </w:r>
    <w:r>
      <w:rPr>
        <w:rStyle w:val="10"/>
        <w:rFonts w:ascii="宋体" w:hAnsi="宋体"/>
        <w:sz w:val="32"/>
        <w:szCs w:val="32"/>
      </w:rPr>
      <w:instrText xml:space="preserve"> PAGE </w:instrText>
    </w:r>
    <w:r>
      <w:rPr>
        <w:rStyle w:val="10"/>
        <w:rFonts w:ascii="宋体" w:hAnsi="宋体"/>
        <w:sz w:val="32"/>
        <w:szCs w:val="32"/>
      </w:rPr>
      <w:fldChar w:fldCharType="separate"/>
    </w:r>
    <w:r>
      <w:rPr>
        <w:rStyle w:val="10"/>
        <w:rFonts w:ascii="宋体" w:hAnsi="宋体"/>
        <w:sz w:val="32"/>
        <w:szCs w:val="32"/>
      </w:rPr>
      <w:t>- 2 -</w:t>
    </w:r>
    <w:r>
      <w:rPr>
        <w:rStyle w:val="10"/>
        <w:rFonts w:ascii="宋体" w:hAnsi="宋体"/>
        <w:sz w:val="32"/>
        <w:szCs w:val="32"/>
      </w:rPr>
      <w:fldChar w:fldCharType="end"/>
    </w:r>
  </w:p>
  <w:p>
    <w:pPr>
      <w:pStyle w:val="5"/>
      <w:ind w:right="680" w:firstLine="360"/>
      <w:jc w:val="right"/>
      <w:rPr>
        <w:rFonts w:hint="eastAsia" w:ascii="宋体" w:hAnsi="宋体" w:cs="宋体"/>
        <w:b/>
        <w:bCs/>
        <w:color w:val="005192"/>
        <w:sz w:val="32"/>
        <w:szCs w:val="32"/>
      </w:rPr>
    </w:pPr>
  </w:p>
  <w:p>
    <w:pPr>
      <w:pStyle w:val="5"/>
      <w:ind w:right="520" w:firstLine="360"/>
      <w:jc w:val="right"/>
      <w:rPr>
        <w:rFonts w:hint="eastAsia" w:ascii="宋体" w:hAnsi="宋体" w:cs="宋体"/>
        <w:b/>
        <w:bCs/>
        <w:color w:val="005192"/>
        <w:sz w:val="32"/>
        <w:szCs w:val="32"/>
      </w:rPr>
    </w:pPr>
    <w: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171450</wp:posOffset>
              </wp:positionV>
              <wp:extent cx="5620385" cy="0"/>
              <wp:effectExtent l="0" t="12700" r="5715" b="0"/>
              <wp:wrapNone/>
              <wp:docPr id="4" name="直线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线连接符 4" o:spid="_x0000_s1026" o:spt="20" style="position:absolute;left:0pt;margin-left:14.4pt;margin-top:13.5pt;height:0pt;width:442.55pt;z-index:251659264;mso-width-relative:page;mso-height-relative:page;" filled="f" stroked="t" coordsize="21600,21600" o:gfxdata="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GCs+NUAAAAIAQAADwAAAAAAAAABACAAAAAi&#10;AAAAZHJzL2Rvd25yZXYueG1sUEsBAhQAFAAAAAgAh07iQJhWJC7UAQAAcgMAAA4AAAAAAAAAAQAg&#10;AAAAJAEAAGRycy9lMm9Eb2MueG1sUEsFBgAAAAAGAAYAWQEAAGoFAAAAAA==&#10;">
              <v:fill on="f" focussize="0,0"/>
              <v:stroke weight="1.75pt" color="#005192" miterlimit="8" joinstyle="miter"/>
              <v:imagedata o:title=""/>
              <o:lock v:ext="edit" aspectratio="f"/>
            </v:line>
          </w:pict>
        </mc:Fallback>
      </mc:AlternateContent>
    </w:r>
  </w:p>
  <w:p>
    <w:pPr>
      <w:pStyle w:val="5"/>
      <w:jc w:val="right"/>
    </w:pPr>
    <w:r>
      <w:rPr>
        <w:rFonts w:hint="eastAsia" w:ascii="宋体" w:hAnsi="宋体" w:cs="宋体"/>
        <w:b/>
        <w:bCs/>
        <w:color w:val="005192"/>
        <w:sz w:val="32"/>
        <w:szCs w:val="32"/>
      </w:rPr>
      <w:t>陕西省药品监督管理局发布</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247650" cy="131445"/>
              <wp:effectExtent l="0" t="0" r="0" b="0"/>
              <wp:wrapNone/>
              <wp:docPr id="3"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outside;mso-position-horizontal-relative:margin;mso-wrap-style:none;z-index:251656192;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7FI4NAAAAADAQAADwAAAAAAAAABACAAAAAiAAAA&#10;ZHJzL2Rvd25yZXYueG1sUEsBAhQAFAAAAAgAh07iQLiutX3WAQAAhAMAAA4AAAAAAAAAAQAgAAAA&#10;HwEAAGRycy9lMm9Eb2MueG1sUEsFBgAAAAAGAAYAWQEAAGc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textAlignment w:val="center"/>
      <w:rPr>
        <w:rFonts w:hint="eastAsia" w:ascii="宋体" w:hAnsi="宋体" w:cs="宋体"/>
        <w:b/>
        <w:bCs/>
        <w:color w:val="005192"/>
        <w:sz w:val="32"/>
        <w:szCs w:val="32"/>
      </w:rPr>
    </w:pPr>
    <w: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328295</wp:posOffset>
              </wp:positionV>
              <wp:extent cx="5833745" cy="0"/>
              <wp:effectExtent l="0" t="12700" r="8255" b="0"/>
              <wp:wrapNone/>
              <wp:docPr id="8" name="直线连接符 8"/>
              <wp:cNvGraphicFramePr/>
              <a:graphic xmlns:a="http://schemas.openxmlformats.org/drawingml/2006/main">
                <a:graphicData uri="http://schemas.microsoft.com/office/word/2010/wordprocessingShape">
                  <wps:wsp>
                    <wps:cNvCnPr/>
                    <wps:spPr>
                      <a:xfrm>
                        <a:off x="0" y="0"/>
                        <a:ext cx="583374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线连接符 8" o:spid="_x0000_s1026" o:spt="20" style="position:absolute;left:0pt;margin-left:-5.05pt;margin-top:25.85pt;height:0pt;width:459.35pt;z-index:251658240;mso-width-relative:page;mso-height-relative:page;" filled="f" stroked="t" coordsize="21600,21600" o:gfxdata="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0kkl1QAAAAkBAAAPAAAAAAAAAAEAIAAAACIA&#10;AABkcnMvZG93bnJldi54bWxQSwECFAAUAAAACACHTuJAMXmI+9MBAAByAwAADgAAAAAAAAABACAA&#10;AAAkAQAAZHJzL2Uyb0RvYy54bWxQSwUGAAAAAAYABgBZAQAAaQU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0" distR="0">
          <wp:extent cx="317500" cy="317500"/>
          <wp:effectExtent l="0" t="0" r="0" b="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317500"/>
                  </a:xfrm>
                  <a:prstGeom prst="rect">
                    <a:avLst/>
                  </a:prstGeom>
                  <a:noFill/>
                  <a:ln>
                    <a:noFill/>
                  </a:ln>
                </pic:spPr>
              </pic:pic>
            </a:graphicData>
          </a:graphic>
        </wp:inline>
      </w:drawing>
    </w:r>
    <w:r>
      <w:rPr>
        <w:rFonts w:hint="eastAsia" w:ascii="宋体" w:hAnsi="宋体" w:cs="宋体"/>
        <w:b/>
        <w:bCs/>
        <w:color w:val="005192"/>
        <w:sz w:val="32"/>
        <w:szCs w:val="32"/>
      </w:rPr>
      <w:t>陕西省药品监督管理局行政规范性文件</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6B2A0A"/>
    <w:rsid w:val="00017E5C"/>
    <w:rsid w:val="00025CE8"/>
    <w:rsid w:val="000325FE"/>
    <w:rsid w:val="00042503"/>
    <w:rsid w:val="00063866"/>
    <w:rsid w:val="000719B0"/>
    <w:rsid w:val="000851DC"/>
    <w:rsid w:val="000A6E5B"/>
    <w:rsid w:val="000D7570"/>
    <w:rsid w:val="00105EDB"/>
    <w:rsid w:val="00136311"/>
    <w:rsid w:val="00144573"/>
    <w:rsid w:val="001549A0"/>
    <w:rsid w:val="0019616C"/>
    <w:rsid w:val="001A0863"/>
    <w:rsid w:val="001D339E"/>
    <w:rsid w:val="001D628D"/>
    <w:rsid w:val="001D763D"/>
    <w:rsid w:val="001F3589"/>
    <w:rsid w:val="002004F4"/>
    <w:rsid w:val="0020182F"/>
    <w:rsid w:val="00213921"/>
    <w:rsid w:val="002315A8"/>
    <w:rsid w:val="0025512D"/>
    <w:rsid w:val="002836BC"/>
    <w:rsid w:val="002848D2"/>
    <w:rsid w:val="002B6FE6"/>
    <w:rsid w:val="00326A9C"/>
    <w:rsid w:val="00342B0A"/>
    <w:rsid w:val="00357C40"/>
    <w:rsid w:val="003A1122"/>
    <w:rsid w:val="003C3236"/>
    <w:rsid w:val="003E0A5A"/>
    <w:rsid w:val="003E70F0"/>
    <w:rsid w:val="004167F1"/>
    <w:rsid w:val="00441DD4"/>
    <w:rsid w:val="00441FB4"/>
    <w:rsid w:val="00473D8D"/>
    <w:rsid w:val="004800A1"/>
    <w:rsid w:val="004850BC"/>
    <w:rsid w:val="00493FE3"/>
    <w:rsid w:val="004A7661"/>
    <w:rsid w:val="004D2F8E"/>
    <w:rsid w:val="004E0696"/>
    <w:rsid w:val="00594A5B"/>
    <w:rsid w:val="005962ED"/>
    <w:rsid w:val="005F0295"/>
    <w:rsid w:val="0060464A"/>
    <w:rsid w:val="006613CA"/>
    <w:rsid w:val="006B2A29"/>
    <w:rsid w:val="006B7E05"/>
    <w:rsid w:val="006D0062"/>
    <w:rsid w:val="006D1C09"/>
    <w:rsid w:val="00701710"/>
    <w:rsid w:val="0070496B"/>
    <w:rsid w:val="0073380A"/>
    <w:rsid w:val="007472FD"/>
    <w:rsid w:val="00760A2F"/>
    <w:rsid w:val="00760B73"/>
    <w:rsid w:val="007730F7"/>
    <w:rsid w:val="007801E2"/>
    <w:rsid w:val="007A257A"/>
    <w:rsid w:val="00827AEE"/>
    <w:rsid w:val="0084200D"/>
    <w:rsid w:val="008434D1"/>
    <w:rsid w:val="00882790"/>
    <w:rsid w:val="00891C69"/>
    <w:rsid w:val="008972D0"/>
    <w:rsid w:val="008A11F3"/>
    <w:rsid w:val="008A7AB5"/>
    <w:rsid w:val="008E4B87"/>
    <w:rsid w:val="008F2FFC"/>
    <w:rsid w:val="008F7F55"/>
    <w:rsid w:val="009157D0"/>
    <w:rsid w:val="0095673A"/>
    <w:rsid w:val="00957389"/>
    <w:rsid w:val="00976BFA"/>
    <w:rsid w:val="00981382"/>
    <w:rsid w:val="009879CF"/>
    <w:rsid w:val="00993857"/>
    <w:rsid w:val="009A47F3"/>
    <w:rsid w:val="00A00D33"/>
    <w:rsid w:val="00A0633C"/>
    <w:rsid w:val="00A20E8A"/>
    <w:rsid w:val="00A325EF"/>
    <w:rsid w:val="00A51B06"/>
    <w:rsid w:val="00A578FF"/>
    <w:rsid w:val="00AB60F5"/>
    <w:rsid w:val="00AB76BD"/>
    <w:rsid w:val="00AD2E03"/>
    <w:rsid w:val="00AD578A"/>
    <w:rsid w:val="00AE1E24"/>
    <w:rsid w:val="00B151FB"/>
    <w:rsid w:val="00B40D10"/>
    <w:rsid w:val="00B76492"/>
    <w:rsid w:val="00B9306A"/>
    <w:rsid w:val="00BC6B41"/>
    <w:rsid w:val="00C10A01"/>
    <w:rsid w:val="00C62454"/>
    <w:rsid w:val="00C97786"/>
    <w:rsid w:val="00CA16B4"/>
    <w:rsid w:val="00CB687F"/>
    <w:rsid w:val="00CC49C3"/>
    <w:rsid w:val="00CE0C87"/>
    <w:rsid w:val="00CE44E1"/>
    <w:rsid w:val="00CF28D3"/>
    <w:rsid w:val="00D506BB"/>
    <w:rsid w:val="00D520C6"/>
    <w:rsid w:val="00D714C5"/>
    <w:rsid w:val="00D93020"/>
    <w:rsid w:val="00DE474C"/>
    <w:rsid w:val="00E0372E"/>
    <w:rsid w:val="00E224E1"/>
    <w:rsid w:val="00E50F13"/>
    <w:rsid w:val="00E73BCD"/>
    <w:rsid w:val="00E862C2"/>
    <w:rsid w:val="00E97C15"/>
    <w:rsid w:val="00F10D5E"/>
    <w:rsid w:val="00F41300"/>
    <w:rsid w:val="00F74E41"/>
    <w:rsid w:val="00F8728C"/>
    <w:rsid w:val="00FA07AF"/>
    <w:rsid w:val="00FA34C6"/>
    <w:rsid w:val="00FB4E57"/>
    <w:rsid w:val="00FD32BE"/>
    <w:rsid w:val="022C1021"/>
    <w:rsid w:val="034A5B12"/>
    <w:rsid w:val="09C70027"/>
    <w:rsid w:val="0F781085"/>
    <w:rsid w:val="16B3612C"/>
    <w:rsid w:val="1AA86C31"/>
    <w:rsid w:val="1BB04183"/>
    <w:rsid w:val="1C637351"/>
    <w:rsid w:val="24962E75"/>
    <w:rsid w:val="24CF6821"/>
    <w:rsid w:val="251B07CC"/>
    <w:rsid w:val="294B03D6"/>
    <w:rsid w:val="36BC46FF"/>
    <w:rsid w:val="37973638"/>
    <w:rsid w:val="38720C2F"/>
    <w:rsid w:val="3ADF5509"/>
    <w:rsid w:val="3AE11188"/>
    <w:rsid w:val="403074D9"/>
    <w:rsid w:val="429E0919"/>
    <w:rsid w:val="44B953A2"/>
    <w:rsid w:val="4869344D"/>
    <w:rsid w:val="49807879"/>
    <w:rsid w:val="49BB30DD"/>
    <w:rsid w:val="4BDA09B4"/>
    <w:rsid w:val="4DD47A20"/>
    <w:rsid w:val="4E605885"/>
    <w:rsid w:val="4F6D6896"/>
    <w:rsid w:val="51A11272"/>
    <w:rsid w:val="529C352B"/>
    <w:rsid w:val="561C6327"/>
    <w:rsid w:val="56D942FE"/>
    <w:rsid w:val="572B04AD"/>
    <w:rsid w:val="59833671"/>
    <w:rsid w:val="598C2144"/>
    <w:rsid w:val="59D76B43"/>
    <w:rsid w:val="5BA3618D"/>
    <w:rsid w:val="5BAD4364"/>
    <w:rsid w:val="5F5B0FD1"/>
    <w:rsid w:val="611E2D4E"/>
    <w:rsid w:val="675E23B7"/>
    <w:rsid w:val="67C164CE"/>
    <w:rsid w:val="69A10B87"/>
    <w:rsid w:val="6D6B2A0A"/>
    <w:rsid w:val="6FC91D51"/>
    <w:rsid w:val="701E2E54"/>
    <w:rsid w:val="71790412"/>
    <w:rsid w:val="730A0E31"/>
    <w:rsid w:val="738051C7"/>
    <w:rsid w:val="77012E1C"/>
    <w:rsid w:val="7B9F5517"/>
    <w:rsid w:val="7D3A74EC"/>
    <w:rsid w:val="7D3E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uiPriority w:val="0"/>
  </w:style>
  <w:style w:type="character" w:styleId="11">
    <w:name w:val="FollowedHyperlink"/>
    <w:qFormat/>
    <w:uiPriority w:val="0"/>
    <w:rPr>
      <w:color w:val="000000"/>
      <w:u w:val="single"/>
    </w:rPr>
  </w:style>
  <w:style w:type="character" w:styleId="12">
    <w:name w:val="Hyperlink"/>
    <w:qFormat/>
    <w:uiPriority w:val="0"/>
    <w:rPr>
      <w:color w:val="000000"/>
      <w:u w:val="single"/>
    </w:rPr>
  </w:style>
  <w:style w:type="character" w:customStyle="1" w:styleId="13">
    <w:name w:val="href"/>
    <w:qFormat/>
    <w:uiPriority w:val="0"/>
    <w:rPr>
      <w:color w:val="0000FF"/>
      <w:u w:val="single"/>
    </w:rPr>
  </w:style>
  <w:style w:type="character" w:customStyle="1" w:styleId="14">
    <w:name w:val="first-child"/>
    <w:qFormat/>
    <w:uiPriority w:val="0"/>
    <w:rPr>
      <w:vanish/>
    </w:rPr>
  </w:style>
  <w:style w:type="paragraph" w:customStyle="1" w:styleId="15">
    <w:name w:val="HTML Top of Form"/>
    <w:basedOn w:val="1"/>
    <w:next w:val="1"/>
    <w:qFormat/>
    <w:uiPriority w:val="0"/>
    <w:pPr>
      <w:pBdr>
        <w:bottom w:val="single" w:color="auto" w:sz="6" w:space="1"/>
      </w:pBdr>
      <w:jc w:val="center"/>
    </w:pPr>
    <w:rPr>
      <w:rFonts w:ascii="Arial" w:hAnsi="Arial" w:cs="Arial"/>
      <w:vanish/>
      <w:sz w:val="16"/>
      <w:szCs w:val="16"/>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1298</Words>
  <Characters>1338</Characters>
  <Lines>44</Lines>
  <Paragraphs>12</Paragraphs>
  <TotalTime>5</TotalTime>
  <ScaleCrop>false</ScaleCrop>
  <LinksUpToDate>false</LinksUpToDate>
  <CharactersWithSpaces>1339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2022-08-10T09:20:00Z</dcterms:created>
  <dc:creator>管理员</dc:creator>
  <cp:lastModifiedBy>鸟枪猎手</cp:lastModifiedBy>
  <cp:lastPrinted>2018-02-05T07:56:00Z</cp:lastPrinted>
  <dcterms:modified xsi:type="dcterms:W3CDTF">2023-11-02T02:22:31Z</dcterms:modified>
  <dc:title>陕食药监办发[2008]155号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