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0" w:lineRule="exact"/>
        <w:jc w:val="center"/>
        <w:textAlignment w:val="auto"/>
        <w:rPr>
          <w:rFonts w:ascii="宋体" w:hAnsi="宋体" w:cs="宋体"/>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-422275</wp:posOffset>
                </wp:positionH>
                <wp:positionV relativeFrom="paragraph">
                  <wp:posOffset>-1139825</wp:posOffset>
                </wp:positionV>
                <wp:extent cx="1161415" cy="493395"/>
                <wp:effectExtent l="0" t="0" r="0" b="0"/>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rgbClr val="FFFFFF"/>
                        </a:solidFill>
                        <a:ln w="12700">
                          <a:noFill/>
                        </a:ln>
                        <a:effectLst/>
                      </wps:spPr>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8240;mso-width-relative:page;mso-height-relative:page;" fillcolor="#FFFFFF"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WFBxtkkCAABr&#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IhkYgL1BUMPJyGDZZvN21HzgaKA3Jj4bRczvBlhU2v&#10;mPOPzOI24d7hC/EPeEgFWBM6i5IS7Ke/3Qc8ioxRShrczpy6jztmBSXqjUb5x2mWhXWOTjYcDdCx&#10;15HNdUTv6gUgFygxdhfNgPfqbEoL9Qd8SPNQVTLlsBDTHOuj2Gdz4dHrgvgguZjPLz4us2F+pdeG&#10;d+sR+NMw33mQVRQssHaiCqUIDm50FKV7feHJXPsR9fQfMfs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nOn4UtoAAAANAQAADwAAAAAAAAABACAAAAA4AAAAZHJzL2Rvd25yZXYueG1sUEsBAhQAFAAA&#10;AAgAh07iQFhQcbZJAgAAawQAAA4AAAAAAAAAAQAgAAAAPwEAAGRycy9lMm9Eb2MueG1sUEsFBgAA&#10;AAAGAAYAWQEAAPoFAAAAAA==&#10;">
                <v:fill on="t" focussize="0,0"/>
                <v:stroke on="f" weight="1pt"/>
                <v:imagedata o:title=""/>
                <o:lock v:ext="edit" aspectratio="f"/>
                <v:textbox>
                  <w:txbxContent>
                    <w:p/>
                  </w:txbxContent>
                </v:textbox>
              </v:shape>
            </w:pict>
          </mc:Fallback>
        </mc:AlternateContent>
      </w:r>
    </w:p>
    <w:p>
      <w:pPr>
        <w:keepNext w:val="0"/>
        <w:keepLines w:val="0"/>
        <w:pageBreakBefore w:val="0"/>
        <w:kinsoku/>
        <w:overflowPunct/>
        <w:topLinePunct w:val="0"/>
        <w:autoSpaceDE/>
        <w:autoSpaceDN/>
        <w:bidi w:val="0"/>
        <w:adjustRightInd/>
        <w:snapToGrid/>
        <w:spacing w:line="570" w:lineRule="exact"/>
        <w:textAlignment w:val="auto"/>
        <w:rPr>
          <w:rFonts w:ascii="宋体" w:hAnsi="宋体" w:cs="宋体"/>
          <w:sz w:val="44"/>
          <w:szCs w:val="44"/>
        </w:rPr>
      </w:pPr>
    </w:p>
    <w:p>
      <w:pPr>
        <w:keepNext w:val="0"/>
        <w:keepLines w:val="0"/>
        <w:pageBreakBefore w:val="0"/>
        <w:widowControl/>
        <w:kinsoku/>
        <w:overflowPunct/>
        <w:topLinePunct w:val="0"/>
        <w:autoSpaceDE/>
        <w:autoSpaceDN/>
        <w:bidi w:val="0"/>
        <w:adjustRightInd/>
        <w:snapToGrid/>
        <w:spacing w:line="570" w:lineRule="exact"/>
        <w:jc w:val="center"/>
        <w:textAlignment w:val="auto"/>
        <w:rPr>
          <w:rFonts w:hint="eastAsia" w:ascii="宋体" w:hAnsi="宋体" w:eastAsia="宋体" w:cs="宋体"/>
          <w:color w:val="333333"/>
          <w:kern w:val="0"/>
          <w:sz w:val="44"/>
          <w:szCs w:val="44"/>
          <w:shd w:val="clear" w:color="auto" w:fill="FFFFFF"/>
          <w:lang w:bidi="ar"/>
        </w:rPr>
      </w:pPr>
      <w:r>
        <w:rPr>
          <w:rFonts w:hint="eastAsia" w:ascii="宋体" w:hAnsi="宋体" w:eastAsia="宋体" w:cs="宋体"/>
          <w:color w:val="333333"/>
          <w:kern w:val="0"/>
          <w:sz w:val="44"/>
          <w:szCs w:val="44"/>
          <w:shd w:val="clear" w:color="auto" w:fill="FFFFFF"/>
          <w:lang w:bidi="ar"/>
        </w:rPr>
        <w:t>陕西省司法厅关于印发《陕西省司法鉴定</w:t>
      </w:r>
    </w:p>
    <w:p>
      <w:pPr>
        <w:keepNext w:val="0"/>
        <w:keepLines w:val="0"/>
        <w:pageBreakBefore w:val="0"/>
        <w:widowControl/>
        <w:kinsoku/>
        <w:overflowPunct/>
        <w:topLinePunct w:val="0"/>
        <w:autoSpaceDE/>
        <w:autoSpaceDN/>
        <w:bidi w:val="0"/>
        <w:adjustRightInd/>
        <w:snapToGrid/>
        <w:spacing w:line="570" w:lineRule="exact"/>
        <w:jc w:val="center"/>
        <w:textAlignment w:val="auto"/>
        <w:rPr>
          <w:rFonts w:hint="eastAsia" w:ascii="宋体" w:hAnsi="宋体" w:eastAsia="宋体" w:cs="宋体"/>
          <w:color w:val="333333"/>
          <w:kern w:val="0"/>
          <w:sz w:val="44"/>
          <w:szCs w:val="44"/>
          <w:shd w:val="clear" w:color="auto" w:fill="FFFFFF"/>
          <w:lang w:bidi="ar"/>
        </w:rPr>
      </w:pPr>
      <w:r>
        <w:rPr>
          <w:rFonts w:hint="eastAsia" w:ascii="宋体" w:hAnsi="宋体" w:eastAsia="宋体" w:cs="宋体"/>
          <w:color w:val="333333"/>
          <w:kern w:val="0"/>
          <w:sz w:val="44"/>
          <w:szCs w:val="44"/>
          <w:shd w:val="clear" w:color="auto" w:fill="FFFFFF"/>
          <w:lang w:bidi="ar"/>
        </w:rPr>
        <w:t>执业年度考核办法（试行）》《陕西省司法</w:t>
      </w:r>
    </w:p>
    <w:p>
      <w:pPr>
        <w:keepNext w:val="0"/>
        <w:keepLines w:val="0"/>
        <w:pageBreakBefore w:val="0"/>
        <w:widowControl/>
        <w:kinsoku/>
        <w:overflowPunct/>
        <w:topLinePunct w:val="0"/>
        <w:autoSpaceDE/>
        <w:autoSpaceDN/>
        <w:bidi w:val="0"/>
        <w:adjustRightInd/>
        <w:snapToGrid/>
        <w:spacing w:line="570" w:lineRule="exact"/>
        <w:jc w:val="center"/>
        <w:textAlignment w:val="auto"/>
        <w:rPr>
          <w:rFonts w:hint="eastAsia" w:ascii="宋体" w:hAnsi="宋体" w:eastAsia="宋体" w:cs="宋体"/>
          <w:color w:val="333333"/>
          <w:kern w:val="0"/>
          <w:sz w:val="44"/>
          <w:szCs w:val="44"/>
          <w:shd w:val="clear" w:color="auto" w:fill="FFFFFF"/>
          <w:lang w:bidi="ar"/>
        </w:rPr>
      </w:pPr>
      <w:r>
        <w:rPr>
          <w:rFonts w:hint="eastAsia" w:ascii="宋体" w:hAnsi="宋体" w:eastAsia="宋体" w:cs="宋体"/>
          <w:color w:val="333333"/>
          <w:kern w:val="0"/>
          <w:sz w:val="44"/>
          <w:szCs w:val="44"/>
          <w:shd w:val="clear" w:color="auto" w:fill="FFFFFF"/>
          <w:lang w:bidi="ar"/>
        </w:rPr>
        <w:t>鉴定执业年度考核项目和评分标准</w:t>
      </w:r>
    </w:p>
    <w:p>
      <w:pPr>
        <w:keepNext w:val="0"/>
        <w:keepLines w:val="0"/>
        <w:pageBreakBefore w:val="0"/>
        <w:widowControl/>
        <w:kinsoku/>
        <w:overflowPunct/>
        <w:topLinePunct w:val="0"/>
        <w:autoSpaceDE/>
        <w:autoSpaceDN/>
        <w:bidi w:val="0"/>
        <w:adjustRightInd/>
        <w:snapToGrid/>
        <w:spacing w:line="570" w:lineRule="exact"/>
        <w:jc w:val="center"/>
        <w:textAlignment w:val="auto"/>
        <w:rPr>
          <w:rFonts w:ascii="方正小标宋简体" w:hAnsi="方正小标宋简体" w:eastAsia="方正小标宋简体" w:cs="方正小标宋简体"/>
          <w:sz w:val="44"/>
          <w:szCs w:val="44"/>
        </w:rPr>
      </w:pPr>
      <w:r>
        <w:rPr>
          <w:rFonts w:hint="eastAsia" w:ascii="宋体" w:hAnsi="宋体" w:eastAsia="宋体" w:cs="宋体"/>
          <w:color w:val="333333"/>
          <w:kern w:val="0"/>
          <w:sz w:val="44"/>
          <w:szCs w:val="44"/>
          <w:shd w:val="clear" w:color="auto" w:fill="FFFFFF"/>
          <w:lang w:bidi="ar"/>
        </w:rPr>
        <w:t>（试行）》的通知</w:t>
      </w:r>
    </w:p>
    <w:p>
      <w:pPr>
        <w:keepNext w:val="0"/>
        <w:keepLines w:val="0"/>
        <w:pageBreakBefore w:val="0"/>
        <w:kinsoku/>
        <w:overflowPunct/>
        <w:topLinePunct w:val="0"/>
        <w:autoSpaceDE/>
        <w:autoSpaceDN/>
        <w:bidi w:val="0"/>
        <w:adjustRightInd/>
        <w:snapToGrid/>
        <w:spacing w:line="570" w:lineRule="exact"/>
        <w:ind w:firstLine="640" w:firstLineChars="200"/>
        <w:jc w:val="center"/>
        <w:textAlignment w:val="auto"/>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陕司通〔2016〕188号</w:t>
      </w:r>
    </w:p>
    <w:p>
      <w:pPr>
        <w:keepNext w:val="0"/>
        <w:keepLines w:val="0"/>
        <w:pageBreakBefore w:val="0"/>
        <w:kinsoku/>
        <w:overflowPunct/>
        <w:topLinePunct w:val="0"/>
        <w:autoSpaceDE/>
        <w:autoSpaceDN/>
        <w:bidi w:val="0"/>
        <w:adjustRightInd/>
        <w:snapToGrid/>
        <w:spacing w:line="570" w:lineRule="exact"/>
        <w:textAlignment w:val="auto"/>
        <w:rPr>
          <w:rFonts w:ascii="宋体" w:hAnsi="宋体" w:eastAsia="宋体" w:cs="宋体"/>
          <w:color w:val="333333"/>
          <w:sz w:val="36"/>
          <w:szCs w:val="36"/>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各设区市、杨凌示范区、韩城市司法局，省属各司法鉴定机构：</w:t>
      </w: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现将《陕西省司法鉴定执业年度考核办法（试行）》《陕西省司法鉴定执业年度考核项目和评分标准（试行）》印发你们，请认真学习并贯彻执行。</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ind w:firstLine="5852" w:firstLineChars="19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陕西省司法厅</w:t>
      </w:r>
    </w:p>
    <w:p>
      <w:pPr>
        <w:keepNext w:val="0"/>
        <w:keepLines w:val="0"/>
        <w:pageBreakBefore w:val="0"/>
        <w:kinsoku/>
        <w:overflowPunct/>
        <w:topLinePunct w:val="0"/>
        <w:autoSpaceDE/>
        <w:autoSpaceDN/>
        <w:bidi w:val="0"/>
        <w:adjustRightInd/>
        <w:snapToGrid/>
        <w:spacing w:line="570" w:lineRule="exact"/>
        <w:ind w:firstLine="5544" w:firstLineChars="18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2016年12月7日</w:t>
      </w: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sans-serif" w:eastAsia="仿宋_GB2312" w:cs="仿宋_GB2312"/>
          <w:color w:val="000000"/>
          <w:spacing w:val="-6"/>
          <w:sz w:val="32"/>
          <w:szCs w:val="32"/>
          <w:shd w:val="clear" w:color="auto" w:fill="FFFFFF"/>
        </w:rPr>
      </w:pPr>
      <w:r>
        <w:rPr>
          <w:rFonts w:hint="eastAsia" w:asciiTheme="majorEastAsia" w:hAnsiTheme="majorEastAsia" w:eastAsiaTheme="majorEastAsia" w:cstheme="majorEastAsia"/>
          <w:color w:val="000000"/>
          <w:spacing w:val="-6"/>
          <w:sz w:val="44"/>
          <w:szCs w:val="44"/>
          <w:shd w:val="clear" w:color="auto" w:fill="FFFFFF"/>
        </w:rPr>
        <w:t>陕西省司法鉴定执业年度考核办法（试行）</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一条  为了依法规范全省司法鉴定工作，加强对司法鉴定机构和司法鉴定人的监督管理，根据全国人民代表大会常务委员会《关于司法鉴定管理问题的决定》、司法部《司法鉴定机构登记管理办法》、《司法鉴定人登记管理办法》、《司法鉴定程序通则》和《陕西省司法鉴定管理条例》等规定，结合我省实际，制定本办法。</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第二条  本办法适用于经省司法厅审核登记的司法鉴定机构和司法鉴定人的年度考核工作。</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法律法规另有规定的，从其规定。</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第三条  本办法的年度考核，是指司法行政机关和司法鉴定协会对司法鉴定机构和司法鉴定人的执业情况按年度进行定期检查并作出评价的活动。</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第四条  年度考核遵循依法、客观、公开、公正的原则。</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第五条  省司法厅负责统一组织对司法鉴定执业的年度考核工作。省司法鉴定协会、各市司法局配合省司法厅实施对全省司法鉴定机构和司法鉴定人的年度考核。</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司法鉴定机构按照本办法的规定，协助实施对本机构司法鉴定人的年度考核。</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第六条  司法鉴定机构年度考核内容：</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（一）执业资质情况，包括执业场所建设、变更登记、仪器设备配置更新、业务项目、鉴定人配备、开展认证认可和能力验证等情况；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（二）依法执业情况，包括遵守法律、法规和规章情况；遵循司法鉴定程序、技术标准和操作规范情况；受到投诉和奖惩等情况；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（三）内部管理情况，包括人员管理、业务和流程管理、质量管理、档案管理、收费和财务管理制度建设和实施情况；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（四）队伍建设情况，包括司法鉴定人状况、党建工作、政策理论和法律学习、宣传教育和专业培训等情况；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（五）其他情况，包括接受司法鉴定管理部门监督管理，参加相关专项活动、落实工作部署要求情况；履行司法鉴定行业协会会员义务、司法鉴定援助和开展公益服务情况；其他需要纳入考核的事项。</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第七条  司法鉴定人年度考核内容：</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（一）执业资质情况，包括学历、职称、执业资格、工作经历、专业技能和变更登记等基本情况；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（二）执业表现情况，包括办理案件数量和质量、履行出庭作证和鉴定援助义务、开展公益活动情况；办理重大鉴定事项、依法规范执业、廉洁诚信服务、受到投诉和奖惩等情况；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（三）教育培训情况，包括参加政治思想、政策理论、法律知识、职业道德和执业纪律、继续教育、业务培训、交流研讨等情况；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（四）其他情况，包括接受司法鉴定管理部门的监督管理情况；履行司法鉴定协会会员义务、参加行业活动情况；其他需要纳入考核的事项。</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第八条  对司法鉴定机构和司法鉴定人年度考核的具体项目和标准，由省司法鉴定管理部门根据本办法第六条、第七条规定的考核内容另行制定。</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第九条  接受年度考核的司法鉴定机构应当按照本办法和年度考核的具体项目和标准，对当年度执业情况进行自查和总结，形成书面材料上报所属的市司法局和省司法厅。  </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接受年度考核的司法鉴定人应当按照本办法和年度考核的具体项目和标准，对当年度执业情况进行自查和总结，形成书面材料报所属的司法鉴定机构备查。</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第十条  考核应当采取核查资料、现场测评、评查案卷、分项计分等方式方法进行。</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年度考核评查案卷不得少于总案卷的3%至5%，当年度办理案件数的5%少于10件的，评查所有案卷。</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一条  对司法鉴定机构和司法鉴定人年度考核采用分项计分的方法作出综合评价，对照具体考核项目和标准，符合项计分，否则不计分。考核结果实行百分制，分为“合格”、“基本合格”和“不合格”三个等次。总计分在80分以上的（含80分），年度考核等次为“合格”；总计分在60分以上80分以下的（含60分），年度考核等次为“基本合格”；总计分低于60分的，年度考核等次为“不合格”。</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第十二条  司法鉴定机构有下列情形之一的，年度考核应当确定为“不合格”：</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（一）提交年度考核材料或者接受司法鉴定管理部门监督检查时，存在严重弄虚作假行为的；</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（二）无正当理由不参加司法鉴定管理部门重大活动或者工作安排部署的；</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（三）因过错被多次投诉且不配合司法鉴定管理部门调查处理，造成缠诉闹访或者行政复议、诉讼案件的；</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（四）因违法违纪受到行政处罚以上的；</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（五）不能保持法定设立条件的；</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（六）其他根据法律法规应当确定年度考核不合格的情形。</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第十三条  司法鉴定人有下列情形之一的，年度考核应当确定为“不合格”：</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（一）提交年度考核材料或者接受司法鉴定管理部门监督检查时，存在严重弄虚作假行为的；</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（二）因过错被多次投诉且不配合司法鉴定管理部门调查处理，造成缠诉闹访或者行政复议、诉讼案件的；</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（三）无正当理由不参加司法鉴定管理部门重大活动或者工作安排部署的；</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（四）其他根据相关法律法规和规章制度，应当予以确定年度考核不合格的情形。</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第十四条  司法鉴定机构接受年度考核，应当对照本办法和年度考核的具体项目、评分标准，在规定时间内向所属管理部门提交下列材料：</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（一）年度考核申报表、业务统计报表；年度收费情况；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（二）年度执业情况总结报告、财务资产审计报告（会计师事务所出具）；</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（三）通过能力验证、认证认可或者取得相关行业资质的证明（复印件）；</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（四）本机构的法人或者其他组织的法人证书、营业执照、纳税凭证（复印件）；执业场所、仪器设备清单和运行情况；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（五）年度司法鉴定人及其执业情况；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（六）年度内获得表彰奖励的证明（复印件）；受到行政处罚或者行业惩戒的情况说明；</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（七）开展教育培训情况，包括参加政治思想、法律知识、职业道德和执业纪律、继续教育、业务培训、交流研讨等情况；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（八）规范化建设情况，包括制度建设、内部管理和运行情况；党建工作、宣传报道等情况；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（九）其他应提交的材料，包括履行司法鉴定协会会员义务、缴纳会费，司法鉴定援助和开展公益服务等情况。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第十五条  司法鉴定人接受年度考核，应当在规定时间内向所属司法鉴定机构提交下列材料：</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（一）年度考核申报表；</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（二）年度执业情况总结报告；</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（三）参加有关教育培训，通过相关能力评价的证明（复印件）；</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（四）年度内获得表彰奖励的证明（复印件）、受到行政处罚或者行业惩戒的情况说明；</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（五）履行司法鉴定协会会员义务、司法鉴定援助、出庭作证等义务的证明材料。</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（六）其他应提交的材料。</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第十六条  司法鉴定机构和司法鉴定人对报送的年度考核材料的真实性负责。</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省司法厅和市司法局收到司法鉴定机构报送的年度考核材料后，应当即时登记，发现材料不符合规定要求或者有疑义的，应当要求司法鉴定机构及时补正或者做出说明，必要时可以进行调查核实；提交的材料是复印件的，应当查验原件后由相关单位在复印件上盖章注明查验情况。</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七条  司法鉴定机构应当在规定的时间内，按照本办法的规定，完成对本机构司法鉴定人年度考核材料和执业情况的审查、评价工作，出具初审意见和考核等次的评定建议，经本人阅签意见后，将考核评定建议报送市司法局、省司法厅。</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省司法厅司法鉴定管理部门和市司法局分别负责对省属和市属司法鉴定机构报送的年度考核材料及其司法鉴定人的考核评定建议的初审并提出意见。</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第十八条  省司法厅收到市司法局和司法鉴定机构报送的年度考核材料及初审评定意见后，应当按照本办法的规定进行审查，并根据审查结果为司法鉴定机构和司法鉴定人评定考核等次。</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省司法厅在年度考核时，应当征询法院、检察院、公安等机关和司法鉴定协会的意见。</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第十九条  省司法厅在审查中发现司法鉴定机构和司法鉴定人的年度考核材料、初审评定意见与实际情况不符，或者收到相关投诉、举报的，应当进行调查核实或者责成相关司法鉴定机构重新进行审查和评价。</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条  司法鉴定机构和司法鉴定人涉嫌违法违纪正在接受查处，或者受到停止执业处罚期限未满、停业整改期限未满的，暂缓年度考核；待有查处结果或者处罚、整改期满后，再视查处、整改情况确定是否参加年度考核。</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第二十一条  司法鉴定机构和司法鉴定人不按规定时限和要求报送年度考核材料的，主管司法鉴定管理部门应当书面通知其限期接受年度考核；无正当理由逾期仍不接受年度考核的，按照考核“不合格”处理。</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第二十二条  省司法厅完成对司法鉴定机构和司法鉴定人的年度考核材料审查和等次评定后，应当在省司法厅网站上公示，期限不得少于7日。公示期内收到有关投诉、举报的，按照第十九条的规定处理。</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三条  司法鉴定机构应当于每年12月20日前完成年度考核材料和初审评定意见的报送工作。省司法厅收到相关材料后及时进行审核和汇总，并于次年2月底前将全省司法鉴定机构和司法鉴定人的年度考核结果在省司法厅门户网站公告。</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第二十四条  司法鉴定机构和司法鉴定人的年度考核结果，作为省司法厅本年度编制名册和公告的依据。</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对在省司法厅备案的全省检察、公安、国家安全等机关所属的司法鉴定机构和司法鉴定人的年度考核，由省检察院、省公安厅、省国家安全厅等参照本办法自行安排，将考核结果报省司法厅备查。  </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第二十五条  对于年度考核“不合格”的司法鉴定机构和司法鉴定人，省司法厅在全省进行通报并责令限期整改，逾期未达到整改要求的，次年度暂缓编入名册和公告，或者按有关法律法规的规定处理。</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第二十六条  司法鉴定机构和司法鉴定人年度考核结果，应当分别记入其执业档案。</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第二十七条  本办法由省司法厅负责解释。</w:t>
      </w:r>
    </w:p>
    <w:p>
      <w:pPr>
        <w:keepNext w:val="0"/>
        <w:keepLines w:val="0"/>
        <w:pageBreakBefore w:val="0"/>
        <w:kinsoku/>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第二十八条  本办法自下发之日起施行。</w:t>
      </w:r>
    </w:p>
    <w:p>
      <w:pPr>
        <w:keepNext w:val="0"/>
        <w:keepLines w:val="0"/>
        <w:widowControl/>
        <w:suppressLineNumbers w:val="0"/>
        <w:jc w:val="center"/>
        <w:rPr>
          <w:rFonts w:hint="eastAsia" w:asciiTheme="majorEastAsia" w:hAnsiTheme="majorEastAsia" w:eastAsiaTheme="majorEastAsia" w:cstheme="majorEastAsia"/>
          <w:i w:val="0"/>
          <w:caps w:val="0"/>
          <w:color w:val="000000"/>
          <w:spacing w:val="0"/>
          <w:kern w:val="0"/>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i w:val="0"/>
          <w:caps w:val="0"/>
          <w:color w:val="000000"/>
          <w:spacing w:val="0"/>
          <w:kern w:val="0"/>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i w:val="0"/>
          <w:caps w:val="0"/>
          <w:color w:val="000000"/>
          <w:spacing w:val="0"/>
          <w:kern w:val="0"/>
          <w:sz w:val="44"/>
          <w:szCs w:val="44"/>
          <w:lang w:val="en-US" w:eastAsia="zh-CN" w:bidi="ar"/>
        </w:rPr>
      </w:pPr>
      <w:r>
        <w:rPr>
          <w:rFonts w:hint="eastAsia" w:asciiTheme="majorEastAsia" w:hAnsiTheme="majorEastAsia" w:eastAsiaTheme="majorEastAsia" w:cstheme="majorEastAsia"/>
          <w:i w:val="0"/>
          <w:caps w:val="0"/>
          <w:color w:val="000000"/>
          <w:spacing w:val="0"/>
          <w:kern w:val="0"/>
          <w:sz w:val="44"/>
          <w:szCs w:val="44"/>
          <w:lang w:val="en-US" w:eastAsia="zh-CN" w:bidi="ar"/>
        </w:rPr>
        <w:t>陕西省司法鉴定执业年度考核项目</w:t>
      </w:r>
    </w:p>
    <w:p>
      <w:pPr>
        <w:keepNext w:val="0"/>
        <w:keepLines w:val="0"/>
        <w:widowControl/>
        <w:suppressLineNumbers w:val="0"/>
        <w:jc w:val="center"/>
      </w:pPr>
      <w:r>
        <w:rPr>
          <w:rFonts w:hint="eastAsia" w:asciiTheme="majorEastAsia" w:hAnsiTheme="majorEastAsia" w:eastAsiaTheme="majorEastAsia" w:cstheme="majorEastAsia"/>
          <w:i w:val="0"/>
          <w:caps w:val="0"/>
          <w:color w:val="000000"/>
          <w:spacing w:val="0"/>
          <w:kern w:val="0"/>
          <w:sz w:val="44"/>
          <w:szCs w:val="44"/>
          <w:lang w:val="en-US" w:eastAsia="zh-CN" w:bidi="ar"/>
        </w:rPr>
        <w:t>和评分标准（试行）</w:t>
      </w:r>
    </w:p>
    <w:tbl>
      <w:tblPr>
        <w:tblStyle w:val="10"/>
        <w:tblpPr w:leftFromText="180" w:rightFromText="180" w:vertAnchor="text" w:horzAnchor="page" w:tblpX="705" w:tblpY="659"/>
        <w:tblOverlap w:val="never"/>
        <w:tblW w:w="107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left w:w="108" w:type="dxa"/>
          <w:right w:w="108" w:type="dxa"/>
        </w:tblCellMar>
      </w:tblPr>
      <w:tblGrid>
        <w:gridCol w:w="1579"/>
        <w:gridCol w:w="2733"/>
        <w:gridCol w:w="3759"/>
        <w:gridCol w:w="1584"/>
        <w:gridCol w:w="11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842" w:hRule="atLeast"/>
        </w:trPr>
        <w:tc>
          <w:tcPr>
            <w:tcW w:w="4312" w:type="dxa"/>
            <w:gridSpan w:val="2"/>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sans-serif" w:eastAsia="仿宋_GB2312" w:cs="仿宋_GB2312"/>
                <w:color w:val="000000"/>
                <w:spacing w:val="-6"/>
                <w:sz w:val="32"/>
                <w:szCs w:val="32"/>
                <w:shd w:val="clear" w:color="auto" w:fill="FFFFFF"/>
                <w:vertAlign w:val="baseline"/>
              </w:rPr>
            </w:pPr>
            <w:r>
              <w:rPr>
                <w:rStyle w:val="12"/>
                <w:rFonts w:hint="eastAsia" w:ascii="仿宋_GB2312" w:hAnsi="宋体" w:eastAsia="仿宋_GB2312" w:cs="仿宋_GB2312"/>
                <w:i w:val="0"/>
                <w:caps w:val="0"/>
                <w:color w:val="000000"/>
                <w:spacing w:val="0"/>
                <w:kern w:val="0"/>
                <w:sz w:val="31"/>
                <w:szCs w:val="31"/>
                <w:lang w:val="en-US" w:eastAsia="zh-CN" w:bidi="ar"/>
              </w:rPr>
              <w:t>考核项目</w:t>
            </w:r>
          </w:p>
        </w:tc>
        <w:tc>
          <w:tcPr>
            <w:tcW w:w="3759" w:type="dxa"/>
            <w:tcBorders>
              <w:tl2br w:val="nil"/>
              <w:tr2bl w:val="nil"/>
            </w:tcBorders>
            <w:vAlign w:val="center"/>
          </w:tcPr>
          <w:p>
            <w:pPr>
              <w:keepNext w:val="0"/>
              <w:keepLines w:val="0"/>
              <w:widowControl/>
              <w:suppressLineNumbers w:val="0"/>
              <w:jc w:val="center"/>
              <w:rPr>
                <w:rFonts w:hint="eastAsia" w:ascii="仿宋_GB2312" w:hAnsi="sans-serif" w:eastAsia="仿宋_GB2312" w:cs="仿宋_GB2312"/>
                <w:color w:val="000000"/>
                <w:spacing w:val="-6"/>
                <w:sz w:val="32"/>
                <w:szCs w:val="32"/>
                <w:shd w:val="clear" w:color="auto" w:fill="FFFFFF"/>
                <w:vertAlign w:val="baseline"/>
              </w:rPr>
            </w:pPr>
            <w:r>
              <w:rPr>
                <w:rStyle w:val="12"/>
                <w:rFonts w:ascii="仿宋_GB2312" w:hAnsi="宋体" w:eastAsia="仿宋_GB2312" w:cs="仿宋_GB2312"/>
                <w:i w:val="0"/>
                <w:caps w:val="0"/>
                <w:color w:val="000000"/>
                <w:spacing w:val="0"/>
                <w:kern w:val="0"/>
                <w:sz w:val="31"/>
                <w:szCs w:val="31"/>
                <w:lang w:val="en-US" w:eastAsia="zh-CN" w:bidi="ar"/>
              </w:rPr>
              <w:t>评</w:t>
            </w:r>
            <w:r>
              <w:rPr>
                <w:rStyle w:val="12"/>
                <w:rFonts w:hint="eastAsia" w:ascii="仿宋_GB2312" w:hAnsi="宋体" w:eastAsia="仿宋_GB2312" w:cs="仿宋_GB2312"/>
                <w:i w:val="0"/>
                <w:caps w:val="0"/>
                <w:color w:val="000000"/>
                <w:spacing w:val="0"/>
                <w:kern w:val="0"/>
                <w:sz w:val="31"/>
                <w:szCs w:val="31"/>
                <w:lang w:val="en-US" w:eastAsia="zh-CN" w:bidi="ar"/>
              </w:rPr>
              <w:t>分标准</w:t>
            </w:r>
          </w:p>
        </w:tc>
        <w:tc>
          <w:tcPr>
            <w:tcW w:w="1584" w:type="dxa"/>
            <w:tcBorders>
              <w:tl2br w:val="nil"/>
              <w:tr2bl w:val="nil"/>
            </w:tcBorders>
            <w:vAlign w:val="center"/>
          </w:tcPr>
          <w:p>
            <w:pPr>
              <w:keepNext w:val="0"/>
              <w:keepLines w:val="0"/>
              <w:widowControl/>
              <w:suppressLineNumbers w:val="0"/>
              <w:jc w:val="center"/>
              <w:rPr>
                <w:rFonts w:hint="eastAsia" w:ascii="仿宋_GB2312" w:hAnsi="sans-serif" w:eastAsia="仿宋_GB2312" w:cs="仿宋_GB2312"/>
                <w:color w:val="000000"/>
                <w:spacing w:val="-6"/>
                <w:sz w:val="32"/>
                <w:szCs w:val="32"/>
                <w:shd w:val="clear" w:color="auto" w:fill="FFFFFF"/>
                <w:vertAlign w:val="baseline"/>
              </w:rPr>
            </w:pPr>
            <w:r>
              <w:rPr>
                <w:rStyle w:val="12"/>
                <w:rFonts w:ascii="仿宋_GB2312" w:hAnsi="宋体" w:eastAsia="仿宋_GB2312" w:cs="仿宋_GB2312"/>
                <w:i w:val="0"/>
                <w:caps w:val="0"/>
                <w:color w:val="000000"/>
                <w:spacing w:val="0"/>
                <w:kern w:val="0"/>
                <w:sz w:val="31"/>
                <w:szCs w:val="31"/>
                <w:lang w:val="en-US" w:eastAsia="zh-CN" w:bidi="ar"/>
              </w:rPr>
              <w:t>考评形式</w:t>
            </w:r>
          </w:p>
        </w:tc>
        <w:tc>
          <w:tcPr>
            <w:tcW w:w="1123" w:type="dxa"/>
            <w:tcBorders>
              <w:tl2br w:val="nil"/>
              <w:tr2bl w:val="nil"/>
            </w:tcBorders>
            <w:vAlign w:val="center"/>
          </w:tcPr>
          <w:p>
            <w:pPr>
              <w:keepNext w:val="0"/>
              <w:keepLines w:val="0"/>
              <w:widowControl/>
              <w:suppressLineNumbers w:val="0"/>
              <w:jc w:val="center"/>
              <w:rPr>
                <w:rFonts w:hint="eastAsia" w:ascii="仿宋_GB2312" w:hAnsi="sans-serif" w:eastAsia="仿宋_GB2312" w:cs="仿宋_GB2312"/>
                <w:color w:val="000000"/>
                <w:spacing w:val="-6"/>
                <w:sz w:val="32"/>
                <w:szCs w:val="32"/>
                <w:shd w:val="clear" w:color="auto" w:fill="FFFFFF"/>
                <w:vertAlign w:val="baseline"/>
              </w:rPr>
            </w:pPr>
            <w:r>
              <w:rPr>
                <w:rStyle w:val="12"/>
                <w:rFonts w:ascii="仿宋_GB2312" w:hAnsi="宋体" w:eastAsia="仿宋_GB2312" w:cs="仿宋_GB2312"/>
                <w:i w:val="0"/>
                <w:caps w:val="0"/>
                <w:color w:val="000000"/>
                <w:spacing w:val="0"/>
                <w:kern w:val="0"/>
                <w:sz w:val="28"/>
                <w:szCs w:val="28"/>
                <w:lang w:val="en-US" w:eastAsia="zh-CN" w:bidi="ar"/>
              </w:rPr>
              <w:t>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2970" w:hRule="atLeast"/>
        </w:trPr>
        <w:tc>
          <w:tcPr>
            <w:tcW w:w="1579" w:type="dxa"/>
            <w:vMerge w:val="restart"/>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r>
              <w:rPr>
                <w:rStyle w:val="12"/>
                <w:rFonts w:hint="eastAsia" w:ascii="仿宋_GB2312" w:hAnsi="仿宋_GB2312" w:eastAsia="仿宋_GB2312" w:cs="仿宋_GB2312"/>
                <w:i w:val="0"/>
                <w:caps w:val="0"/>
                <w:color w:val="000000"/>
                <w:spacing w:val="0"/>
                <w:kern w:val="0"/>
                <w:sz w:val="32"/>
                <w:szCs w:val="32"/>
                <w:lang w:val="en-US" w:eastAsia="zh-CN" w:bidi="ar"/>
              </w:rPr>
              <w:t>一、机构资质情况（14分）</w:t>
            </w:r>
          </w:p>
        </w:tc>
        <w:tc>
          <w:tcPr>
            <w:tcW w:w="2733"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（一）执业资质及场所情况（2分）</w:t>
            </w:r>
          </w:p>
        </w:tc>
        <w:tc>
          <w:tcPr>
            <w:tcW w:w="375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许可证等资质齐备，有独立整洁的接待室、检查室、鉴定室、档案室等功能区划分，收费和制度等上墙公示的，计2分。</w:t>
            </w:r>
          </w:p>
        </w:tc>
        <w:tc>
          <w:tcPr>
            <w:tcW w:w="1584"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现场测评</w:t>
            </w:r>
          </w:p>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1123" w:type="dxa"/>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3103" w:hRule="atLeast"/>
        </w:trPr>
        <w:tc>
          <w:tcPr>
            <w:tcW w:w="1579"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733"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（二）仪器设备及运行情况（2分）</w:t>
            </w:r>
          </w:p>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375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按照鉴定类别配备必需的仪器设备且性能满足鉴定需要的，计2分；未配全的，不计分。</w:t>
            </w:r>
          </w:p>
        </w:tc>
        <w:tc>
          <w:tcPr>
            <w:tcW w:w="1584"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现场测评</w:t>
            </w:r>
          </w:p>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1123"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1866" w:hRule="atLeast"/>
        </w:trPr>
        <w:tc>
          <w:tcPr>
            <w:tcW w:w="1579"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733" w:type="dxa"/>
            <w:tcBorders>
              <w:tl2br w:val="nil"/>
              <w:tr2bl w:val="nil"/>
            </w:tcBorders>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0"/>
              <w:jc w:val="left"/>
              <w:textAlignment w:val="auto"/>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（三）鉴定人配备情况（3分）</w:t>
            </w:r>
          </w:p>
        </w:tc>
        <w:tc>
          <w:tcPr>
            <w:tcW w:w="375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每项鉴定业务均有3名以上司法鉴定人的，计3分；有1项鉴定业务未达到3名司法鉴定人的，不计分。</w:t>
            </w:r>
          </w:p>
        </w:tc>
        <w:tc>
          <w:tcPr>
            <w:tcW w:w="1584"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1123"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3103" w:hRule="atLeast"/>
        </w:trPr>
        <w:tc>
          <w:tcPr>
            <w:tcW w:w="1579"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733"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（四）认证认可情况（4分）</w:t>
            </w:r>
          </w:p>
        </w:tc>
        <w:tc>
          <w:tcPr>
            <w:tcW w:w="375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机构通过认证认可并按要求参加通过监督和复评的，计4分；未通过认证认可的，不计分。</w:t>
            </w:r>
          </w:p>
        </w:tc>
        <w:tc>
          <w:tcPr>
            <w:tcW w:w="1584"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1123"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4370" w:hRule="atLeast"/>
        </w:trPr>
        <w:tc>
          <w:tcPr>
            <w:tcW w:w="1579"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733"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（五）能力验证情况（3分）</w:t>
            </w:r>
          </w:p>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375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所从事鉴定业务有按要求参加并通过能力验证的，计3分；未按要求参加或未通过能力验证的，不计分。</w:t>
            </w:r>
          </w:p>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p>
        </w:tc>
        <w:tc>
          <w:tcPr>
            <w:tcW w:w="1584"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1123"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bl>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tbl>
      <w:tblPr>
        <w:tblStyle w:val="10"/>
        <w:tblpPr w:leftFromText="180" w:rightFromText="180" w:vertAnchor="text" w:horzAnchor="page" w:tblpX="691" w:tblpY="405"/>
        <w:tblOverlap w:val="never"/>
        <w:tblW w:w="107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418"/>
        <w:gridCol w:w="2236"/>
        <w:gridCol w:w="3409"/>
        <w:gridCol w:w="1541"/>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880" w:type="dxa"/>
            <w:gridSpan w:val="3"/>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考核项目</w:t>
            </w:r>
          </w:p>
        </w:tc>
        <w:tc>
          <w:tcPr>
            <w:tcW w:w="3409" w:type="dxa"/>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r>
              <w:rPr>
                <w:rStyle w:val="12"/>
                <w:rFonts w:hint="eastAsia" w:ascii="仿宋_GB2312" w:hAnsi="仿宋_GB2312" w:eastAsia="仿宋_GB2312" w:cs="仿宋_GB2312"/>
                <w:i w:val="0"/>
                <w:caps w:val="0"/>
                <w:color w:val="000000"/>
                <w:spacing w:val="0"/>
                <w:kern w:val="0"/>
                <w:sz w:val="32"/>
                <w:szCs w:val="32"/>
                <w:lang w:val="en-US" w:eastAsia="zh-CN" w:bidi="ar"/>
              </w:rPr>
              <w:t>评分标准</w:t>
            </w:r>
          </w:p>
        </w:tc>
        <w:tc>
          <w:tcPr>
            <w:tcW w:w="1541" w:type="dxa"/>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r>
              <w:rPr>
                <w:rStyle w:val="12"/>
                <w:rFonts w:hint="eastAsia" w:ascii="仿宋_GB2312" w:hAnsi="仿宋_GB2312" w:eastAsia="仿宋_GB2312" w:cs="仿宋_GB2312"/>
                <w:i w:val="0"/>
                <w:caps w:val="0"/>
                <w:color w:val="000000"/>
                <w:spacing w:val="0"/>
                <w:kern w:val="0"/>
                <w:sz w:val="32"/>
                <w:szCs w:val="32"/>
                <w:lang w:val="en-US" w:eastAsia="zh-CN" w:bidi="ar"/>
              </w:rPr>
              <w:t>考评形式</w:t>
            </w:r>
          </w:p>
        </w:tc>
        <w:tc>
          <w:tcPr>
            <w:tcW w:w="908"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226" w:type="dxa"/>
            <w:vMerge w:val="restart"/>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二、依法执业情况（29分）</w:t>
            </w:r>
          </w:p>
        </w:tc>
        <w:tc>
          <w:tcPr>
            <w:tcW w:w="1418" w:type="dxa"/>
            <w:vMerge w:val="restart"/>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（一）统一受理委托（7分）</w:t>
            </w: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1．鉴定委托。（2分）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按规定签订《司法鉴定委托书》的，计2分；有1份未签订的，不计分。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226"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2．受理及收费情况。（3分）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建立统一受理制度，明确专人负责受理案件委托并登记，并按规定统一收费的，计3分；否则不计分。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评查案卷</w:t>
            </w:r>
          </w:p>
        </w:tc>
        <w:tc>
          <w:tcPr>
            <w:tcW w:w="908"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1226"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0"/>
              <w:jc w:val="center"/>
              <w:textAlignment w:val="auto"/>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3．鉴定材料收件登记及检材风险告知。（2分）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对委托人提供的鉴定材料件件有登记，计1分；对因鉴定需要耗尽或者可能损坏检材的，或者在鉴定完成后无法完整退还检材的，鉴定机构事先已向委托人说明，征计其同意或者认可，并在委托书中注明的，计1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评查案卷</w:t>
            </w:r>
          </w:p>
        </w:tc>
        <w:tc>
          <w:tcPr>
            <w:tcW w:w="908"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226"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restart"/>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（二）鉴定实施（12分）</w:t>
            </w: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17"/>
                <w:kern w:val="0"/>
                <w:sz w:val="32"/>
                <w:szCs w:val="32"/>
                <w:lang w:val="en-US" w:eastAsia="zh-CN" w:bidi="ar"/>
              </w:rPr>
              <w:t>1．指派司法鉴定人情况。（2分）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对同一鉴定事项，应当指定本机构两名以上具有委托鉴定事项执业资格的司法鉴定人进行鉴定，符合规定要求的，计2分；否则不计分。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评查案卷</w:t>
            </w:r>
          </w:p>
        </w:tc>
        <w:tc>
          <w:tcPr>
            <w:tcW w:w="908"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226"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2．鉴定材料的接收、传递、保存、处置进行记录和控制。（2分）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鉴定材料的接收、传递、保存和处置等过程有专人负责并记录明确的，计2分；否则不计分。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226"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3．对鉴定过程有记录，鉴定结果有可追溯性。（3分）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对鉴定过程进行实时记录并签名，记录清晰、完整、规范的，计3分；否则不计分。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评查案卷</w:t>
            </w:r>
          </w:p>
        </w:tc>
        <w:tc>
          <w:tcPr>
            <w:tcW w:w="908"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17"/>
                <w:kern w:val="0"/>
                <w:sz w:val="32"/>
                <w:szCs w:val="32"/>
                <w:lang w:val="en-US" w:eastAsia="zh-CN" w:bidi="ar"/>
              </w:rPr>
              <w:t>4．遵守司法鉴定程序情况。（3分）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严格按照《司法鉴定程序通则》规定实施鉴定的，计3分；否则不计分。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评查案卷</w:t>
            </w:r>
          </w:p>
        </w:tc>
        <w:tc>
          <w:tcPr>
            <w:tcW w:w="908"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17"/>
                <w:kern w:val="0"/>
                <w:sz w:val="32"/>
                <w:szCs w:val="32"/>
                <w:lang w:val="en-US" w:eastAsia="zh-CN" w:bidi="ar"/>
              </w:rPr>
              <w:t>5</w:t>
            </w:r>
            <w:r>
              <w:rPr>
                <w:rStyle w:val="12"/>
                <w:rFonts w:hint="eastAsia" w:ascii="仿宋_GB2312" w:hAnsi="仿宋_GB2312" w:eastAsia="仿宋_GB2312" w:cs="仿宋_GB2312"/>
                <w:b/>
                <w:bCs/>
                <w:i w:val="0"/>
                <w:caps w:val="0"/>
                <w:color w:val="000000"/>
                <w:spacing w:val="-17"/>
                <w:kern w:val="0"/>
                <w:sz w:val="32"/>
                <w:szCs w:val="32"/>
                <w:lang w:val="en-US" w:eastAsia="zh-CN" w:bidi="ar"/>
              </w:rPr>
              <w:t>．按时完成委托鉴定事项。（2分）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按时完成鉴定事项的，计2分；未按时完成鉴定事项的，不计分。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评查案卷</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restart"/>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（三）鉴定文书出具（7分）</w:t>
            </w: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17"/>
                <w:kern w:val="0"/>
                <w:sz w:val="32"/>
                <w:szCs w:val="32"/>
                <w:lang w:val="en-US" w:eastAsia="zh-CN" w:bidi="ar"/>
              </w:rPr>
              <w:t>1．鉴定复核情况。（2分）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指定具有相应资质的人员对鉴定程序和鉴定意见进行复核的，计2分；否则不计分。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2．</w:t>
            </w:r>
            <w:bookmarkStart w:id="0" w:name="_GoBack"/>
            <w:bookmarkEnd w:id="0"/>
            <w:r>
              <w:rPr>
                <w:rStyle w:val="12"/>
                <w:rFonts w:hint="eastAsia" w:ascii="仿宋_GB2312" w:hAnsi="仿宋_GB2312" w:eastAsia="仿宋_GB2312" w:cs="仿宋_GB2312"/>
                <w:b/>
                <w:bCs/>
                <w:i w:val="0"/>
                <w:caps w:val="0"/>
                <w:color w:val="000000"/>
                <w:spacing w:val="-28"/>
                <w:kern w:val="0"/>
                <w:sz w:val="32"/>
                <w:szCs w:val="32"/>
                <w:lang w:val="en-US" w:eastAsia="zh-CN" w:bidi="ar"/>
              </w:rPr>
              <w:t>司法鉴定文书合规情况。（3分）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司法鉴定文书符合规范要求，计3分；否则不计分。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评查案卷</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17"/>
                <w:kern w:val="0"/>
                <w:sz w:val="32"/>
                <w:szCs w:val="32"/>
                <w:lang w:val="en-US" w:eastAsia="zh-CN" w:bidi="ar"/>
              </w:rPr>
              <w:t>3.文书送达、回访情况。（2分）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按照规定或约定及时送达鉴定文书，并有送达回执的，计2分；否则不计分。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评查案卷</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3654"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（四）鉴定人出庭作证情况（3分）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按照规定组织司法鉴定人出庭作证的，计3分；否则不计分。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26" w:type="dxa"/>
            <w:vMerge w:val="restart"/>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三、内部管理情况（20分）</w: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3654"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（一）制度建设情况（4分）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建立并有效运行有关人员、收费、程序、标准、档案等制度，接受当事人和社会监督的，计4分；否则不计分。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现场测评</w:t>
            </w:r>
          </w:p>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restart"/>
            <w:tcBorders>
              <w:tl2br w:val="nil"/>
              <w:tr2bl w:val="nil"/>
            </w:tcBorders>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0" w:right="0" w:firstLine="0"/>
              <w:rPr>
                <w:rStyle w:val="12"/>
                <w:rFonts w:hint="eastAsia" w:ascii="仿宋_GB2312" w:hAnsi="仿宋_GB2312" w:eastAsia="仿宋_GB2312" w:cs="仿宋_GB2312"/>
                <w:i w:val="0"/>
                <w:caps w:val="0"/>
                <w:color w:val="000000"/>
                <w:spacing w:val="-20"/>
                <w:kern w:val="0"/>
                <w:sz w:val="32"/>
                <w:szCs w:val="32"/>
                <w:lang w:val="en-US" w:eastAsia="zh-CN" w:bidi="ar"/>
              </w:rPr>
            </w:pPr>
            <w:r>
              <w:rPr>
                <w:rStyle w:val="12"/>
                <w:rFonts w:hint="eastAsia" w:ascii="仿宋_GB2312" w:hAnsi="仿宋_GB2312" w:eastAsia="仿宋_GB2312" w:cs="仿宋_GB2312"/>
                <w:i w:val="0"/>
                <w:caps w:val="0"/>
                <w:color w:val="000000"/>
                <w:spacing w:val="-20"/>
                <w:kern w:val="0"/>
                <w:sz w:val="32"/>
                <w:szCs w:val="32"/>
                <w:lang w:val="en-US" w:eastAsia="zh-CN" w:bidi="ar"/>
              </w:rPr>
              <w:t>（二）质量管理情况（10分）</w:t>
            </w:r>
          </w:p>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1</w:t>
            </w:r>
            <w:r>
              <w:rPr>
                <w:rStyle w:val="12"/>
                <w:rFonts w:hint="eastAsia" w:ascii="仿宋_GB2312" w:hAnsi="仿宋_GB2312" w:eastAsia="仿宋_GB2312" w:cs="仿宋_GB2312"/>
                <w:b/>
                <w:bCs/>
                <w:i w:val="0"/>
                <w:caps w:val="0"/>
                <w:color w:val="000000"/>
                <w:spacing w:val="-28"/>
                <w:kern w:val="0"/>
                <w:sz w:val="32"/>
                <w:szCs w:val="32"/>
                <w:lang w:val="en-US" w:eastAsia="zh-CN" w:bidi="ar"/>
              </w:rPr>
              <w:t>．质量管理体系情况。（3分）</w:t>
            </w: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建立质量管理体系并运行良好的，计3分。否则不计分。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现场测评</w:t>
            </w:r>
          </w:p>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2．质量管理运行情况。（4分）</w:t>
            </w:r>
          </w:p>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3409"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有明确的技术管理人员、质量负责人和授权签字人的，计2分；上述人员能够按照规定履行职责的，计2分。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418"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2236" w:type="dxa"/>
            <w:tcBorders>
              <w:tl2br w:val="nil"/>
              <w:tr2bl w:val="nil"/>
            </w:tcBorders>
            <w:vAlign w:val="center"/>
          </w:tcPr>
          <w:p>
            <w:pPr>
              <w:keepNext w:val="0"/>
              <w:keepLines w:val="0"/>
              <w:widowControl/>
              <w:suppressLineNumbers w:val="0"/>
              <w:jc w:val="left"/>
              <w:rPr>
                <w:rFonts w:hint="eastAsia" w:ascii="仿宋_GB2312" w:hAnsi="仿宋_GB2312" w:eastAsia="仿宋_GB2312" w:cs="仿宋_GB2312"/>
                <w:b/>
                <w:bCs/>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3．质量跟踪（3分）</w:t>
            </w:r>
          </w:p>
        </w:tc>
        <w:tc>
          <w:tcPr>
            <w:tcW w:w="3409" w:type="dxa"/>
            <w:tcBorders>
              <w:tl2br w:val="nil"/>
              <w:tr2bl w:val="nil"/>
            </w:tcBorders>
            <w:vAlign w:val="center"/>
          </w:tcPr>
          <w:p>
            <w:pPr>
              <w:keepNext w:val="0"/>
              <w:keepLines w:val="0"/>
              <w:widowControl/>
              <w:suppressLineNumbers w:val="0"/>
              <w:jc w:val="left"/>
              <w:rPr>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建立检案质量跟踪制度的，计1分；及时回访登记并统计采信率和满意度的，计2分。</w:t>
            </w:r>
          </w:p>
        </w:tc>
        <w:tc>
          <w:tcPr>
            <w:tcW w:w="1541" w:type="dxa"/>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b/>
                <w:bCs/>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226" w:type="dxa"/>
            <w:vMerge w:val="continue"/>
            <w:tcBorders>
              <w:tl2br w:val="nil"/>
              <w:tr2bl w:val="nil"/>
            </w:tcBorders>
          </w:tcPr>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3654" w:type="dxa"/>
            <w:gridSpan w:val="2"/>
            <w:tcBorders>
              <w:tl2br w:val="nil"/>
              <w:tr2bl w:val="nil"/>
            </w:tcBorders>
            <w:vAlign w:val="center"/>
          </w:tcPr>
          <w:p>
            <w:pPr>
              <w:keepNext w:val="0"/>
              <w:keepLines w:val="0"/>
              <w:widowControl/>
              <w:suppressLineNumbers w:val="0"/>
              <w:jc w:val="left"/>
              <w:rPr>
                <w:rFonts w:hint="eastAsia" w:ascii="仿宋_GB2312" w:hAnsi="仿宋_GB2312" w:eastAsia="仿宋_GB2312" w:cs="仿宋_GB2312"/>
                <w:b/>
                <w:bCs/>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（三）档案管理（6分）</w:t>
            </w:r>
          </w:p>
        </w:tc>
        <w:tc>
          <w:tcPr>
            <w:tcW w:w="3409" w:type="dxa"/>
            <w:tcBorders>
              <w:tl2br w:val="nil"/>
              <w:tr2bl w:val="nil"/>
            </w:tcBorders>
            <w:vAlign w:val="center"/>
          </w:tcPr>
          <w:p>
            <w:pPr>
              <w:keepNext w:val="0"/>
              <w:keepLines w:val="0"/>
              <w:widowControl/>
              <w:suppressLineNumbers w:val="0"/>
              <w:jc w:val="left"/>
              <w:rPr>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建立落实档案制度的，档案有专人负责的，计3分；案卷归档做到“一案一档”，查阅记录情况，计3分。</w:t>
            </w:r>
          </w:p>
        </w:tc>
        <w:tc>
          <w:tcPr>
            <w:tcW w:w="1541"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现场测评</w:t>
            </w:r>
          </w:p>
          <w:p>
            <w:pPr>
              <w:keepNext w:val="0"/>
              <w:keepLines w:val="0"/>
              <w:widowControl/>
              <w:suppressLineNumbers w:val="0"/>
              <w:jc w:val="center"/>
              <w:rPr>
                <w:rFonts w:hint="eastAsia" w:ascii="仿宋_GB2312" w:hAnsi="仿宋_GB2312" w:eastAsia="仿宋_GB2312" w:cs="仿宋_GB2312"/>
                <w:b/>
                <w:bCs/>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08"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bl>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tbl>
      <w:tblPr>
        <w:tblStyle w:val="10"/>
        <w:tblpPr w:leftFromText="180" w:rightFromText="180" w:vertAnchor="text" w:horzAnchor="page" w:tblpX="677" w:tblpY="1159"/>
        <w:tblOverlap w:val="never"/>
        <w:tblW w:w="101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45"/>
        <w:gridCol w:w="1750"/>
        <w:gridCol w:w="3341"/>
        <w:gridCol w:w="1554"/>
        <w:gridCol w:w="9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40" w:type="dxa"/>
            <w:gridSpan w:val="3"/>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考核项目</w:t>
            </w:r>
          </w:p>
        </w:tc>
        <w:tc>
          <w:tcPr>
            <w:tcW w:w="3341" w:type="dxa"/>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r>
              <w:rPr>
                <w:rStyle w:val="12"/>
                <w:rFonts w:hint="eastAsia" w:ascii="仿宋_GB2312" w:hAnsi="仿宋_GB2312" w:eastAsia="仿宋_GB2312" w:cs="仿宋_GB2312"/>
                <w:i w:val="0"/>
                <w:caps w:val="0"/>
                <w:color w:val="000000"/>
                <w:spacing w:val="0"/>
                <w:kern w:val="0"/>
                <w:sz w:val="32"/>
                <w:szCs w:val="32"/>
                <w:lang w:val="en-US" w:eastAsia="zh-CN" w:bidi="ar"/>
              </w:rPr>
              <w:t>评分标准</w:t>
            </w:r>
          </w:p>
        </w:tc>
        <w:tc>
          <w:tcPr>
            <w:tcW w:w="1554" w:type="dxa"/>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r>
              <w:rPr>
                <w:rStyle w:val="12"/>
                <w:rFonts w:hint="eastAsia" w:ascii="仿宋_GB2312" w:hAnsi="仿宋_GB2312" w:eastAsia="仿宋_GB2312" w:cs="仿宋_GB2312"/>
                <w:i w:val="0"/>
                <w:caps w:val="0"/>
                <w:color w:val="000000"/>
                <w:spacing w:val="0"/>
                <w:kern w:val="0"/>
                <w:sz w:val="32"/>
                <w:szCs w:val="32"/>
                <w:lang w:val="en-US" w:eastAsia="zh-CN" w:bidi="ar"/>
              </w:rPr>
              <w:t>考评形式</w:t>
            </w:r>
          </w:p>
        </w:tc>
        <w:tc>
          <w:tcPr>
            <w:tcW w:w="996"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245" w:type="dxa"/>
            <w:vMerge w:val="restart"/>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r>
              <w:rPr>
                <w:rStyle w:val="12"/>
                <w:rFonts w:hint="eastAsia" w:ascii="仿宋_GB2312" w:hAnsi="仿宋_GB2312" w:eastAsia="仿宋_GB2312" w:cs="仿宋_GB2312"/>
                <w:b/>
                <w:bCs/>
                <w:i w:val="0"/>
                <w:caps w:val="0"/>
                <w:color w:val="000000"/>
                <w:spacing w:val="-20"/>
                <w:kern w:val="0"/>
                <w:sz w:val="32"/>
                <w:szCs w:val="32"/>
                <w:lang w:val="en-US" w:eastAsia="zh-CN" w:bidi="ar"/>
              </w:rPr>
              <w:t>四、队伍建设情况（13分）</w:t>
            </w: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（一）鉴定人队伍结构情况。（2分）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鉴定人队伍的年龄、学历、职称等结构合理的，计2分；否则不计分。</w:t>
            </w:r>
          </w:p>
        </w:tc>
        <w:tc>
          <w:tcPr>
            <w:tcW w:w="1554"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（二）开展政治理论、业务学习情况。（2分）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全年组织政治理论、业务学习6次以上的，计2分；1至5次的，计1分；否则不计分。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（三）继续教育情况。（5分）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按要求组织司法鉴定人完成继续教育、专业培训的计5分；否则不计分。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（四）建立党组织情况。（2分）</w:t>
            </w:r>
          </w:p>
        </w:tc>
        <w:tc>
          <w:tcPr>
            <w:tcW w:w="33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auto"/>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建立党组织、党员发展正常，并履行义务的，计2分；应建而未建的，不计分</w:t>
            </w:r>
            <w:r>
              <w:rPr>
                <w:rStyle w:val="12"/>
                <w:rFonts w:hint="eastAsia" w:ascii="仿宋_GB2312" w:hAnsi="仿宋_GB2312" w:eastAsia="仿宋_GB2312" w:cs="仿宋_GB2312"/>
                <w:b/>
                <w:bCs/>
                <w:i w:val="0"/>
                <w:caps w:val="0"/>
                <w:color w:val="000000"/>
                <w:spacing w:val="-28"/>
                <w:kern w:val="0"/>
                <w:sz w:val="32"/>
                <w:szCs w:val="32"/>
                <w:lang w:val="en-US" w:eastAsia="zh-CN" w:bidi="ar"/>
              </w:rPr>
              <w:t>。</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（五）开展党建活动情况。（2分）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党建活动4次以上的，计1分；党员先锋带头发挥好的，计1分；否则不计分。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245" w:type="dxa"/>
            <w:vMerge w:val="restart"/>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r>
              <w:rPr>
                <w:rStyle w:val="12"/>
                <w:rFonts w:hint="eastAsia" w:ascii="仿宋_GB2312" w:hAnsi="仿宋_GB2312" w:eastAsia="仿宋_GB2312" w:cs="仿宋_GB2312"/>
                <w:i w:val="0"/>
                <w:caps w:val="0"/>
                <w:color w:val="000000"/>
                <w:spacing w:val="0"/>
                <w:kern w:val="0"/>
                <w:sz w:val="32"/>
                <w:szCs w:val="32"/>
                <w:lang w:val="en-US" w:eastAsia="zh-CN" w:bidi="ar"/>
              </w:rPr>
              <w:t>五、其他情况（24分）</w:t>
            </w:r>
          </w:p>
        </w:tc>
        <w:tc>
          <w:tcPr>
            <w:tcW w:w="1245" w:type="dxa"/>
            <w:vMerge w:val="restart"/>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（一）接受司法鉴定协会监管情况。（4分）</w:t>
            </w:r>
          </w:p>
        </w:tc>
        <w:tc>
          <w:tcPr>
            <w:tcW w:w="1750"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1．遵守协会自律管理情况。（2分）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自觉遵守司法鉴定协会制定的自律准则及规范的，计2分；否则不计分。</w:t>
            </w:r>
          </w:p>
        </w:tc>
        <w:tc>
          <w:tcPr>
            <w:tcW w:w="1554"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现场测评</w:t>
            </w:r>
          </w:p>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1245" w:type="dxa"/>
            <w:vMerge w:val="continue"/>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c>
          <w:tcPr>
            <w:tcW w:w="1750"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2．履行交纳会费等义务情况。（2分）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按规定履行交纳会费等义务的，计2分；否则不计分。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245" w:type="dxa"/>
            <w:vMerge w:val="continue"/>
            <w:tcBorders>
              <w:tl2br w:val="nil"/>
              <w:tr2bl w:val="nil"/>
            </w:tcBorders>
            <w:vAlign w:val="center"/>
          </w:tcPr>
          <w:p>
            <w:pPr>
              <w:keepNext w:val="0"/>
              <w:keepLines w:val="0"/>
              <w:widowControl/>
              <w:suppressLineNumbers w:val="0"/>
              <w:jc w:val="center"/>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（二）完成专项活动或工作部署情况（3分）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按时保质保量完成专项活动安排和工作任务，计3分；否则不计分。</w:t>
            </w:r>
          </w:p>
        </w:tc>
        <w:tc>
          <w:tcPr>
            <w:tcW w:w="1554" w:type="dxa"/>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（三）接受司法鉴定部门监督管理情况（4分）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积极配合、主动接受司法鉴定管理部门监督管理的，计4分；否则不计分。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（四）投诉处理情况（3分）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无投诉，计3分；否则不计分。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(五)宣传报道情况（3分）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0"/>
                <w:kern w:val="0"/>
                <w:sz w:val="32"/>
                <w:szCs w:val="32"/>
                <w:lang w:val="en-US" w:eastAsia="zh-CN" w:bidi="ar"/>
              </w:rPr>
            </w:pPr>
            <w:r>
              <w:rPr>
                <w:rStyle w:val="12"/>
                <w:rFonts w:hint="eastAsia" w:ascii="仿宋_GB2312" w:hAnsi="仿宋_GB2312" w:eastAsia="仿宋_GB2312" w:cs="仿宋_GB2312"/>
                <w:b/>
                <w:bCs/>
                <w:i w:val="0"/>
                <w:caps w:val="0"/>
                <w:color w:val="000000"/>
                <w:spacing w:val="-20"/>
                <w:kern w:val="0"/>
                <w:sz w:val="32"/>
                <w:szCs w:val="32"/>
                <w:lang w:val="en-US" w:eastAsia="zh-CN" w:bidi="ar"/>
              </w:rPr>
              <w:t>在省级以上报刊媒体上宣传报道的，计2分；在市级宣传报道的，计1分；否则不计分。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(六)司法鉴定援助情况（2分）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按要求履行司法鉴定援助的，计2分；否则不计分。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（七）统计报表等材料报送情况（2分）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b/>
                <w:bCs/>
                <w:i w:val="0"/>
                <w:caps w:val="0"/>
                <w:color w:val="000000"/>
                <w:spacing w:val="-28"/>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月度、年度统计报表等材料按时按要求如实报送的，计2分；否则不计分。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245" w:type="dxa"/>
            <w:vMerge w:val="continue"/>
            <w:tcBorders>
              <w:tl2br w:val="nil"/>
              <w:tr2bl w:val="nil"/>
            </w:tcBorders>
            <w:vAlign w:val="center"/>
          </w:tcPr>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spacing w:val="-6"/>
                <w:sz w:val="32"/>
                <w:szCs w:val="32"/>
                <w:shd w:val="clear" w:color="auto" w:fill="FFFFFF"/>
                <w:vertAlign w:val="baseline"/>
              </w:rPr>
            </w:pPr>
          </w:p>
        </w:tc>
        <w:tc>
          <w:tcPr>
            <w:tcW w:w="2995" w:type="dxa"/>
            <w:gridSpan w:val="2"/>
            <w:tcBorders>
              <w:tl2br w:val="nil"/>
              <w:tr2bl w:val="nil"/>
            </w:tcBorders>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firstLine="0"/>
              <w:jc w:val="center"/>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（八）获表彰奖励情况。（3分）</w:t>
            </w:r>
          </w:p>
        </w:tc>
        <w:tc>
          <w:tcPr>
            <w:tcW w:w="3341" w:type="dxa"/>
            <w:tcBorders>
              <w:tl2br w:val="nil"/>
              <w:tr2bl w:val="nil"/>
            </w:tcBorders>
            <w:vAlign w:val="center"/>
          </w:tcPr>
          <w:p>
            <w:pPr>
              <w:keepNext w:val="0"/>
              <w:keepLines w:val="0"/>
              <w:widowControl/>
              <w:suppressLineNumbers w:val="0"/>
              <w:jc w:val="left"/>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b/>
                <w:bCs/>
                <w:i w:val="0"/>
                <w:caps w:val="0"/>
                <w:color w:val="000000"/>
                <w:spacing w:val="-28"/>
                <w:kern w:val="0"/>
                <w:sz w:val="32"/>
                <w:szCs w:val="32"/>
                <w:lang w:val="en-US" w:eastAsia="zh-CN" w:bidi="ar"/>
              </w:rPr>
              <w:t>受到省级以上部门表彰的计2分；受到市级部门表彰的计1分。</w:t>
            </w:r>
          </w:p>
        </w:tc>
        <w:tc>
          <w:tcPr>
            <w:tcW w:w="1554" w:type="dxa"/>
            <w:tcBorders>
              <w:tl2br w:val="nil"/>
              <w:tr2bl w:val="nil"/>
            </w:tcBorders>
            <w:vAlign w:val="center"/>
          </w:tcPr>
          <w:p>
            <w:pPr>
              <w:keepNext w:val="0"/>
              <w:keepLines w:val="0"/>
              <w:widowControl/>
              <w:suppressLineNumbers w:val="0"/>
              <w:jc w:val="both"/>
              <w:rPr>
                <w:rStyle w:val="12"/>
                <w:rFonts w:hint="eastAsia" w:ascii="仿宋_GB2312" w:hAnsi="仿宋_GB2312" w:eastAsia="仿宋_GB2312" w:cs="仿宋_GB2312"/>
                <w:i w:val="0"/>
                <w:caps w:val="0"/>
                <w:color w:val="000000"/>
                <w:spacing w:val="0"/>
                <w:kern w:val="0"/>
                <w:sz w:val="32"/>
                <w:szCs w:val="32"/>
                <w:lang w:val="en-US" w:eastAsia="zh-CN" w:bidi="ar"/>
              </w:rPr>
            </w:pPr>
            <w:r>
              <w:rPr>
                <w:rStyle w:val="12"/>
                <w:rFonts w:hint="eastAsia" w:ascii="仿宋_GB2312" w:hAnsi="仿宋_GB2312" w:eastAsia="仿宋_GB2312" w:cs="仿宋_GB2312"/>
                <w:i w:val="0"/>
                <w:caps w:val="0"/>
                <w:color w:val="000000"/>
                <w:spacing w:val="0"/>
                <w:kern w:val="0"/>
                <w:sz w:val="32"/>
                <w:szCs w:val="32"/>
                <w:lang w:val="en-US" w:eastAsia="zh-CN" w:bidi="ar"/>
              </w:rPr>
              <w:t>核查资料</w:t>
            </w:r>
          </w:p>
        </w:tc>
        <w:tc>
          <w:tcPr>
            <w:tcW w:w="996" w:type="dxa"/>
            <w:tcBorders>
              <w:tl2br w:val="nil"/>
              <w:tr2bl w:val="nil"/>
            </w:tcBorders>
          </w:tcPr>
          <w:p>
            <w:pPr>
              <w:keepNext w:val="0"/>
              <w:keepLines w:val="0"/>
              <w:widowControl/>
              <w:suppressLineNumbers w:val="0"/>
              <w:jc w:val="center"/>
              <w:rPr>
                <w:rStyle w:val="12"/>
                <w:rFonts w:hint="eastAsia" w:ascii="仿宋_GB2312" w:hAnsi="仿宋_GB2312" w:eastAsia="仿宋_GB2312" w:cs="仿宋_GB2312"/>
                <w:i w:val="0"/>
                <w:caps w:val="0"/>
                <w:color w:val="000000"/>
                <w:spacing w:val="0"/>
                <w:kern w:val="0"/>
                <w:sz w:val="32"/>
                <w:szCs w:val="32"/>
                <w:lang w:val="en-US" w:eastAsia="zh-CN" w:bidi="ar"/>
              </w:rPr>
            </w:pPr>
          </w:p>
        </w:tc>
      </w:tr>
    </w:tbl>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6"/>
          <w:sz w:val="32"/>
          <w:szCs w:val="32"/>
          <w:shd w:val="clear" w:color="auto" w:fill="FFFFFF"/>
        </w:rPr>
      </w:pPr>
    </w:p>
    <w:p>
      <w:pPr>
        <w:keepNext w:val="0"/>
        <w:keepLines w:val="0"/>
        <w:pageBreakBefore w:val="0"/>
        <w:kinsoku/>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陕西省司法厅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陕西省司法厅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3BB4DB"/>
    <w:rsid w:val="04B679C3"/>
    <w:rsid w:val="080F63D8"/>
    <w:rsid w:val="09341458"/>
    <w:rsid w:val="0B0912D7"/>
    <w:rsid w:val="13EBE3D7"/>
    <w:rsid w:val="152D2DCA"/>
    <w:rsid w:val="1DEC284C"/>
    <w:rsid w:val="1E6523AC"/>
    <w:rsid w:val="1F7BEB06"/>
    <w:rsid w:val="22440422"/>
    <w:rsid w:val="2BCD9939"/>
    <w:rsid w:val="2BD7E502"/>
    <w:rsid w:val="2BFFCCA6"/>
    <w:rsid w:val="31A15F24"/>
    <w:rsid w:val="37BE46BC"/>
    <w:rsid w:val="395347B5"/>
    <w:rsid w:val="39A232A0"/>
    <w:rsid w:val="39E745AA"/>
    <w:rsid w:val="3B5A6BBB"/>
    <w:rsid w:val="3EDA13A6"/>
    <w:rsid w:val="3F2F349F"/>
    <w:rsid w:val="3FFD68A6"/>
    <w:rsid w:val="42F058B7"/>
    <w:rsid w:val="436109F6"/>
    <w:rsid w:val="441A38D4"/>
    <w:rsid w:val="4BC77339"/>
    <w:rsid w:val="4C9236C5"/>
    <w:rsid w:val="505C172E"/>
    <w:rsid w:val="52F46F0B"/>
    <w:rsid w:val="53D8014D"/>
    <w:rsid w:val="5568D028"/>
    <w:rsid w:val="55E064E0"/>
    <w:rsid w:val="572C6D10"/>
    <w:rsid w:val="5BFEB714"/>
    <w:rsid w:val="5C771B44"/>
    <w:rsid w:val="5DB8B53D"/>
    <w:rsid w:val="5DC34279"/>
    <w:rsid w:val="5DFB84C5"/>
    <w:rsid w:val="5E5F8F20"/>
    <w:rsid w:val="608816D1"/>
    <w:rsid w:val="60EF4E7F"/>
    <w:rsid w:val="665233C1"/>
    <w:rsid w:val="67EBD3EA"/>
    <w:rsid w:val="6AD9688B"/>
    <w:rsid w:val="6D0E3F22"/>
    <w:rsid w:val="6EBFE9FB"/>
    <w:rsid w:val="6FEB5E42"/>
    <w:rsid w:val="6FEFA979"/>
    <w:rsid w:val="6FEFCDC4"/>
    <w:rsid w:val="743F2213"/>
    <w:rsid w:val="74EFAA06"/>
    <w:rsid w:val="757E958B"/>
    <w:rsid w:val="777E2394"/>
    <w:rsid w:val="777E70CD"/>
    <w:rsid w:val="779F5AF8"/>
    <w:rsid w:val="7B7F4AE5"/>
    <w:rsid w:val="7C9011D9"/>
    <w:rsid w:val="7CFF4FE0"/>
    <w:rsid w:val="7DC651C5"/>
    <w:rsid w:val="7E9D3163"/>
    <w:rsid w:val="7EBBC9D5"/>
    <w:rsid w:val="7F8B8FC2"/>
    <w:rsid w:val="7FCC2834"/>
    <w:rsid w:val="7FD70E2E"/>
    <w:rsid w:val="7FFE82A5"/>
    <w:rsid w:val="88B37F23"/>
    <w:rsid w:val="ADFF91EA"/>
    <w:rsid w:val="B6FE2727"/>
    <w:rsid w:val="B7D9C8C1"/>
    <w:rsid w:val="BDFE405F"/>
    <w:rsid w:val="BEFF4596"/>
    <w:rsid w:val="BF9B2932"/>
    <w:rsid w:val="BFDF37D4"/>
    <w:rsid w:val="BFEDCD4A"/>
    <w:rsid w:val="BFF3E972"/>
    <w:rsid w:val="CFBE0E9E"/>
    <w:rsid w:val="D7EEAF8E"/>
    <w:rsid w:val="DAC79037"/>
    <w:rsid w:val="E2E7D1E3"/>
    <w:rsid w:val="EBFE417F"/>
    <w:rsid w:val="EDFDF409"/>
    <w:rsid w:val="EE476B39"/>
    <w:rsid w:val="EF0E3E74"/>
    <w:rsid w:val="EF757449"/>
    <w:rsid w:val="EF936704"/>
    <w:rsid w:val="EFD35123"/>
    <w:rsid w:val="F57DCFB8"/>
    <w:rsid w:val="F57F0001"/>
    <w:rsid w:val="F6DC6074"/>
    <w:rsid w:val="F6FD8A83"/>
    <w:rsid w:val="FBF7999C"/>
    <w:rsid w:val="FBFEEE3E"/>
    <w:rsid w:val="FDDE59DC"/>
    <w:rsid w:val="FEFFE343"/>
    <w:rsid w:val="FF6F2175"/>
    <w:rsid w:val="FF8DFF68"/>
    <w:rsid w:val="FFDF2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文字 字符"/>
    <w:basedOn w:val="11"/>
    <w:link w:val="2"/>
    <w:qFormat/>
    <w:uiPriority w:val="0"/>
    <w:rPr>
      <w:rFonts w:ascii="Calibri" w:hAnsi="Calibri" w:eastAsia="宋体" w:cs="Times New Roman"/>
      <w:kern w:val="2"/>
      <w:sz w:val="21"/>
      <w:szCs w:val="24"/>
    </w:rPr>
  </w:style>
  <w:style w:type="character" w:customStyle="1" w:styleId="15">
    <w:name w:val="日期 字符"/>
    <w:basedOn w:val="11"/>
    <w:link w:val="3"/>
    <w:qFormat/>
    <w:uiPriority w:val="0"/>
    <w:rPr>
      <w:rFonts w:ascii="Calibri" w:hAnsi="Calibri" w:eastAsia="宋体" w:cs="Times New Roman"/>
      <w:kern w:val="2"/>
      <w:sz w:val="21"/>
      <w:szCs w:val="24"/>
    </w:rPr>
  </w:style>
  <w:style w:type="character" w:customStyle="1" w:styleId="16">
    <w:name w:val="批注框文本 字符"/>
    <w:basedOn w:val="11"/>
    <w:link w:val="4"/>
    <w:qFormat/>
    <w:uiPriority w:val="0"/>
    <w:rPr>
      <w:rFonts w:ascii="Calibri" w:hAnsi="Calibri" w:eastAsia="宋体" w:cs="Times New Roman"/>
      <w:kern w:val="2"/>
      <w:sz w:val="18"/>
      <w:szCs w:val="18"/>
    </w:rPr>
  </w:style>
  <w:style w:type="character" w:customStyle="1" w:styleId="17">
    <w:name w:val="批注主题 字符"/>
    <w:basedOn w:val="14"/>
    <w:link w:val="8"/>
    <w:qFormat/>
    <w:uiPriority w:val="0"/>
    <w:rPr>
      <w:rFonts w:ascii="Calibri" w:hAnsi="Calibri" w:eastAsia="宋体" w:cs="Times New Roman"/>
      <w:b/>
      <w:bCs/>
      <w:kern w:val="2"/>
      <w:sz w:val="21"/>
      <w:szCs w:val="24"/>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17</TotalTime>
  <ScaleCrop>false</ScaleCrop>
  <LinksUpToDate>false</LinksUpToDate>
  <CharactersWithSpaces>2512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2023-03-17T14:45:51Z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ies>
</file>