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570" w:lineRule="exact"/>
        <w:ind w:left="0" w:leftChars="0"/>
        <w:jc w:val="left"/>
        <w:textAlignment w:val="auto"/>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p>
    <w:p>
      <w:pPr>
        <w:spacing w:line="580" w:lineRule="exact"/>
        <w:jc w:val="center"/>
        <w:rPr>
          <w:rFonts w:hint="eastAsia" w:asciiTheme="minorEastAsia" w:hAnsiTheme="minorEastAsia" w:eastAsiaTheme="minorEastAsia" w:cstheme="minorEastAsia"/>
          <w:b w:val="0"/>
          <w:bCs/>
          <w:sz w:val="44"/>
          <w:szCs w:val="44"/>
        </w:rPr>
      </w:pPr>
      <w:r>
        <w:rPr>
          <w:rFonts w:hint="eastAsia" w:asciiTheme="minorEastAsia" w:hAnsiTheme="minorEastAsia" w:eastAsiaTheme="minorEastAsia" w:cstheme="minorEastAsia"/>
          <w:b w:val="0"/>
          <w:bCs/>
          <w:sz w:val="44"/>
          <w:szCs w:val="44"/>
        </w:rPr>
        <w:t>陕西省人力资源和社会保障厅</w:t>
      </w:r>
    </w:p>
    <w:p>
      <w:pPr>
        <w:tabs>
          <w:tab w:val="left" w:pos="2163"/>
        </w:tabs>
        <w:spacing w:line="61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关于进一步优化明确劳动监察管辖范围的通知</w:t>
      </w:r>
    </w:p>
    <w:p>
      <w:pPr>
        <w:keepNext w:val="0"/>
        <w:keepLines w:val="0"/>
        <w:pageBreakBefore w:val="0"/>
        <w:widowControl w:val="0"/>
        <w:kinsoku/>
        <w:wordWrap/>
        <w:overflowPunct/>
        <w:topLinePunct w:val="0"/>
        <w:autoSpaceDE/>
        <w:autoSpaceDN/>
        <w:bidi w:val="0"/>
        <w:adjustRightInd/>
        <w:snapToGrid/>
        <w:spacing w:beforeAutospacing="0" w:afterAutospacing="0" w:line="610" w:lineRule="exact"/>
        <w:jc w:val="center"/>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陕人社发〔201</w:t>
      </w:r>
      <w:r>
        <w:rPr>
          <w:rFonts w:hint="eastAsia" w:ascii="楷体_GB2312" w:hAnsi="楷体_GB2312" w:eastAsia="楷体_GB2312" w:cs="楷体_GB2312"/>
          <w:color w:val="333333"/>
          <w:sz w:val="32"/>
          <w:szCs w:val="32"/>
          <w:shd w:val="clear" w:color="auto" w:fill="FFFFFF"/>
          <w:lang w:val="en-US" w:eastAsia="zh-CN"/>
        </w:rPr>
        <w:t>5</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60</w:t>
      </w:r>
      <w:r>
        <w:rPr>
          <w:rFonts w:hint="eastAsia" w:ascii="楷体_GB2312" w:hAnsi="楷体_GB2312" w:eastAsia="楷体_GB2312" w:cs="楷体_GB2312"/>
          <w:color w:val="333333"/>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beforeAutospacing="0" w:afterAutospacing="0" w:line="610" w:lineRule="exact"/>
        <w:ind w:firstLine="664" w:firstLineChars="200"/>
        <w:textAlignment w:val="auto"/>
        <w:rPr>
          <w:rFonts w:ascii="仿宋_GB2312" w:eastAsia="仿宋_GB2312"/>
          <w:spacing w:val="6"/>
          <w:sz w:val="32"/>
          <w:szCs w:val="32"/>
        </w:rPr>
      </w:pPr>
    </w:p>
    <w:p>
      <w:pPr>
        <w:spacing w:line="610" w:lineRule="exact"/>
        <w:rPr>
          <w:rFonts w:hint="eastAsia" w:ascii="仿宋_GB2312" w:hAnsi="仿宋" w:eastAsia="仿宋_GB2312"/>
          <w:sz w:val="32"/>
          <w:szCs w:val="32"/>
        </w:rPr>
      </w:pPr>
      <w:r>
        <w:rPr>
          <w:rFonts w:hint="eastAsia" w:ascii="仿宋_GB2312" w:hAnsi="仿宋" w:eastAsia="仿宋_GB2312"/>
          <w:sz w:val="32"/>
          <w:szCs w:val="32"/>
        </w:rPr>
        <w:t>各设区市人力资源社会保障局、杨凌示范区人事劳动局，西咸新区管委会办公室，韩城市人力资源社会保障局：</w:t>
      </w:r>
    </w:p>
    <w:p>
      <w:pPr>
        <w:spacing w:line="61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了贯彻落实《国务院关于促进市场公平竞争维护市场正常秩序的若干意见》（国发〔2014〕20号）和《人力资源社会保障部、中央编办、财政部关于加强劳动保障监察执法能力建设的意见》（人社部发〔2015〕67号）关于劳动监察属地监管、便民高效的原则，按照有关法规，现就进一步优化明确全省劳动监察管辖范围的具体事项通知如下：</w:t>
      </w:r>
    </w:p>
    <w:p>
      <w:pPr>
        <w:spacing w:line="606"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 xml:space="preserve">一、各设区市、杨凌示范区、西咸新区和韩城市人力资源和社会保障行政部门负责对下列用人单位实施劳动监察：           </w:t>
      </w:r>
    </w:p>
    <w:p>
      <w:pPr>
        <w:spacing w:line="606"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1、在本级工商、民政、机构编制部门登记注册的用人单位；</w:t>
      </w:r>
    </w:p>
    <w:p>
      <w:pPr>
        <w:spacing w:line="606"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2、在省工商、民政、机构编制部门登记注册且工作场所在本行政区域的用人单位。</w:t>
      </w:r>
    </w:p>
    <w:p>
      <w:pPr>
        <w:spacing w:line="60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二、各县、不设区的市、市辖区人力资源和社会保障行政部门负责对下列单位实施劳动监察：</w:t>
      </w:r>
    </w:p>
    <w:p>
      <w:pPr>
        <w:spacing w:line="60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1、在本级工商、民政、机构编制部门登记注册的用人单位；</w:t>
      </w:r>
    </w:p>
    <w:p>
      <w:pPr>
        <w:spacing w:line="60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2、未依法登记注册或依法被吊销营业执照、撤销登记但工作场所在本行政区域的用工单位；</w:t>
      </w:r>
    </w:p>
    <w:p>
      <w:pPr>
        <w:spacing w:line="60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3、在外省登记注册的用人单位但在本省未登记注册且以该用人单位名义在本地从事生产经营的用工单位。</w:t>
      </w:r>
    </w:p>
    <w:p>
      <w:pPr>
        <w:spacing w:line="606" w:lineRule="exact"/>
        <w:ind w:firstLine="645"/>
        <w:rPr>
          <w:rFonts w:hint="eastAsia" w:ascii="仿宋_GB2312" w:hAnsi="仿宋" w:eastAsia="仿宋_GB2312"/>
          <w:sz w:val="32"/>
          <w:szCs w:val="32"/>
        </w:rPr>
      </w:pPr>
      <w:r>
        <w:rPr>
          <w:rFonts w:hint="eastAsia" w:ascii="仿宋_GB2312" w:hAnsi="仿宋" w:eastAsia="仿宋_GB2312"/>
          <w:sz w:val="32"/>
          <w:szCs w:val="32"/>
        </w:rPr>
        <w:t>三、对各类流动施工总承包企业、劳务和专业分包企业按下列方式实施劳动监察：</w:t>
      </w:r>
    </w:p>
    <w:p>
      <w:pPr>
        <w:spacing w:line="606" w:lineRule="exact"/>
        <w:ind w:firstLine="645"/>
        <w:rPr>
          <w:rFonts w:hint="eastAsia" w:ascii="仿宋_GB2312" w:hAnsi="仿宋" w:eastAsia="仿宋_GB2312"/>
          <w:sz w:val="32"/>
          <w:szCs w:val="32"/>
        </w:rPr>
      </w:pPr>
      <w:r>
        <w:rPr>
          <w:rFonts w:hint="eastAsia" w:ascii="仿宋_GB2312" w:hAnsi="仿宋" w:eastAsia="仿宋_GB2312"/>
          <w:sz w:val="32"/>
          <w:szCs w:val="32"/>
        </w:rPr>
        <w:t>1、正常施工期间由企业项目部所在的县、不设区的市和市辖区人力资源和社会保障行政部门对其实施劳动监察；</w:t>
      </w:r>
    </w:p>
    <w:p>
      <w:pPr>
        <w:spacing w:line="606" w:lineRule="exact"/>
        <w:ind w:firstLine="645"/>
        <w:rPr>
          <w:rFonts w:hint="eastAsia" w:ascii="仿宋_GB2312" w:hAnsi="仿宋" w:eastAsia="仿宋_GB2312"/>
          <w:sz w:val="32"/>
          <w:szCs w:val="32"/>
        </w:rPr>
      </w:pPr>
      <w:r>
        <w:rPr>
          <w:rFonts w:hint="eastAsia" w:ascii="仿宋_GB2312" w:hAnsi="仿宋" w:eastAsia="仿宋_GB2312"/>
          <w:sz w:val="32"/>
          <w:szCs w:val="32"/>
        </w:rPr>
        <w:t>2、企业项目部撤离后但其总部在本省的企业由本通知第一条和第二条规定的人力资源和社会保障行政部门对其实施劳动监察；</w:t>
      </w:r>
    </w:p>
    <w:p>
      <w:pPr>
        <w:spacing w:line="606" w:lineRule="exact"/>
        <w:ind w:firstLine="645"/>
        <w:rPr>
          <w:rFonts w:hint="eastAsia" w:ascii="仿宋_GB2312" w:hAnsi="仿宋" w:eastAsia="仿宋_GB2312"/>
          <w:sz w:val="32"/>
          <w:szCs w:val="32"/>
        </w:rPr>
      </w:pPr>
      <w:r>
        <w:rPr>
          <w:rFonts w:hint="eastAsia" w:ascii="仿宋_GB2312" w:hAnsi="仿宋" w:eastAsia="仿宋_GB2312"/>
          <w:sz w:val="32"/>
          <w:szCs w:val="32"/>
        </w:rPr>
        <w:t>3、企业项目部撤离后但其总部不在本省的，按照人社部公布的《跨地区劳动保障监察案件协查办法》（人社部发〔2010〕103号）和《陕西省跨地区劳动保障监察案件协查办法》（陕人社发〔2011〕78号）的规定办理。</w:t>
      </w:r>
    </w:p>
    <w:p>
      <w:pPr>
        <w:spacing w:line="610" w:lineRule="exact"/>
        <w:ind w:firstLine="645"/>
        <w:rPr>
          <w:rFonts w:hint="eastAsia" w:ascii="仿宋_GB2312" w:hAnsi="仿宋" w:eastAsia="仿宋_GB2312"/>
          <w:sz w:val="32"/>
          <w:szCs w:val="32"/>
        </w:rPr>
      </w:pPr>
      <w:r>
        <w:rPr>
          <w:rFonts w:hint="eastAsia" w:ascii="仿宋_GB2312" w:hAnsi="仿宋" w:eastAsia="仿宋_GB2312"/>
          <w:sz w:val="32"/>
          <w:szCs w:val="32"/>
        </w:rPr>
        <w:t>四、省人力资源和社会保障行政部门指导协调全省劳动监察工作，督办各类重大案件，可根据工作需要对任何用人单位进行监督检查。</w:t>
      </w:r>
    </w:p>
    <w:p>
      <w:pPr>
        <w:spacing w:line="610" w:lineRule="exact"/>
        <w:ind w:firstLine="645"/>
        <w:rPr>
          <w:rFonts w:hint="eastAsia" w:ascii="仿宋_GB2312" w:hAnsi="仿宋" w:eastAsia="仿宋_GB2312"/>
          <w:sz w:val="32"/>
          <w:szCs w:val="32"/>
        </w:rPr>
      </w:pPr>
      <w:r>
        <w:rPr>
          <w:rFonts w:hint="eastAsia" w:ascii="仿宋_GB2312" w:hAnsi="仿宋" w:eastAsia="仿宋_GB2312"/>
          <w:sz w:val="32"/>
          <w:szCs w:val="32"/>
        </w:rPr>
        <w:t>五、各市、县（区）人力资源和社会保障行政部门要切实畅通举报投诉渠道，依法及时受理劳动者的举报投诉，快速高效查办案件，维护好劳动者的合法权益。</w:t>
      </w:r>
    </w:p>
    <w:p>
      <w:pPr>
        <w:spacing w:line="610" w:lineRule="exact"/>
        <w:ind w:firstLine="645"/>
        <w:rPr>
          <w:rFonts w:hint="eastAsia" w:ascii="仿宋_GB2312" w:hAnsi="仿宋" w:eastAsia="仿宋_GB2312"/>
          <w:sz w:val="32"/>
          <w:szCs w:val="32"/>
        </w:rPr>
      </w:pPr>
      <w:r>
        <w:rPr>
          <w:rFonts w:hint="eastAsia" w:ascii="仿宋_GB2312" w:hAnsi="仿宋" w:eastAsia="仿宋_GB2312"/>
          <w:sz w:val="32"/>
          <w:szCs w:val="32"/>
        </w:rPr>
        <w:t>六、人力资源和社会保障行政部门之间因劳动监察管辖发生争议的，应当报请共同的上一级人力资源和社会保障行政部门指定管辖。</w:t>
      </w:r>
    </w:p>
    <w:p>
      <w:pPr>
        <w:spacing w:line="610" w:lineRule="exact"/>
        <w:ind w:firstLine="640" w:firstLineChars="200"/>
        <w:rPr>
          <w:rFonts w:hint="eastAsia" w:ascii="仿宋_GB2312" w:hAnsi="宋体" w:eastAsia="仿宋_GB2312" w:cs="宋体"/>
          <w:color w:val="141414"/>
          <w:kern w:val="32"/>
          <w:sz w:val="32"/>
          <w:szCs w:val="32"/>
        </w:rPr>
      </w:pPr>
      <w:r>
        <w:rPr>
          <w:rFonts w:hint="eastAsia" w:ascii="仿宋_GB2312" w:hAnsi="仿宋" w:eastAsia="仿宋_GB2312"/>
          <w:sz w:val="32"/>
          <w:szCs w:val="32"/>
        </w:rPr>
        <w:t>七、本通知自2015年10月1日起施行。省人社厅《关于对市级劳动监察管辖企业流动施工期间实施劳动监察有关问题的通知》（陕人社办发〔2013〕126号）同时废止。</w:t>
      </w:r>
    </w:p>
    <w:p>
      <w:pPr>
        <w:spacing w:line="610" w:lineRule="exact"/>
        <w:ind w:firstLine="800" w:firstLineChars="250"/>
        <w:jc w:val="left"/>
        <w:rPr>
          <w:rFonts w:hint="eastAsia" w:ascii="仿宋_GB2312" w:hAnsi="宋体" w:eastAsia="仿宋_GB2312" w:cs="宋体"/>
          <w:color w:val="141414"/>
          <w:kern w:val="32"/>
          <w:sz w:val="32"/>
          <w:szCs w:val="32"/>
        </w:rPr>
      </w:pPr>
    </w:p>
    <w:p>
      <w:pPr>
        <w:spacing w:line="610" w:lineRule="exact"/>
        <w:ind w:firstLine="4099" w:firstLineChars="1281"/>
        <w:jc w:val="left"/>
        <w:rPr>
          <w:rFonts w:hint="eastAsia" w:ascii="仿宋_GB2312" w:hAnsi="宋体" w:eastAsia="仿宋_GB2312" w:cs="宋体"/>
          <w:color w:val="141414"/>
          <w:kern w:val="32"/>
          <w:sz w:val="32"/>
          <w:szCs w:val="32"/>
        </w:rPr>
      </w:pPr>
      <w:r>
        <w:rPr>
          <w:rFonts w:hint="eastAsia" w:ascii="仿宋_GB2312" w:hAnsi="宋体" w:eastAsia="仿宋_GB2312" w:cs="宋体"/>
          <w:color w:val="141414"/>
          <w:kern w:val="32"/>
          <w:sz w:val="32"/>
          <w:szCs w:val="32"/>
        </w:rPr>
        <w:t>陕西省人力资源和社会保障厅</w:t>
      </w:r>
    </w:p>
    <w:p>
      <w:pPr>
        <w:spacing w:line="610" w:lineRule="exact"/>
        <w:ind w:firstLine="4947" w:firstLineChars="1546"/>
        <w:jc w:val="left"/>
        <w:rPr>
          <w:rFonts w:hint="eastAsia" w:ascii="仿宋_GB2312" w:hAnsi="宋体" w:eastAsia="仿宋_GB2312" w:cs="宋体"/>
          <w:color w:val="141414"/>
          <w:kern w:val="32"/>
          <w:sz w:val="32"/>
          <w:szCs w:val="32"/>
        </w:rPr>
      </w:pPr>
      <w:r>
        <w:rPr>
          <w:rFonts w:ascii="仿宋_GB2312" w:hAnsi="宋体" w:eastAsia="仿宋_GB2312" w:cs="宋体"/>
          <w:color w:val="141414"/>
          <w:kern w:val="32"/>
          <w:sz w:val="32"/>
          <w:szCs w:val="32"/>
        </w:rPr>
        <w:t>201</w:t>
      </w:r>
      <w:r>
        <w:rPr>
          <w:rFonts w:hint="eastAsia" w:ascii="仿宋_GB2312" w:hAnsi="宋体" w:eastAsia="仿宋_GB2312" w:cs="宋体"/>
          <w:color w:val="141414"/>
          <w:kern w:val="32"/>
          <w:sz w:val="32"/>
          <w:szCs w:val="32"/>
        </w:rPr>
        <w:t>5</w:t>
      </w:r>
      <w:r>
        <w:rPr>
          <w:rFonts w:ascii="仿宋_GB2312" w:hAnsi="宋体" w:eastAsia="仿宋_GB2312" w:cs="宋体"/>
          <w:color w:val="141414"/>
          <w:kern w:val="32"/>
          <w:sz w:val="32"/>
          <w:szCs w:val="32"/>
        </w:rPr>
        <w:t>年</w:t>
      </w:r>
      <w:r>
        <w:rPr>
          <w:rFonts w:hint="eastAsia" w:ascii="仿宋_GB2312" w:hAnsi="宋体" w:eastAsia="仿宋_GB2312" w:cs="宋体"/>
          <w:color w:val="141414"/>
          <w:kern w:val="32"/>
          <w:sz w:val="32"/>
          <w:szCs w:val="32"/>
        </w:rPr>
        <w:t>9</w:t>
      </w:r>
      <w:r>
        <w:rPr>
          <w:rFonts w:ascii="仿宋_GB2312" w:hAnsi="宋体" w:eastAsia="仿宋_GB2312" w:cs="宋体"/>
          <w:color w:val="141414"/>
          <w:kern w:val="32"/>
          <w:sz w:val="32"/>
          <w:szCs w:val="32"/>
        </w:rPr>
        <w:t>月</w:t>
      </w:r>
      <w:r>
        <w:rPr>
          <w:rFonts w:hint="eastAsia" w:ascii="仿宋_GB2312" w:hAnsi="宋体" w:eastAsia="仿宋_GB2312" w:cs="宋体"/>
          <w:color w:val="141414"/>
          <w:kern w:val="32"/>
          <w:sz w:val="32"/>
          <w:szCs w:val="32"/>
        </w:rPr>
        <w:t>10</w:t>
      </w:r>
      <w:r>
        <w:rPr>
          <w:rFonts w:ascii="仿宋_GB2312" w:hAnsi="宋体" w:eastAsia="仿宋_GB2312" w:cs="宋体"/>
          <w:color w:val="141414"/>
          <w:kern w:val="32"/>
          <w:sz w:val="32"/>
          <w:szCs w:val="32"/>
        </w:rPr>
        <w:t>日</w:t>
      </w:r>
    </w:p>
    <w:p>
      <w:pPr>
        <w:keepNext w:val="0"/>
        <w:keepLines w:val="0"/>
        <w:pageBreakBefore w:val="0"/>
        <w:widowControl w:val="0"/>
        <w:kinsoku/>
        <w:wordWrap w:val="0"/>
        <w:overflowPunct/>
        <w:topLinePunct w:val="0"/>
        <w:autoSpaceDE/>
        <w:autoSpaceDN/>
        <w:bidi w:val="0"/>
        <w:adjustRightInd w:val="0"/>
        <w:snapToGrid/>
        <w:spacing w:line="600" w:lineRule="exact"/>
        <w:ind w:left="0" w:leftChars="0"/>
        <w:jc w:val="both"/>
        <w:textAlignment w:val="auto"/>
        <w:outlineLvl w:val="9"/>
        <w:rPr>
          <w:rFonts w:hint="eastAsia" w:ascii="仿宋_GB2312" w:hAnsi="仿宋_GB2312" w:eastAsia="仿宋_GB2312" w:cs="仿宋_GB2312"/>
          <w:color w:val="auto"/>
          <w:kern w:val="2"/>
          <w:sz w:val="32"/>
          <w:szCs w:val="32"/>
          <w:lang w:val="en-US" w:eastAsia="zh-CN" w:bidi="ar-SA"/>
        </w:rPr>
      </w:pP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方正小标宋简体">
    <w:panose1 w:val="02010601030101010101"/>
    <w:charset w:val="86"/>
    <w:family w:val="auto"/>
    <w:pitch w:val="default"/>
    <w:sig w:usb0="00000001" w:usb1="080E0000" w:usb2="00000000" w:usb3="00000000" w:csb0="00040000" w:csb1="00000000"/>
  </w:font>
  <w:font w:name="FZXiaoBiaoSong-B05">
    <w:altName w:val="微软雅黑"/>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6"/>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0F070F"/>
    <w:rsid w:val="031C60FC"/>
    <w:rsid w:val="040A6555"/>
    <w:rsid w:val="04940341"/>
    <w:rsid w:val="04B679C3"/>
    <w:rsid w:val="0533022F"/>
    <w:rsid w:val="080F63D8"/>
    <w:rsid w:val="08D707F2"/>
    <w:rsid w:val="08E56B9A"/>
    <w:rsid w:val="09341458"/>
    <w:rsid w:val="0B0912D7"/>
    <w:rsid w:val="0D1B7A00"/>
    <w:rsid w:val="0E103A47"/>
    <w:rsid w:val="0E611E40"/>
    <w:rsid w:val="0E7A5BAE"/>
    <w:rsid w:val="131F7266"/>
    <w:rsid w:val="1378256C"/>
    <w:rsid w:val="14480A4A"/>
    <w:rsid w:val="14AA18B0"/>
    <w:rsid w:val="152D2DCA"/>
    <w:rsid w:val="19FF1374"/>
    <w:rsid w:val="1AAC3060"/>
    <w:rsid w:val="1DEC284C"/>
    <w:rsid w:val="1E6523AC"/>
    <w:rsid w:val="22440422"/>
    <w:rsid w:val="230B4243"/>
    <w:rsid w:val="24006D2A"/>
    <w:rsid w:val="24677254"/>
    <w:rsid w:val="24AE252D"/>
    <w:rsid w:val="25163033"/>
    <w:rsid w:val="28F63C3E"/>
    <w:rsid w:val="28FE3CC9"/>
    <w:rsid w:val="2BF324DE"/>
    <w:rsid w:val="2CA84B1F"/>
    <w:rsid w:val="316D0A90"/>
    <w:rsid w:val="31A15F24"/>
    <w:rsid w:val="32094EEF"/>
    <w:rsid w:val="320F746A"/>
    <w:rsid w:val="3849151E"/>
    <w:rsid w:val="395347B5"/>
    <w:rsid w:val="395C743F"/>
    <w:rsid w:val="39A232A0"/>
    <w:rsid w:val="39E745AA"/>
    <w:rsid w:val="3A0C73E8"/>
    <w:rsid w:val="3A2334A0"/>
    <w:rsid w:val="3AB03992"/>
    <w:rsid w:val="3B1750F7"/>
    <w:rsid w:val="3B5A6BBB"/>
    <w:rsid w:val="3B5D1F95"/>
    <w:rsid w:val="3D8D112D"/>
    <w:rsid w:val="3EDA13A6"/>
    <w:rsid w:val="3FAF56E4"/>
    <w:rsid w:val="402F29D4"/>
    <w:rsid w:val="405C2E6C"/>
    <w:rsid w:val="42F058B7"/>
    <w:rsid w:val="436109F6"/>
    <w:rsid w:val="44106236"/>
    <w:rsid w:val="441A38D4"/>
    <w:rsid w:val="44914BEE"/>
    <w:rsid w:val="469537C1"/>
    <w:rsid w:val="47957AB0"/>
    <w:rsid w:val="47BB4079"/>
    <w:rsid w:val="48BF5307"/>
    <w:rsid w:val="49683A36"/>
    <w:rsid w:val="4A3B16BE"/>
    <w:rsid w:val="4B9A55FB"/>
    <w:rsid w:val="4BC77339"/>
    <w:rsid w:val="4C020C53"/>
    <w:rsid w:val="4C9236C5"/>
    <w:rsid w:val="4D0501FC"/>
    <w:rsid w:val="505C172E"/>
    <w:rsid w:val="516664B9"/>
    <w:rsid w:val="51D661BA"/>
    <w:rsid w:val="5287603E"/>
    <w:rsid w:val="52F46F0B"/>
    <w:rsid w:val="53D8014D"/>
    <w:rsid w:val="53E62521"/>
    <w:rsid w:val="55E064E0"/>
    <w:rsid w:val="55ED49EB"/>
    <w:rsid w:val="572C6D10"/>
    <w:rsid w:val="57C1580F"/>
    <w:rsid w:val="582074CF"/>
    <w:rsid w:val="591A039A"/>
    <w:rsid w:val="5C4062DB"/>
    <w:rsid w:val="5D930045"/>
    <w:rsid w:val="5DC34279"/>
    <w:rsid w:val="5DD34942"/>
    <w:rsid w:val="5E4D78BA"/>
    <w:rsid w:val="5EEF3A9B"/>
    <w:rsid w:val="608816D1"/>
    <w:rsid w:val="60EF4E7F"/>
    <w:rsid w:val="61FD023F"/>
    <w:rsid w:val="6375284A"/>
    <w:rsid w:val="64F2093A"/>
    <w:rsid w:val="66420EBE"/>
    <w:rsid w:val="665233C1"/>
    <w:rsid w:val="669E4EA2"/>
    <w:rsid w:val="672F5464"/>
    <w:rsid w:val="688F5C6E"/>
    <w:rsid w:val="6A1150A2"/>
    <w:rsid w:val="6A421D37"/>
    <w:rsid w:val="6A7C112B"/>
    <w:rsid w:val="6AD9688B"/>
    <w:rsid w:val="6BE46574"/>
    <w:rsid w:val="6C4732F0"/>
    <w:rsid w:val="6CE25454"/>
    <w:rsid w:val="6CEB705B"/>
    <w:rsid w:val="6D0E3F22"/>
    <w:rsid w:val="6ED1388E"/>
    <w:rsid w:val="6F822F6B"/>
    <w:rsid w:val="71256142"/>
    <w:rsid w:val="782B419C"/>
    <w:rsid w:val="7A1F2E86"/>
    <w:rsid w:val="7B9534AE"/>
    <w:rsid w:val="7C155165"/>
    <w:rsid w:val="7C9011D9"/>
    <w:rsid w:val="7D6A74E3"/>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jc w:val="left"/>
    </w:pPr>
    <w:rPr>
      <w:rFonts w:hint="eastAsia" w:ascii="宋体" w:hAnsi="宋体" w:eastAsia="宋体" w:cs="宋体"/>
      <w:kern w:val="0"/>
      <w:sz w:val="24"/>
      <w:szCs w:val="24"/>
      <w:u w:val="none"/>
      <w:lang w:val="en-US" w:eastAsia="zh-CN" w:bidi="ar"/>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semiHidden/>
    <w:unhideWhenUsed/>
    <w:qFormat/>
    <w:uiPriority w:val="0"/>
    <w:pPr>
      <w:spacing w:before="0" w:beforeAutospacing="1" w:after="0" w:afterAutospacing="1"/>
      <w:jc w:val="left"/>
    </w:pPr>
    <w:rPr>
      <w:rFonts w:hint="eastAsia" w:ascii="微软雅黑" w:hAnsi="微软雅黑" w:eastAsia="微软雅黑" w:cs="微软雅黑"/>
      <w:b/>
      <w:kern w:val="0"/>
      <w:sz w:val="24"/>
      <w:szCs w:val="24"/>
      <w:lang w:val="en-US" w:eastAsia="zh-CN" w:bidi="ar"/>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ascii="Calibri" w:hAnsi="Calibri" w:cs="Arial"/>
      <w:szCs w:val="22"/>
    </w:rPr>
  </w:style>
  <w:style w:type="paragraph" w:styleId="7">
    <w:name w:val="Normal Indent"/>
    <w:basedOn w:val="1"/>
    <w:unhideWhenUsed/>
    <w:qFormat/>
    <w:uiPriority w:val="99"/>
    <w:pPr>
      <w:ind w:firstLine="420" w:firstLineChars="200"/>
    </w:pPr>
  </w:style>
  <w:style w:type="paragraph" w:styleId="8">
    <w:name w:val="index 5"/>
    <w:basedOn w:val="1"/>
    <w:next w:val="1"/>
    <w:qFormat/>
    <w:uiPriority w:val="0"/>
    <w:pPr>
      <w:ind w:left="1680"/>
    </w:pPr>
  </w:style>
  <w:style w:type="paragraph" w:styleId="9">
    <w:name w:val="annotation text"/>
    <w:basedOn w:val="1"/>
    <w:link w:val="36"/>
    <w:qFormat/>
    <w:uiPriority w:val="0"/>
    <w:pPr>
      <w:jc w:val="left"/>
    </w:pPr>
  </w:style>
  <w:style w:type="paragraph" w:styleId="10">
    <w:name w:val="Salutation"/>
    <w:basedOn w:val="1"/>
    <w:next w:val="1"/>
    <w:semiHidden/>
    <w:unhideWhenUsed/>
    <w:qFormat/>
    <w:uiPriority w:val="99"/>
  </w:style>
  <w:style w:type="paragraph" w:styleId="11">
    <w:name w:val="Body Text 3"/>
    <w:basedOn w:val="1"/>
    <w:qFormat/>
    <w:uiPriority w:val="0"/>
    <w:rPr>
      <w:sz w:val="16"/>
    </w:rPr>
  </w:style>
  <w:style w:type="paragraph" w:styleId="12">
    <w:name w:val="Plain Text"/>
    <w:basedOn w:val="1"/>
    <w:qFormat/>
    <w:uiPriority w:val="0"/>
    <w:rPr>
      <w:rFonts w:ascii="宋体" w:hAnsi="Courier New" w:eastAsia="宋体" w:cs="Courier New"/>
      <w:sz w:val="21"/>
      <w:szCs w:val="21"/>
    </w:rPr>
  </w:style>
  <w:style w:type="paragraph" w:styleId="13">
    <w:name w:val="Date"/>
    <w:basedOn w:val="1"/>
    <w:next w:val="1"/>
    <w:link w:val="34"/>
    <w:qFormat/>
    <w:uiPriority w:val="0"/>
    <w:pPr>
      <w:ind w:left="100" w:leftChars="2500"/>
    </w:pPr>
  </w:style>
  <w:style w:type="paragraph" w:styleId="14">
    <w:name w:val="Balloon Text"/>
    <w:basedOn w:val="1"/>
    <w:link w:val="33"/>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footnote text"/>
    <w:basedOn w:val="1"/>
    <w:next w:val="16"/>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0">
    <w:name w:val="annotation subject"/>
    <w:basedOn w:val="9"/>
    <w:next w:val="9"/>
    <w:link w:val="37"/>
    <w:qFormat/>
    <w:uiPriority w:val="0"/>
    <w:rPr>
      <w:b/>
      <w:bCs/>
    </w:rPr>
  </w:style>
  <w:style w:type="character" w:styleId="23">
    <w:name w:val="Strong"/>
    <w:basedOn w:val="22"/>
    <w:qFormat/>
    <w:uiPriority w:val="22"/>
    <w:rPr>
      <w:b/>
      <w:bCs/>
    </w:rPr>
  </w:style>
  <w:style w:type="character" w:styleId="24">
    <w:name w:val="page number"/>
    <w:basedOn w:val="22"/>
    <w:qFormat/>
    <w:uiPriority w:val="0"/>
  </w:style>
  <w:style w:type="character" w:styleId="25">
    <w:name w:val="FollowedHyperlink"/>
    <w:basedOn w:val="22"/>
    <w:qFormat/>
    <w:uiPriority w:val="0"/>
    <w:rPr>
      <w:rFonts w:hint="eastAsia" w:ascii="微软雅黑" w:hAnsi="微软雅黑" w:eastAsia="微软雅黑" w:cs="微软雅黑"/>
      <w:color w:val="2A2A2A"/>
      <w:sz w:val="21"/>
      <w:szCs w:val="21"/>
      <w:u w:val="none"/>
    </w:rPr>
  </w:style>
  <w:style w:type="character" w:styleId="26">
    <w:name w:val="Emphasis"/>
    <w:basedOn w:val="22"/>
    <w:qFormat/>
    <w:uiPriority w:val="0"/>
    <w:rPr>
      <w:u w:val="none"/>
    </w:rPr>
  </w:style>
  <w:style w:type="character" w:styleId="27">
    <w:name w:val="HTML Definition"/>
    <w:basedOn w:val="22"/>
    <w:qFormat/>
    <w:uiPriority w:val="0"/>
    <w:rPr>
      <w:i/>
    </w:rPr>
  </w:style>
  <w:style w:type="character" w:styleId="28">
    <w:name w:val="Hyperlink"/>
    <w:basedOn w:val="22"/>
    <w:qFormat/>
    <w:uiPriority w:val="0"/>
    <w:rPr>
      <w:rFonts w:ascii="微软雅黑" w:hAnsi="微软雅黑" w:eastAsia="微软雅黑" w:cs="微软雅黑"/>
      <w:color w:val="2A2A2A"/>
      <w:sz w:val="21"/>
      <w:szCs w:val="21"/>
      <w:u w:val="none"/>
    </w:rPr>
  </w:style>
  <w:style w:type="character" w:styleId="29">
    <w:name w:val="HTML Code"/>
    <w:basedOn w:val="22"/>
    <w:qFormat/>
    <w:uiPriority w:val="0"/>
    <w:rPr>
      <w:rFonts w:hint="default" w:ascii="Consolas" w:hAnsi="Consolas" w:eastAsia="Consolas" w:cs="Consolas"/>
      <w:color w:val="C7254E"/>
      <w:sz w:val="21"/>
      <w:szCs w:val="21"/>
      <w:shd w:val="clear" w:fill="F9F2F4"/>
    </w:rPr>
  </w:style>
  <w:style w:type="character" w:styleId="30">
    <w:name w:val="annotation reference"/>
    <w:basedOn w:val="22"/>
    <w:qFormat/>
    <w:uiPriority w:val="0"/>
    <w:rPr>
      <w:sz w:val="21"/>
      <w:szCs w:val="21"/>
    </w:rPr>
  </w:style>
  <w:style w:type="character" w:styleId="31">
    <w:name w:val="HTML Keyboard"/>
    <w:basedOn w:val="22"/>
    <w:semiHidden/>
    <w:unhideWhenUsed/>
    <w:qFormat/>
    <w:uiPriority w:val="0"/>
    <w:rPr>
      <w:rFonts w:hint="default" w:ascii="Consolas" w:hAnsi="Consolas" w:eastAsia="Consolas" w:cs="Consolas"/>
      <w:color w:val="FFFFFF"/>
      <w:sz w:val="21"/>
      <w:szCs w:val="21"/>
      <w:shd w:val="clear" w:fill="333333"/>
    </w:rPr>
  </w:style>
  <w:style w:type="character" w:styleId="32">
    <w:name w:val="HTML Sample"/>
    <w:basedOn w:val="22"/>
    <w:qFormat/>
    <w:uiPriority w:val="0"/>
    <w:rPr>
      <w:rFonts w:ascii="Consolas" w:hAnsi="Consolas" w:eastAsia="Consolas" w:cs="Consolas"/>
      <w:sz w:val="21"/>
      <w:szCs w:val="21"/>
    </w:rPr>
  </w:style>
  <w:style w:type="character" w:customStyle="1" w:styleId="33">
    <w:name w:val="批注框文本 字符"/>
    <w:basedOn w:val="22"/>
    <w:link w:val="14"/>
    <w:qFormat/>
    <w:uiPriority w:val="0"/>
    <w:rPr>
      <w:rFonts w:asciiTheme="minorHAnsi" w:hAnsiTheme="minorHAnsi" w:eastAsiaTheme="minorEastAsia" w:cstheme="minorBidi"/>
      <w:kern w:val="2"/>
      <w:sz w:val="18"/>
      <w:szCs w:val="18"/>
    </w:rPr>
  </w:style>
  <w:style w:type="character" w:customStyle="1" w:styleId="34">
    <w:name w:val="日期 字符"/>
    <w:basedOn w:val="22"/>
    <w:link w:val="13"/>
    <w:qFormat/>
    <w:uiPriority w:val="0"/>
    <w:rPr>
      <w:rFonts w:asciiTheme="minorHAnsi" w:hAnsiTheme="minorHAnsi" w:eastAsiaTheme="minorEastAsia" w:cstheme="minorBidi"/>
      <w:kern w:val="2"/>
      <w:sz w:val="21"/>
      <w:szCs w:val="24"/>
    </w:rPr>
  </w:style>
  <w:style w:type="paragraph" w:styleId="35">
    <w:name w:val="List Paragraph"/>
    <w:basedOn w:val="1"/>
    <w:qFormat/>
    <w:uiPriority w:val="99"/>
    <w:pPr>
      <w:ind w:firstLine="420" w:firstLineChars="200"/>
    </w:pPr>
  </w:style>
  <w:style w:type="character" w:customStyle="1" w:styleId="36">
    <w:name w:val="批注文字 字符"/>
    <w:basedOn w:val="22"/>
    <w:link w:val="9"/>
    <w:qFormat/>
    <w:uiPriority w:val="0"/>
    <w:rPr>
      <w:rFonts w:asciiTheme="minorHAnsi" w:hAnsiTheme="minorHAnsi" w:eastAsiaTheme="minorEastAsia" w:cstheme="minorBidi"/>
      <w:kern w:val="2"/>
      <w:sz w:val="21"/>
      <w:szCs w:val="24"/>
    </w:rPr>
  </w:style>
  <w:style w:type="character" w:customStyle="1" w:styleId="37">
    <w:name w:val="批注主题 字符"/>
    <w:basedOn w:val="36"/>
    <w:link w:val="20"/>
    <w:qFormat/>
    <w:uiPriority w:val="0"/>
    <w:rPr>
      <w:rFonts w:asciiTheme="minorHAnsi" w:hAnsiTheme="minorHAnsi" w:eastAsiaTheme="minorEastAsia" w:cstheme="minorBidi"/>
      <w:b/>
      <w:bCs/>
      <w:kern w:val="2"/>
      <w:sz w:val="21"/>
      <w:szCs w:val="24"/>
    </w:rPr>
  </w:style>
  <w:style w:type="character" w:customStyle="1" w:styleId="38">
    <w:name w:val="NormalCharacter"/>
    <w:qFormat/>
    <w:uiPriority w:val="0"/>
  </w:style>
  <w:style w:type="character" w:customStyle="1" w:styleId="39">
    <w:name w:val="nth-child(n+2)"/>
    <w:basedOn w:val="22"/>
    <w:qFormat/>
    <w:uiPriority w:val="0"/>
  </w:style>
  <w:style w:type="paragraph" w:customStyle="1" w:styleId="40">
    <w:name w:val="text-cen"/>
    <w:basedOn w:val="1"/>
    <w:qFormat/>
    <w:uiPriority w:val="0"/>
    <w:pPr>
      <w:spacing w:line="525" w:lineRule="atLeast"/>
      <w:jc w:val="center"/>
    </w:pPr>
    <w:rPr>
      <w:kern w:val="0"/>
      <w:sz w:val="33"/>
      <w:szCs w:val="33"/>
      <w:lang w:val="en-US" w:eastAsia="zh-CN" w:bidi="ar"/>
    </w:rPr>
  </w:style>
  <w:style w:type="paragraph" w:customStyle="1" w:styleId="41">
    <w:name w:val="主题标"/>
    <w:basedOn w:val="1"/>
    <w:next w:val="10"/>
    <w:qFormat/>
    <w:uiPriority w:val="0"/>
    <w:pPr>
      <w:spacing w:line="580" w:lineRule="exact"/>
      <w:jc w:val="center"/>
    </w:pPr>
    <w:rPr>
      <w:rFonts w:eastAsia="方正小标宋简体"/>
      <w:sz w:val="44"/>
      <w:szCs w:val="20"/>
    </w:rPr>
  </w:style>
  <w:style w:type="paragraph" w:customStyle="1" w:styleId="42">
    <w:name w:val="text-top"/>
    <w:basedOn w:val="1"/>
    <w:qFormat/>
    <w:uiPriority w:val="0"/>
    <w:pPr>
      <w:spacing w:line="525" w:lineRule="atLeast"/>
      <w:jc w:val="center"/>
    </w:pPr>
    <w:rPr>
      <w:kern w:val="0"/>
      <w:sz w:val="30"/>
      <w:szCs w:val="30"/>
      <w:lang w:val="en-US" w:eastAsia="zh-CN" w:bidi="ar"/>
    </w:rPr>
  </w:style>
  <w:style w:type="paragraph" w:customStyle="1" w:styleId="43">
    <w:name w:val="Default"/>
    <w:qFormat/>
    <w:uiPriority w:val="0"/>
    <w:pPr>
      <w:widowControl w:val="0"/>
      <w:autoSpaceDE w:val="0"/>
      <w:autoSpaceDN w:val="0"/>
      <w:adjustRightInd w:val="0"/>
    </w:pPr>
    <w:rPr>
      <w:rFonts w:ascii="FZXiaoBiaoSong-B05" w:hAnsi="Times New Roman" w:eastAsia="FZXiaoBiaoSong-B05" w:cs="FZXiaoBiaoSong-B05"/>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873</Words>
  <Characters>898</Characters>
  <Lines>17</Lines>
  <Paragraphs>5</Paragraphs>
  <TotalTime>0</TotalTime>
  <ScaleCrop>false</ScaleCrop>
  <LinksUpToDate>false</LinksUpToDate>
  <CharactersWithSpaces>942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袁婧</cp:lastModifiedBy>
  <cp:lastPrinted>2021-10-26T03:30:00Z</cp:lastPrinted>
  <dcterms:modified xsi:type="dcterms:W3CDTF">2022-09-14T08:38:14Z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48C61CB29D3F4D9384F5922CF0F7FFB4</vt:lpwstr>
  </property>
</Properties>
</file>