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lang w:eastAsia="zh-CN"/>
        </w:rPr>
      </w:pPr>
    </w:p>
    <w:p>
      <w:pPr>
        <w:jc w:val="center"/>
        <w:rPr>
          <w:rFonts w:hint="eastAsia" w:ascii="宋体" w:hAnsi="宋体" w:eastAsia="宋体" w:cs="宋体"/>
          <w:color w:val="auto"/>
          <w:sz w:val="44"/>
          <w:szCs w:val="44"/>
          <w:lang w:eastAsia="zh-CN"/>
        </w:rPr>
      </w:pPr>
    </w:p>
    <w:p>
      <w:pPr>
        <w:jc w:val="center"/>
        <w:rPr>
          <w:rFonts w:hint="default" w:ascii="宋体" w:hAnsi="宋体" w:eastAsia="宋体" w:cs="宋体"/>
          <w:b/>
          <w:bCs/>
          <w:color w:val="auto"/>
          <w:sz w:val="44"/>
          <w:szCs w:val="44"/>
          <w:shd w:val="clear" w:color="auto" w:fill="FFFFFF"/>
        </w:rPr>
      </w:pPr>
      <w:bookmarkStart w:id="1" w:name="_GoBack"/>
      <w:r>
        <w:rPr>
          <w:rFonts w:hint="default" w:ascii="宋体" w:hAnsi="宋体" w:eastAsia="宋体" w:cs="宋体"/>
          <w:b/>
          <w:bCs/>
          <w:color w:val="auto"/>
          <w:sz w:val="44"/>
          <w:szCs w:val="44"/>
          <w:shd w:val="clear" w:color="auto" w:fill="FFFFFF"/>
        </w:rPr>
        <w:t>陕西省商务厅关于贯彻落实</w:t>
      </w:r>
    </w:p>
    <w:p>
      <w:pPr>
        <w:jc w:val="center"/>
        <w:rPr>
          <w:rFonts w:hint="eastAsia" w:ascii="宋体" w:hAnsi="宋体" w:eastAsia="宋体" w:cs="宋体"/>
          <w:b/>
          <w:bCs/>
          <w:color w:val="auto"/>
          <w:sz w:val="44"/>
          <w:szCs w:val="44"/>
          <w:shd w:val="clear" w:color="auto" w:fill="FFFFFF"/>
        </w:rPr>
      </w:pPr>
      <w:r>
        <w:rPr>
          <w:rFonts w:hint="default" w:ascii="宋体" w:hAnsi="宋体" w:eastAsia="宋体" w:cs="宋体"/>
          <w:b/>
          <w:bCs/>
          <w:color w:val="auto"/>
          <w:sz w:val="44"/>
          <w:szCs w:val="44"/>
          <w:shd w:val="clear" w:color="auto" w:fill="FFFFFF"/>
        </w:rPr>
        <w:t>《汽车销售管理办法》的通知</w:t>
      </w:r>
    </w:p>
    <w:bookmarkEnd w:id="1"/>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陕商函</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2017</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468号</w:t>
      </w:r>
    </w:p>
    <w:p>
      <w:pPr>
        <w:keepNext w:val="0"/>
        <w:keepLines w:val="0"/>
        <w:pageBreakBefore w:val="0"/>
        <w:kinsoku/>
        <w:overflowPunct/>
        <w:topLinePunct w:val="0"/>
        <w:autoSpaceDE/>
        <w:autoSpaceDN/>
        <w:bidi w:val="0"/>
        <w:adjustRightInd/>
        <w:snapToGrid/>
        <w:spacing w:line="570" w:lineRule="exact"/>
        <w:rPr>
          <w:rFonts w:hint="eastAsia" w:ascii="仿宋_GB2312" w:hAnsi="黑体" w:eastAsia="仿宋_GB2312"/>
          <w:color w:val="auto"/>
          <w:sz w:val="32"/>
          <w:szCs w:val="32"/>
          <w:lang w:val="en-US" w:eastAsia="zh-CN"/>
        </w:rPr>
      </w:pPr>
    </w:p>
    <w:p>
      <w:pPr>
        <w:keepNext w:val="0"/>
        <w:keepLines w:val="0"/>
        <w:pageBreakBefore w:val="0"/>
        <w:kinsoku/>
        <w:overflowPunct/>
        <w:topLinePunct w:val="0"/>
        <w:autoSpaceDE/>
        <w:autoSpaceDN/>
        <w:bidi w:val="0"/>
        <w:adjustRightInd/>
        <w:snapToGrid/>
        <w:spacing w:line="570" w:lineRule="exac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各设区市(区)商务主管部门、韩城市商务局：</w:t>
      </w: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《汽车销售管理办法》(商务部令2017年第1号，以下简称《办法》)，自2017年7月1日起施行。原《汽车品牌销售管理实施办法》(商务部、发展改革委、工商总局令2005年第10号)同时废止。</w:t>
      </w: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 为深入贯彻落实《汽车销售管理办法》，促进全省汽车市场健康发展，现将有关事项通知如下：</w:t>
      </w: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  </w:t>
      </w:r>
      <w:r>
        <w:rPr>
          <w:rFonts w:hint="default" w:ascii="黑体" w:hAnsi="黑体" w:eastAsia="黑体"/>
          <w:sz w:val="32"/>
          <w:szCs w:val="32"/>
          <w:lang w:val="en-US" w:eastAsia="zh-CN"/>
        </w:rPr>
        <w:t>一、充分认识《办法》出台的重要意义</w:t>
      </w:r>
      <w:r>
        <w:rPr>
          <w:rFonts w:hint="default" w:ascii="黑体" w:hAnsi="黑体" w:eastAsia="黑体"/>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 汽车行业是国民经济战略性、支柱性产业，是稳增长、扩消费的关键领域。《办法》的出台是加快推进汽车流通领域供给侧结构性改革的重要举措，打破了汽车销售品牌授权单一体制，进一步规范了汽车销售行为，加强了消费者合法权益保障，对于构建共享性、节约型、社会化汽车流通体系，激发市场活力，促进汽车消费，将产生积极和深远的影响。各级商务部门要提高认识，将《办法》的贯彻实施作为推动我省汽车流通业改革提升的重要发展机遇，切实履行职责，确保落实到位。</w:t>
      </w: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eastAsia" w:ascii="黑体" w:hAnsi="黑体" w:eastAsia="黑体"/>
          <w:sz w:val="32"/>
          <w:szCs w:val="32"/>
          <w:lang w:val="en-US" w:eastAsia="zh-CN"/>
        </w:rPr>
        <w:t xml:space="preserve"> </w:t>
      </w:r>
      <w:r>
        <w:rPr>
          <w:rFonts w:hint="default" w:ascii="黑体" w:hAnsi="黑体" w:eastAsia="黑体"/>
          <w:sz w:val="32"/>
          <w:szCs w:val="32"/>
          <w:lang w:val="en-US" w:eastAsia="zh-CN"/>
        </w:rPr>
        <w:t>二、切实抓好《办法》的贯彻落实</w:t>
      </w:r>
      <w:r>
        <w:rPr>
          <w:rFonts w:hint="default" w:ascii="黑体" w:hAnsi="黑体" w:eastAsia="黑体"/>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各级商务主管部门和相关行业协会要迅速行动，大力推进《办法》的学习宣传活动：一是深入学习，领会吃透《办法》的精神实质、改革方向和管理要求，以问题和目标为导向，明确工作思路和推进重点。二是组织宣传，充分利用媒体、网络、海报等多种形式，积极扩大宣传，解疑释惑，让行业企业清楚，让社会公众了解并参与监督。三是发挥协会作用，相关行业协会要积极配合和协助商务部门，搭建政府与汽车厂商、经销商的沟通桥梁，督促从事汽车销售及其相关服务活动的供应商、经销商及售后服务商，严格按照《办法》要求，守法经营。</w:t>
      </w:r>
    </w:p>
    <w:p>
      <w:pPr>
        <w:keepNext w:val="0"/>
        <w:keepLines w:val="0"/>
        <w:pageBreakBefore w:val="0"/>
        <w:kinsoku/>
        <w:overflowPunct/>
        <w:topLinePunct w:val="0"/>
        <w:autoSpaceDE/>
        <w:autoSpaceDN/>
        <w:bidi w:val="0"/>
        <w:adjustRightInd/>
        <w:snapToGrid/>
        <w:spacing w:line="570" w:lineRule="exact"/>
        <w:ind w:firstLine="640" w:firstLineChars="200"/>
        <w:rPr>
          <w:rFonts w:hint="default" w:ascii="仿宋_GB2312" w:hAnsi="黑体" w:eastAsia="仿宋_GB2312"/>
          <w:color w:val="auto"/>
          <w:sz w:val="32"/>
          <w:szCs w:val="32"/>
          <w:lang w:val="en-US" w:eastAsia="zh-CN"/>
        </w:rPr>
      </w:pPr>
      <w:r>
        <w:rPr>
          <w:rFonts w:hint="eastAsia" w:ascii="黑体" w:hAnsi="黑体" w:eastAsia="黑体"/>
          <w:sz w:val="32"/>
          <w:szCs w:val="32"/>
          <w:lang w:val="en-US" w:eastAsia="zh-CN"/>
        </w:rPr>
        <w:t>三、</w:t>
      </w:r>
      <w:r>
        <w:rPr>
          <w:rFonts w:hint="default" w:ascii="黑体" w:hAnsi="黑体" w:eastAsia="黑体"/>
          <w:sz w:val="32"/>
          <w:szCs w:val="32"/>
          <w:lang w:val="en-US" w:eastAsia="zh-CN"/>
        </w:rPr>
        <w:t>做好信息报送工作</w:t>
      </w:r>
      <w:r>
        <w:rPr>
          <w:rFonts w:hint="default" w:ascii="黑体" w:hAnsi="黑体" w:eastAsia="黑体"/>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 全国汽车流通信息管理系统是加强汽车流通行业事中事后监管的重要手段。《办法》第二十七条要求供应商、经销商应当自取得营业执照之日起90日内通过全国汽车流通信息管理系统备案基本信息，并及时报送汽车销售信息。本《办法》实施以前已设立的供应商、经销商，应当自本办法实施之日起90日内按前款规定备案基本信息。目前，商务部系统已于7月1日正式上线运行。请县级以上商务主管部门抓紧组织辖区内已设立的汽车供应商、经销商务必于2017年9月30日前登录《全国汽车流通信息管理系统》进行注册登记备案。原“汽车贸易信息管理系统”备案的企业可使用原有帐号登录并完善信息。市级商务主管部门可使用原有老旧汽车报废更新系统帐号登录，县级商务主管部门使用商务部发的新的用户名登录系统，查看辖区内企业有关信息，报送有关信息和开展汽车流通行业管理工作，并督促辖区内汽车供应商、经销商及时进行填报相关信息。</w:t>
      </w: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黑体" w:hAnsi="黑体" w:eastAsia="黑体"/>
          <w:sz w:val="32"/>
          <w:szCs w:val="32"/>
          <w:lang w:val="en-US" w:eastAsia="zh-CN"/>
        </w:rPr>
        <w:t>四、认真落实行业监管任务与行业促进工作</w:t>
      </w:r>
      <w:r>
        <w:rPr>
          <w:rFonts w:hint="default" w:ascii="黑体" w:hAnsi="黑体" w:eastAsia="黑体"/>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办法》已经实施，各级商务主管部门要强化事中事后监管，积极会同相关部门研究《办法》与《消费者保护法》、“三包”规定、召回制度等相关法规的衔接，建立健全部门合作的执法监管体系，落实“双随机”监督检查，加快建立企业信用记录和行业信用体系，督促企业落实全国汽车流通信息管理系统的信息报送工作。要积极推进汽车流通新模式、新业态发展，加快构建我省汽车现代流通体系，服务产业发展，服务居民消费。</w:t>
      </w:r>
      <w:r>
        <w:rPr>
          <w:rFonts w:hint="default" w:ascii="仿宋_GB2312" w:hAnsi="黑体" w:eastAsia="仿宋_GB2312"/>
          <w:color w:val="auto"/>
          <w:sz w:val="32"/>
          <w:szCs w:val="32"/>
          <w:lang w:val="en-US" w:eastAsia="zh-CN"/>
        </w:rPr>
        <w:br w:type="textWrapping"/>
      </w:r>
    </w:p>
    <w:p>
      <w:pPr>
        <w:keepNext w:val="0"/>
        <w:keepLines w:val="0"/>
        <w:pageBreakBefore w:val="0"/>
        <w:kinsoku/>
        <w:overflowPunct/>
        <w:topLinePunct w:val="0"/>
        <w:autoSpaceDE/>
        <w:autoSpaceDN/>
        <w:bidi w:val="0"/>
        <w:adjustRightInd/>
        <w:snapToGrid/>
        <w:spacing w:line="570" w:lineRule="exact"/>
        <w:ind w:firstLine="640" w:firstLineChars="200"/>
        <w:rPr>
          <w:rFonts w:hint="eastAsia" w:ascii="仿宋_GB2312" w:hAnsi="黑体" w:eastAsia="仿宋_GB2312"/>
          <w:color w:val="auto"/>
          <w:sz w:val="32"/>
          <w:szCs w:val="32"/>
          <w:lang w:val="en-US" w:eastAsia="zh-CN"/>
        </w:rPr>
      </w:pP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 陕西省商务厅</w:t>
      </w:r>
      <w:r>
        <w:rPr>
          <w:rFonts w:hint="default" w:ascii="仿宋_GB2312" w:hAnsi="黑体" w:eastAsia="仿宋_GB2312"/>
          <w:color w:val="auto"/>
          <w:sz w:val="32"/>
          <w:szCs w:val="32"/>
          <w:lang w:val="en-US" w:eastAsia="zh-CN"/>
        </w:rPr>
        <w:br w:type="textWrapping"/>
      </w:r>
      <w:r>
        <w:rPr>
          <w:rFonts w:hint="default" w:ascii="仿宋_GB2312" w:hAnsi="黑体" w:eastAsia="仿宋_GB2312"/>
          <w:color w:val="auto"/>
          <w:sz w:val="32"/>
          <w:szCs w:val="32"/>
          <w:lang w:val="en-US" w:eastAsia="zh-CN"/>
        </w:rPr>
        <w:t>                                                          </w:t>
      </w:r>
      <w:r>
        <w:rPr>
          <w:rFonts w:hint="eastAsia" w:ascii="仿宋_GB2312" w:hAnsi="黑体" w:eastAsia="仿宋_GB2312"/>
          <w:color w:val="auto"/>
          <w:sz w:val="32"/>
          <w:szCs w:val="32"/>
          <w:lang w:val="en-US" w:eastAsia="zh-CN"/>
        </w:rPr>
        <w:t xml:space="preserve">  </w:t>
      </w:r>
      <w:r>
        <w:rPr>
          <w:rFonts w:hint="default" w:ascii="仿宋_GB2312" w:hAnsi="黑体" w:eastAsia="仿宋_GB2312"/>
          <w:color w:val="auto"/>
          <w:sz w:val="32"/>
          <w:szCs w:val="32"/>
          <w:lang w:val="en-US" w:eastAsia="zh-CN"/>
        </w:rPr>
        <w:t>2017年7月21日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jc w:val="both"/>
        <w:textAlignment w:val="baseline"/>
        <w:rPr>
          <w:rFonts w:hint="eastAsia" w:ascii="仿宋_GB2312" w:hAnsi="Calibri" w:eastAsia="仿宋_GB2312" w:cs="黑体"/>
          <w:color w:val="auto"/>
          <w:kern w:val="2"/>
          <w:sz w:val="32"/>
          <w:szCs w:val="32"/>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eastAsia" w:ascii="仿宋_GB2312" w:hAnsi="Calibri" w:eastAsia="仿宋_GB2312" w:cs="黑体"/>
          <w:color w:val="auto"/>
          <w:kern w:val="2"/>
          <w:sz w:val="32"/>
          <w:szCs w:val="32"/>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汽车销售管理办法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default" w:ascii="仿宋_GB2312" w:hAnsi="Calibri" w:eastAsia="仿宋_GB2312" w:cs="黑体"/>
          <w:color w:val="auto"/>
          <w:kern w:val="2"/>
          <w:sz w:val="32"/>
          <w:szCs w:val="32"/>
          <w:shd w:val="clear" w:color="auto" w:fill="FFFFFF"/>
          <w:lang w:val="en-US" w:eastAsia="zh-CN" w:bidi="ar-SA"/>
        </w:rPr>
        <w:br w:type="textWrapping"/>
      </w:r>
      <w:r>
        <w:rPr>
          <w:rFonts w:hint="eastAsia" w:ascii="黑体" w:hAnsi="黑体" w:eastAsia="黑体" w:cs="黑体"/>
          <w:kern w:val="2"/>
          <w:sz w:val="32"/>
          <w:szCs w:val="32"/>
          <w:lang w:val="en-US" w:eastAsia="zh-CN" w:bidi="ar-SA"/>
        </w:rPr>
        <w:t>第一章 总则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第一条 为促进汽车市场健康发展，维护公平公正的市场秩序，保护消费者合法权益，根据国家有关法律、行政法规，制定本办法。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第二条 在中华人民共和国境内从事汽车销售及其相关服务活动，适用本办法。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从事汽车销售及其相关服务活动应当遵循合法、自愿、公平、诚信的原则。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第三条 本办法所称汽车，是指《汽车和挂车类型的术语和定义》(GB/T 3730.1)定义的汽车，且在境内未办理注册登记的新车。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第四条 国家鼓励发展共享型、节约型、社会化的汽车销售和售后服务网络，加快城乡一体的汽车销售和售后服务网络建设，加强新能源汽车销售和售后服务网络建设，推动汽车流通模式创新。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第五条 在境内销售汽车的供应商、经销商，应当建立完善汽车销售和售后服务体系，保证相应的配件供应，提供及时、有效的售后服务，严格遵守家用汽车产品“三包”、召回等规定，确保消费者合法权益。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第六条 本办法所称供应商，是指为经销商提供汽车资源的境内生产企业或接受境内生产企业转让销售环节权益并进行分销的经营者以及从境外进口汽车的经营者。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本办法所称经销商，是指获得汽车资源并进行销售的经营者。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本办法所称售后服务商，是指汽车销售后提供汽车维护、修理等服务活动的经营者。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第七条 国务院商务主管部门负责制定全国汽车销售及其相关服务活动的政策规章，对地方商务主管部门的监督管理工作进行指导、协调和监督。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县级以上地方商务主管部门依据本办法对本行政区域内汽车销售及其相关服务活动进行监督管理。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第八条 汽车行业协会、商会应当制定行业规范，提供信息咨询、宣传培训等服务，开展行业监测和预警分析，加强行业自律。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销售行为规范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第九条 供应商、经销商销售汽车、配件及其他相关产品应当符合国家有关规定和标准，不得销售国家法律、法规禁止交易的产品。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第十条 经销商应当在经营场所以适当形式明示销售汽车、配件及其他相关产品的价格和各项服务收费标准，不得在标价之外加价销售或收取额外费用。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第十一条 经销商应当在经营场所明示所出售的汽车产品质量保证、保修服务及消费者需知悉的其他售后服务政策，出售家用汽车产品的经销商还应当在经营场所明示家用汽车产品的“三包”信息。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第十二条 经销商出售未经供应商授权销售的汽车，或者未经境外汽车生产企业授权销售的进口汽车，应当以书面形式向消费者作出提醒和说明，并书面告知向消费者承担相关责任的主体。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未经供应商授权或者授权终止的，经销商不得以供应商授权销售汽车的名义从事经营活动。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第十三条 售后服务商应当向消费者明示售后服务的技术、质量和服务规范。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第十四条 供应商、经销商不得限定消费者户籍所在地，不得对消费者限定汽车配件、用品、金融、保险、救援等产品的提供商和售后服务商，但家用汽车产品“三包”服务、召回等由供应商承担费用时使用的配件和服务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经销商销售汽车时不得强制消费者购买保险或者强制为其提供代办车辆注册登记等服务。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第十五条 经销商向消费者销售汽车时，应当核实登记消费者的有效身份证明，签订销售合同，并如实开具销售发票。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第十六条 供应商、经销商应当在交付汽车的同时交付以下随车凭证和文件，并保证车辆配置表述与实物配置相一致：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（一）国产汽车的机动车整车出厂合格证；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（二）使用国产底盘改装汽车的机动车底盘出厂合格证；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（三）进口汽车的货物进口证明和进口机动车检验证明等材料；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（四）车辆一致性证书，或者进口汽车产品特殊认证模式检验报告；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（五）产品中文使用说明书；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（六）产品保修、维修保养手册；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（七）家用汽车产品“三包”凭证。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第十七条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列入国家强制性产品认证目录的配件，应当取得国家强制性产品认证并加施认证标志后方可销售或者在售后服务经营活动中使用，依据国家有关规定允许办理免于国家强制性产品认证的除外。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本办法所称原厂配件，是指汽车生产商提供或认可的，使用汽车生产商品牌或其认可品牌，按照车辆组装零部件规格和产品标准制造的零部件。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本办法所称质量相当配件，是指未经汽车生产商认可的，由配件生产商生产的，且性能和质量达到原厂配件相关技术标准要求的零部件。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本办法所称再制造件，是指旧汽车零部件经过再制造技术、工艺生产后，性能和质量达到原型新品要求的零部件。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本办法所称回用件，是指从报废汽车上拆解或维修车辆上替换的能够继续使用的零部件。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第十八条 供应商、经销商应当建立健全消费者投诉制度，明确受理消费者投诉的具体部门和人员，并向消费者明示投诉渠道。投诉的受理、转交以及处理情况应当自收到投诉之日起7个工作日内通知投诉的消费者。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黑体" w:hAnsi="黑体" w:eastAsia="黑体" w:cs="黑体"/>
          <w:kern w:val="2"/>
          <w:sz w:val="32"/>
          <w:szCs w:val="32"/>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销售市场秩序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第十九条 供应商采取向经销商授权方式销售汽车的，授权期限（不含店铺建设期）一般每次不低于3年，首次授权期限一般不低于5年。双方协商一致的，可以提前解除授权合同。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第二十条 供应商应当向经销商提供相应的营销、宣传、售后服务、技术服务等业务培训及技术支持。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供应商、经销商应当在本企业网站或经营场所公示与其合作的售后服务商名单。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第二十一条 供应商不得限制配件生产商（进口产品为进口商）的销售对象，不得限制经销商、售后服务商转售配件，有关法律法规规章及其配套的规范性文件另有规定的除外。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供应商应当及时向社会公布停产或者停止销售的车型，并保证其后至少10年的配件供应以及相应的售后服务。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第二十二条 未违反合同约定被供应商解除授权的，经销商有权要求供应商按不低于双方认可的第三方评估机构的评估价格收购其销售、检测和维修等设施设备，并回购相关库存车辆和配件。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第二十三条 供应商发生变更时，应当妥善处理相关事宜，确保经销商和消费者的合法权益。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第二十四条 供应商可以要求经销商为本企业品牌汽车设立单独展区，满足经营需要和维护品牌形象的基本功能，但不得对经销商实施下列行为：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（一）要求同时具备销售、售后服务等功能；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（二）规定整车、配件库存品种或数量，或者规定汽车销售数量，但双方在签署授权合同或合同延期时就上述内容书面达成一致的除外；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（三）限制经营其他供应商商品；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（四）限制为其他供应商的汽车提供配件及其他售后服务；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（五）要求承担以汽车供应商名义实施的广告、车展等宣传推广费用，或者限定广告宣传方式和媒体；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（六）限定不合理的经营场地面积、建筑物结构以及有偿设计单位、建筑单位、建筑材料、通用设备以及办公设施的品牌或者供应商；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（七）搭售未订购的汽车、配件及其他商品；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（八）干涉经销商人力资源和财务管理以及其他属于经销商自主经营范围内的活动；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（九）限制本企业汽车产品经销商之间相互转售。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第二十五条 供应商制定或实施营销奖励等商务政策应当遵循公平、公正、透明的原则。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供应商应当向经销商明确商务政策的主要内容，对于临时性商务政策，应当提前以双方约定的方式告知；对于被解除授权的经销商，应当维护经销商在授权期间应有的权益，不得拒绝或延迟支付销售返利。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第二十六条 除双方合同另有约定外, 供应商在经销商获得授权销售区域内不得向消费者直接销售汽车。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监督管理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第二十七条 供应商、经销商应当自取得营业执照之日起90日内通过国务院商务主管部门全国汽车流通信息管理系统备案基本信息。供应商、经销商备案的基本信息发生变更的，应当自信息变更之日起30日内完成信息更新。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本办法实施以前已设立的供应商、经销商应当自本办法实施之日起90日内按前款规定备案基本信息。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供应商、经销商应当按照国务院商务主管部门的要求，及时通过全国汽车流通信息管理系统报送汽车销售数量、种类等信息。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第二十八条 经销商应当建立销售汽车、用户等信息档案，准确、及时地反映本区域销售动态、用户要求和其他相关信息。汽车销售、用户等信息档案保存期不得少于10年。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第二十九条 县级以上地方商务主管部门应当依据职责，采取“双随机”办法对汽车销售及其相关服务活动实施日常监督检查。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监督检查可以采取下列措施：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　　（一）进入供应商、经销商从事经营活动的场所进行现场检查；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　　（二）询问与监督检查事项有关的单位和个人，要求其说明情况；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　　（三）查阅、复制有关文件、资料，检查相关数据信息系统及复制相关信息数据；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　　（四）依据国家有关规定采取的其他措施。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第三十条 县级以上地方商务主管部门应当会同有关部门建立企业信用记录，纳入全国统一的信用信息共享交换平台。对供应商、经销商有关违法违规行为依法作出处理决定的，应当录入信用档案，并及时向社会公布。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第三十一条 供应商、经销商应当配合政府有关部门开展走私、盗抢、非法拼装等嫌疑车辆调查，提供车辆相关信息。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法律责任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第三十三条 违反本办法第十一条、第十五条、第十八条、第二十条第二款、第二十七条、第二十八条有关规定的，由县级以上地方商务主管部门责令改正，并可给予警告或1万元以下罚款。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第三十四条 县级以上商务主管部门的工作人员在汽车销售及其相关服务活动监督管理工作中滥用职权、玩忽职守、徇私舞弊的，依法给予处分；构成犯罪的，依法追究刑事责任。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textAlignment w:val="baseline"/>
        <w:rPr>
          <w:rFonts w:hint="default" w:ascii="仿宋_GB2312" w:hAnsi="Calibri" w:eastAsia="仿宋_GB2312" w:cs="黑体"/>
          <w:color w:val="auto"/>
          <w:kern w:val="2"/>
          <w:sz w:val="32"/>
          <w:szCs w:val="32"/>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center"/>
        <w:textAlignment w:val="baseline"/>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 则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第三十五条 省级商务主管部门可结合本地区实际情况制定本办法的实施细则，并报国务院商务主管部门备案。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第三十六条 供应商通过平行进口方式进口汽车按照平行进口相关规定办理。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baseline"/>
        <w:rPr>
          <w:rFonts w:hint="default" w:ascii="仿宋_GB2312" w:hAnsi="Calibri" w:eastAsia="仿宋_GB2312" w:cs="黑体"/>
          <w:color w:val="auto"/>
          <w:kern w:val="2"/>
          <w:sz w:val="32"/>
          <w:szCs w:val="32"/>
          <w:shd w:val="clear" w:color="auto" w:fill="FFFFFF"/>
          <w:lang w:val="en-US" w:eastAsia="zh-CN" w:bidi="ar-SA"/>
        </w:rPr>
      </w:pPr>
      <w:r>
        <w:rPr>
          <w:rFonts w:hint="eastAsia" w:ascii="仿宋_GB2312" w:hAnsi="Calibri" w:eastAsia="仿宋_GB2312" w:cs="黑体"/>
          <w:color w:val="auto"/>
          <w:kern w:val="2"/>
          <w:sz w:val="32"/>
          <w:szCs w:val="32"/>
          <w:shd w:val="clear" w:color="auto" w:fill="FFFFFF"/>
          <w:lang w:val="en-US" w:eastAsia="zh-CN" w:bidi="ar-SA"/>
        </w:rPr>
        <w:t>第三十七条 本办法自2017年7月1日起施行。</w:t>
      </w:r>
    </w:p>
    <w:p>
      <w:pPr>
        <w:keepNext w:val="0"/>
        <w:keepLines w:val="0"/>
        <w:pageBreakBefore w:val="0"/>
        <w:kinsoku/>
        <w:overflowPunct/>
        <w:topLinePunct w:val="0"/>
        <w:autoSpaceDE/>
        <w:autoSpaceDN/>
        <w:bidi w:val="0"/>
        <w:adjustRightInd/>
        <w:snapToGrid/>
        <w:spacing w:line="570" w:lineRule="exact"/>
        <w:ind w:firstLine="640" w:firstLineChars="200"/>
        <w:rPr>
          <w:rFonts w:hint="eastAsia" w:ascii="仿宋_GB2312" w:hAnsi="Calibri" w:eastAsia="仿宋_GB2312" w:cs="黑体"/>
          <w:color w:val="auto"/>
          <w:kern w:val="2"/>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line="570" w:lineRule="exact"/>
        <w:ind w:firstLine="640" w:firstLineChars="200"/>
        <w:jc w:val="center"/>
        <w:rPr>
          <w:rFonts w:hint="default" w:ascii="仿宋_GB2312" w:hAnsi="Calibri" w:eastAsia="仿宋_GB2312" w:cs="黑体"/>
          <w:color w:val="auto"/>
          <w:kern w:val="2"/>
          <w:sz w:val="32"/>
          <w:szCs w:val="32"/>
          <w:shd w:val="clear" w:color="auto" w:fill="FFFFFF"/>
          <w:lang w:val="en-US" w:eastAsia="zh-CN" w:bidi="ar-SA"/>
        </w:rPr>
      </w:pPr>
    </w:p>
    <w:sectPr>
      <w:headerReference r:id="rId3" w:type="default"/>
      <w:footerReference r:id="rId4" w:type="default"/>
      <w:pgSz w:w="11906" w:h="16838"/>
      <w:pgMar w:top="1962" w:right="1361" w:bottom="184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Liberation Sans">
    <w:panose1 w:val="020B06040202020202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3"/>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3"/>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6FA6A3"/>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C9011D9"/>
    <w:rsid w:val="7DC651C5"/>
    <w:rsid w:val="7E630178"/>
    <w:rsid w:val="7EF699AC"/>
    <w:rsid w:val="7FBF420D"/>
    <w:rsid w:val="7FCC2834"/>
    <w:rsid w:val="7FFDF7F0"/>
    <w:rsid w:val="7FFE7A9B"/>
    <w:rsid w:val="7FFF4DCA"/>
    <w:rsid w:val="AFDBBF0A"/>
    <w:rsid w:val="B7FFCA45"/>
    <w:rsid w:val="BABD880A"/>
    <w:rsid w:val="BB5B18E2"/>
    <w:rsid w:val="BEDB37A0"/>
    <w:rsid w:val="CBBF2B47"/>
    <w:rsid w:val="DB75DBBC"/>
    <w:rsid w:val="DD7848C6"/>
    <w:rsid w:val="E2FDEBEE"/>
    <w:rsid w:val="EABF6D08"/>
    <w:rsid w:val="F9A34E15"/>
    <w:rsid w:val="FBAF060D"/>
    <w:rsid w:val="FCAF59EE"/>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5">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仿宋_GB2312"/>
      <w:sz w:val="36"/>
    </w:rPr>
  </w:style>
  <w:style w:type="paragraph" w:styleId="8">
    <w:name w:val="Body Text Indent"/>
    <w:basedOn w:val="1"/>
    <w:next w:val="9"/>
    <w:qFormat/>
    <w:uiPriority w:val="0"/>
    <w:pPr>
      <w:autoSpaceDE w:val="0"/>
      <w:autoSpaceDN w:val="0"/>
      <w:adjustRightInd w:val="0"/>
      <w:ind w:firstLine="640" w:firstLineChars="200"/>
      <w:jc w:val="left"/>
    </w:pPr>
    <w:rPr>
      <w:rFonts w:eastAsia="仿宋_GB2312"/>
      <w:sz w:val="32"/>
    </w:rPr>
  </w:style>
  <w:style w:type="paragraph" w:styleId="9">
    <w:name w:val="Body Text First Indent 2"/>
    <w:basedOn w:val="8"/>
    <w:next w:val="1"/>
    <w:qFormat/>
    <w:uiPriority w:val="0"/>
    <w:pPr>
      <w:ind w:firstLine="420" w:firstLineChars="200"/>
    </w:pPr>
  </w:style>
  <w:style w:type="paragraph" w:styleId="10">
    <w:name w:val="toc 3"/>
    <w:basedOn w:val="1"/>
    <w:next w:val="1"/>
    <w:unhideWhenUsed/>
    <w:qFormat/>
    <w:uiPriority w:val="39"/>
    <w:pPr>
      <w:ind w:left="420"/>
    </w:pPr>
    <w:rPr>
      <w:rFonts w:ascii="等线" w:hAnsi="等线" w:eastAsia="等线"/>
      <w:b/>
      <w:sz w:val="30"/>
      <w:szCs w:val="30"/>
    </w:rPr>
  </w:style>
  <w:style w:type="paragraph" w:styleId="11">
    <w:name w:val="Date"/>
    <w:basedOn w:val="1"/>
    <w:next w:val="1"/>
    <w:link w:val="27"/>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spacing w:after="120"/>
      <w:ind w:firstLine="420" w:firstLineChars="100"/>
      <w:jc w:val="both"/>
    </w:pPr>
    <w:rPr>
      <w:rFonts w:eastAsia="宋体"/>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正文缩进1"/>
    <w:basedOn w:val="1"/>
    <w:qFormat/>
    <w:uiPriority w:val="0"/>
    <w:pPr>
      <w:ind w:firstLine="200" w:firstLineChars="200"/>
    </w:pPr>
    <w:rPr>
      <w:rFonts w:eastAsia="楷体_GB2312"/>
    </w:rPr>
  </w:style>
  <w:style w:type="paragraph" w:customStyle="1" w:styleId="24">
    <w:name w:val="Normal Indent1"/>
    <w:basedOn w:val="1"/>
    <w:qFormat/>
    <w:uiPriority w:val="0"/>
    <w:pPr>
      <w:ind w:firstLine="200" w:firstLineChars="200"/>
    </w:pPr>
    <w:rPr>
      <w:rFonts w:eastAsia="楷体_GB2312"/>
    </w:rPr>
  </w:style>
  <w:style w:type="paragraph" w:customStyle="1" w:styleId="25">
    <w:name w:val="列表段落1"/>
    <w:basedOn w:val="1"/>
    <w:qFormat/>
    <w:uiPriority w:val="99"/>
    <w:pPr>
      <w:ind w:firstLine="420" w:firstLineChars="200"/>
    </w:pPr>
  </w:style>
  <w:style w:type="character" w:customStyle="1" w:styleId="26">
    <w:name w:val="标题 1 字符"/>
    <w:basedOn w:val="18"/>
    <w:link w:val="3"/>
    <w:qFormat/>
    <w:uiPriority w:val="0"/>
    <w:rPr>
      <w:rFonts w:ascii="宋体" w:hAnsi="宋体"/>
      <w:b/>
      <w:bCs/>
      <w:kern w:val="44"/>
      <w:sz w:val="48"/>
      <w:szCs w:val="48"/>
    </w:rPr>
  </w:style>
  <w:style w:type="character" w:customStyle="1" w:styleId="27">
    <w:name w:val="日期 字符"/>
    <w:basedOn w:val="18"/>
    <w:link w:val="11"/>
    <w:qFormat/>
    <w:uiPriority w:val="0"/>
    <w:rPr>
      <w:rFonts w:ascii="Calibri" w:hAnsi="Calibri" w:cs="黑体"/>
      <w:kern w:val="2"/>
      <w:sz w:val="21"/>
      <w:szCs w:val="24"/>
    </w:rPr>
  </w:style>
  <w:style w:type="character" w:customStyle="1" w:styleId="28">
    <w:name w:val="标题 1 Char"/>
    <w:link w:val="3"/>
    <w:qFormat/>
    <w:uiPriority w:val="0"/>
    <w:rPr>
      <w:rFonts w:eastAsia="黑体"/>
      <w:b/>
      <w:kern w:val="44"/>
    </w:rPr>
  </w:style>
  <w:style w:type="paragraph" w:customStyle="1" w:styleId="29">
    <w:name w:val=" Char Char Char Char Char Char Char Char Char"/>
    <w:basedOn w:val="1"/>
    <w:qFormat/>
    <w:uiPriority w:val="0"/>
    <w:pPr>
      <w:widowControl/>
      <w:spacing w:after="160" w:afterLines="0" w:line="240" w:lineRule="exact"/>
      <w:jc w:val="left"/>
    </w:pPr>
  </w:style>
  <w:style w:type="paragraph" w:customStyle="1" w:styleId="30">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1">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2">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3">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4">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5">
    <w:name w:val="NormalCharacter"/>
    <w:semiHidden/>
    <w:qFormat/>
    <w:uiPriority w:val="0"/>
    <w:rPr>
      <w:rFonts w:eastAsia="宋体"/>
      <w:kern w:val="2"/>
      <w:sz w:val="32"/>
      <w:lang w:val="en-US" w:eastAsia="zh-CN" w:bidi="ar-SA"/>
    </w:rPr>
  </w:style>
  <w:style w:type="character" w:customStyle="1" w:styleId="36">
    <w:name w:val="font181"/>
    <w:basedOn w:val="18"/>
    <w:qFormat/>
    <w:uiPriority w:val="0"/>
    <w:rPr>
      <w:rFonts w:hint="default" w:ascii="黑体" w:hAnsi="宋体" w:eastAsia="黑体" w:cs="黑体"/>
      <w:color w:val="000000"/>
      <w:sz w:val="22"/>
      <w:szCs w:val="22"/>
      <w:u w:val="none"/>
    </w:rPr>
  </w:style>
  <w:style w:type="character" w:customStyle="1" w:styleId="37">
    <w:name w:val="font51"/>
    <w:basedOn w:val="18"/>
    <w:qFormat/>
    <w:uiPriority w:val="0"/>
    <w:rPr>
      <w:rFonts w:ascii="仿宋_GB2312" w:eastAsia="仿宋_GB2312" w:cs="仿宋_GB2312"/>
      <w:color w:val="000000"/>
      <w:sz w:val="22"/>
      <w:szCs w:val="22"/>
      <w:u w:val="none"/>
    </w:rPr>
  </w:style>
  <w:style w:type="character" w:customStyle="1" w:styleId="38">
    <w:name w:val="font101"/>
    <w:basedOn w:val="18"/>
    <w:qFormat/>
    <w:uiPriority w:val="0"/>
    <w:rPr>
      <w:rFonts w:hint="default" w:ascii="Times New Roman" w:hAnsi="Times New Roman" w:cs="Times New Roman"/>
      <w:color w:val="000000"/>
      <w:sz w:val="22"/>
      <w:szCs w:val="22"/>
      <w:u w:val="none"/>
    </w:rPr>
  </w:style>
  <w:style w:type="character" w:customStyle="1" w:styleId="39">
    <w:name w:val="font4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0">
    <w:name w:val="font171"/>
    <w:basedOn w:val="18"/>
    <w:qFormat/>
    <w:uiPriority w:val="0"/>
    <w:rPr>
      <w:rFonts w:hint="default" w:ascii="仿宋_GB2312" w:eastAsia="仿宋_GB2312" w:cs="仿宋_GB2312"/>
      <w:color w:val="000000"/>
      <w:sz w:val="22"/>
      <w:szCs w:val="22"/>
      <w:u w:val="none"/>
    </w:rPr>
  </w:style>
  <w:style w:type="character" w:customStyle="1" w:styleId="41">
    <w:name w:val="font91"/>
    <w:basedOn w:val="18"/>
    <w:qFormat/>
    <w:uiPriority w:val="0"/>
    <w:rPr>
      <w:rFonts w:hint="default" w:ascii="Times New Roman" w:hAnsi="Times New Roman" w:cs="Times New Roman"/>
      <w:color w:val="000000"/>
      <w:sz w:val="22"/>
      <w:szCs w:val="22"/>
      <w:u w:val="none"/>
    </w:rPr>
  </w:style>
  <w:style w:type="character" w:customStyle="1" w:styleId="42">
    <w:name w:val="font31"/>
    <w:basedOn w:val="18"/>
    <w:qFormat/>
    <w:uiPriority w:val="0"/>
    <w:rPr>
      <w:rFonts w:ascii="Arial" w:hAnsi="Arial" w:cs="Arial"/>
      <w:color w:val="000000"/>
      <w:sz w:val="22"/>
      <w:szCs w:val="22"/>
      <w:u w:val="none"/>
    </w:rPr>
  </w:style>
  <w:style w:type="character" w:customStyle="1" w:styleId="43">
    <w:name w:val="font2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4">
    <w:name w:val="font13"/>
    <w:basedOn w:val="18"/>
    <w:qFormat/>
    <w:uiPriority w:val="0"/>
    <w:rPr>
      <w:rFonts w:hint="eastAsia" w:ascii="宋体" w:hAnsi="宋体" w:eastAsia="宋体" w:cs="宋体"/>
      <w:color w:val="000000"/>
      <w:sz w:val="22"/>
      <w:szCs w:val="22"/>
      <w:u w:val="none"/>
    </w:rPr>
  </w:style>
  <w:style w:type="character" w:customStyle="1" w:styleId="45">
    <w:name w:val="font01"/>
    <w:basedOn w:val="18"/>
    <w:qFormat/>
    <w:uiPriority w:val="0"/>
    <w:rPr>
      <w:rFonts w:hint="default" w:ascii="仿宋_GB2312" w:eastAsia="仿宋_GB2312" w:cs="仿宋_GB2312"/>
      <w:color w:val="000000"/>
      <w:sz w:val="22"/>
      <w:szCs w:val="22"/>
      <w:u w:val="none"/>
    </w:rPr>
  </w:style>
  <w:style w:type="character" w:customStyle="1" w:styleId="46">
    <w:name w:val="font132"/>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9</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2022-08-17T07:12:00Z</dcterms:created>
  <dc:creator>t</dc:creator>
  <cp:lastModifiedBy>user</cp:lastModifiedBy>
  <cp:lastPrinted>2022-01-04T07:02:00Z</cp:lastPrinted>
  <dcterms:modified xsi:type="dcterms:W3CDTF">2022-09-19T16:47:25Z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