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  <w:lang w:val="en-US" w:eastAsia="zh-CN"/>
        </w:rPr>
        <w:t>陕西省市场监督管理局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  <w:lang w:val="en-US" w:eastAsia="zh-CN"/>
        </w:rPr>
        <w:t>关于印发《陕西省特殊食品生产经营监督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  <w:lang w:val="en-US" w:eastAsia="zh-CN"/>
        </w:rPr>
        <w:t>检查管理办法》的通知</w:t>
      </w:r>
    </w:p>
    <w:p>
      <w:pPr>
        <w:jc w:val="center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bookmarkStart w:id="0" w:name="doc_mark"/>
      <w:r>
        <w:rPr>
          <w:rFonts w:hint="eastAsia" w:ascii="仿宋_GB2312" w:eastAsia="仿宋_GB2312"/>
          <w:sz w:val="32"/>
          <w:szCs w:val="32"/>
          <w:lang w:eastAsia="zh-CN"/>
        </w:rPr>
        <w:t>陕市监发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eastAsia="zh-CN"/>
        </w:rPr>
        <w:t>243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各设区市、韩城市、杨凌示范区、西咸新区、神木市、府谷县市场监管局：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为进一步规范全省特殊食品监督执法行为，省市场监管局制定了《陕西省特殊食品生产经营监督检查管理办法》。现印发给你们，请认真贯彻执行。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3788" w:firstLineChars="1184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3788" w:firstLineChars="1184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3788" w:firstLineChars="1184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陕西省市场监督管理局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4108" w:firstLineChars="1284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2019年11月28日</w:t>
      </w:r>
    </w:p>
    <w:p>
      <w:pPr>
        <w:rPr>
          <w:rFonts w:hint="eastAsia" w:ascii="仿宋_GB2312" w:hAnsi="仿宋_GB2312" w:cs="仿宋_GB2312"/>
          <w:b/>
          <w:bCs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（公开属性：主动公开）（40-84﹝2019﹞5号）</w:t>
      </w:r>
    </w:p>
    <w:p>
      <w:pPr>
        <w:pStyle w:val="9"/>
        <w:widowControl w:val="0"/>
        <w:spacing w:before="0" w:beforeLines="0" w:beforeAutospacing="0" w:after="0" w:afterLines="0" w:afterAutospacing="0" w:line="64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9"/>
        <w:widowControl w:val="0"/>
        <w:spacing w:before="0" w:beforeLines="0" w:beforeAutospacing="0" w:after="0" w:afterLines="0" w:afterAutospacing="0" w:line="64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陕西省特殊食品生产经营监督检查</w:t>
      </w:r>
    </w:p>
    <w:p>
      <w:pPr>
        <w:pStyle w:val="9"/>
        <w:widowControl w:val="0"/>
        <w:spacing w:before="0" w:beforeLines="0" w:beforeAutospacing="0" w:after="0" w:afterLines="0" w:afterAutospacing="0" w:line="64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管理办法</w:t>
      </w:r>
    </w:p>
    <w:p>
      <w:pPr>
        <w:pStyle w:val="9"/>
        <w:widowControl w:val="0"/>
        <w:spacing w:before="0" w:beforeLines="0" w:beforeAutospacing="0" w:after="0" w:afterLines="0" w:afterAutospacing="0" w:line="64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center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第一章  总  则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第一条</w:t>
      </w:r>
      <w:r>
        <w:rPr>
          <w:rFonts w:hint="eastAsia" w:ascii="仿宋_GB2312" w:hAnsi="仿宋" w:eastAsia="仿宋_GB2312"/>
          <w:sz w:val="32"/>
          <w:szCs w:val="32"/>
        </w:rPr>
        <w:t xml:space="preserve">  为加强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sz w:val="32"/>
          <w:szCs w:val="32"/>
        </w:rPr>
        <w:t>生产、经营监督管理，进一步明确各级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" w:eastAsia="仿宋_GB2312"/>
          <w:sz w:val="32"/>
          <w:szCs w:val="32"/>
        </w:rPr>
        <w:t>监督管理部门监督管理职责，根据《中华人民共和国食品安全法》《食品生产经营日常监督检查管理办法》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食品生产经营风险分级管理办法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 xml:space="preserve">制定本办法。 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第二条  </w:t>
      </w:r>
      <w:r>
        <w:rPr>
          <w:rFonts w:hint="eastAsia" w:ascii="仿宋_GB2312" w:hAnsi="仿宋" w:eastAsia="仿宋_GB2312"/>
          <w:sz w:val="32"/>
          <w:szCs w:val="32"/>
        </w:rPr>
        <w:t>本办法所指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sz w:val="32"/>
          <w:szCs w:val="32"/>
        </w:rPr>
        <w:t>是指已取得注册证书或备案号的保健食品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特殊医学用途配方食品、婴幼儿配方乳粉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第三条  </w:t>
      </w:r>
      <w:r>
        <w:rPr>
          <w:rFonts w:hint="eastAsia" w:ascii="仿宋_GB2312" w:hAnsi="仿宋" w:eastAsia="仿宋_GB2312"/>
          <w:sz w:val="32"/>
          <w:szCs w:val="32"/>
        </w:rPr>
        <w:t>本办法所指的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sz w:val="32"/>
          <w:szCs w:val="32"/>
        </w:rPr>
        <w:t>监督检查，是指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各级市场</w:t>
      </w:r>
      <w:r>
        <w:rPr>
          <w:rFonts w:hint="eastAsia" w:ascii="仿宋_GB2312" w:hAnsi="仿宋" w:eastAsia="仿宋_GB2312"/>
          <w:sz w:val="32"/>
          <w:szCs w:val="32"/>
        </w:rPr>
        <w:t>监督管理部门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按照属地管理的原则，</w:t>
      </w:r>
      <w:r>
        <w:rPr>
          <w:rFonts w:hint="eastAsia" w:ascii="仿宋_GB2312" w:hAnsi="仿宋" w:eastAsia="仿宋_GB2312"/>
          <w:sz w:val="32"/>
          <w:szCs w:val="32"/>
        </w:rPr>
        <w:t>依法对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sz w:val="32"/>
          <w:szCs w:val="32"/>
        </w:rPr>
        <w:t>生产、经营活动进行的日常监督检查、飞行检查和跟踪检查。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jc w:val="center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</w:p>
    <w:p>
      <w:pPr>
        <w:pStyle w:val="9"/>
        <w:widowControl w:val="0"/>
        <w:spacing w:before="0" w:beforeLines="0" w:beforeAutospacing="0" w:after="0" w:afterLines="0" w:afterAutospacing="0" w:line="560" w:lineRule="exact"/>
        <w:jc w:val="center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第二章  任务和职责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第四条  </w:t>
      </w:r>
      <w:r>
        <w:rPr>
          <w:rFonts w:hint="eastAsia" w:ascii="仿宋_GB2312" w:hAnsi="仿宋" w:eastAsia="仿宋_GB2312"/>
          <w:sz w:val="32"/>
          <w:szCs w:val="32"/>
        </w:rPr>
        <w:t>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" w:eastAsia="仿宋_GB2312"/>
          <w:sz w:val="32"/>
          <w:szCs w:val="32"/>
        </w:rPr>
        <w:t>监督管理局负责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监督指导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全省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生产、经营的监督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检查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通过体系检查、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双随机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检查、跟踪检查、飞行检查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等方式对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特殊食品生产经营情况进行监督检查，对产品质量安全状况进行分析评价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各设区市、西咸新区、杨凌示范区市场监督管理部门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负责本行政区域内特殊食品生产、经营企业的监督管理工作，对辖区各县（区）级市场监督管理部门的监管执法情况进行指导、督查、考核，采取“双随机”检查、飞行检查、抽检等方式对特殊食品</w:t>
      </w:r>
      <w:r>
        <w:rPr>
          <w:rFonts w:hint="eastAsia" w:ascii="仿宋_GB2312" w:hAnsi="仿宋" w:eastAsia="仿宋_GB2312"/>
          <w:sz w:val="32"/>
          <w:szCs w:val="32"/>
        </w:rPr>
        <w:t>生产、经营活动进行监督检查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每年对辖区内保健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生产企业进行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“双随机”抽查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每半年对婴幼儿配方乳粉、特殊医学用途配方食品生产企业开展一次监督检查，每年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对辖区内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经营企业进行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抽查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不少于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0家（次）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韩城市、神木市、府谷县、西咸新区各新城及其它各</w:t>
      </w:r>
      <w:r>
        <w:rPr>
          <w:rFonts w:hint="eastAsia" w:ascii="仿宋_GB2312" w:hAnsi="仿宋" w:eastAsia="仿宋_GB2312"/>
          <w:sz w:val="32"/>
          <w:szCs w:val="32"/>
        </w:rPr>
        <w:t>县（区）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" w:eastAsia="仿宋_GB2312"/>
          <w:sz w:val="32"/>
          <w:szCs w:val="32"/>
        </w:rPr>
        <w:t>食品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市场监督管理</w:t>
      </w:r>
      <w:r>
        <w:rPr>
          <w:rFonts w:hint="eastAsia" w:ascii="仿宋_GB2312" w:hAnsi="仿宋" w:eastAsia="仿宋_GB2312"/>
          <w:sz w:val="32"/>
          <w:szCs w:val="32"/>
        </w:rPr>
        <w:t>部门负责本行政区域内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sz w:val="32"/>
          <w:szCs w:val="32"/>
        </w:rPr>
        <w:t>生产、经营的监督检查工作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采取“双随机”抽查、抽检等方式对特殊食品</w:t>
      </w:r>
      <w:r>
        <w:rPr>
          <w:rFonts w:hint="eastAsia" w:ascii="仿宋_GB2312" w:hAnsi="仿宋" w:eastAsia="仿宋_GB2312"/>
          <w:sz w:val="32"/>
          <w:szCs w:val="32"/>
        </w:rPr>
        <w:t>生产、经营活动进行监督检查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每年对辖区内所有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保健食品企业根据风险等级评定结果，按照《食品生产经营风险分级管理办法》规定的检查频次进行监督检查；每季度对婴幼儿配方乳粉、特殊医学用途配方食品生产企业开展一次监督检查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default" w:ascii="仿宋_GB2312" w:hAnsi="仿宋" w:eastAsia="仿宋_GB2312" w:cs="Times New Roman"/>
          <w:b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各级市场监督管理局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应当将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生产、经营监督管理纳入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监管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目标责任考核范围，明确监管任务和责任。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default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kern w:val="2"/>
          <w:sz w:val="32"/>
          <w:szCs w:val="32"/>
          <w:lang w:val="en-US" w:eastAsia="zh-CN"/>
        </w:rPr>
        <w:t xml:space="preserve">第八条  </w:t>
      </w:r>
      <w:r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/>
        </w:rPr>
        <w:t>各级市场监督管理部门日常监督检查应于年初制定“双随机”检查计划，并按照计划严格组织实施。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省市场监督管理局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有下列情形之一的特殊食品生产</w:t>
      </w:r>
      <w:r>
        <w:rPr>
          <w:rFonts w:hint="eastAsia" w:ascii="仿宋_GB2312" w:hAnsi="仿宋" w:eastAsia="仿宋_GB2312"/>
          <w:sz w:val="32"/>
          <w:szCs w:val="32"/>
        </w:rPr>
        <w:t>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" w:eastAsia="仿宋_GB2312"/>
          <w:sz w:val="32"/>
          <w:szCs w:val="32"/>
        </w:rPr>
        <w:t>跟踪检查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新获得保健食品生产许可的；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（二）新取得保健食品备案凭证且已增加至生产许可证明细的；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（三）在体系检查中发现违法违规问题的。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跟踪检查应在生产状态下进行动态现场检查。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各设区市、韩城市、西咸新区、杨凌示范区、神木市、府谷县市场监督管理</w:t>
      </w:r>
      <w:r>
        <w:rPr>
          <w:rFonts w:hint="eastAsia" w:ascii="仿宋_GB2312" w:hAnsi="仿宋" w:eastAsia="仿宋_GB2312"/>
          <w:sz w:val="32"/>
          <w:szCs w:val="32"/>
        </w:rPr>
        <w:t>局对辖区内重点监管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sz w:val="32"/>
          <w:szCs w:val="32"/>
        </w:rPr>
        <w:t>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跟踪检查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下列企业为重点监管企业：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上一年度</w:t>
      </w:r>
      <w:r>
        <w:rPr>
          <w:rFonts w:hint="eastAsia" w:ascii="仿宋_GB2312" w:hAnsi="仿宋" w:eastAsia="仿宋_GB2312"/>
          <w:sz w:val="32"/>
          <w:szCs w:val="32"/>
        </w:rPr>
        <w:t>监督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抽检</w:t>
      </w:r>
      <w:r>
        <w:rPr>
          <w:rFonts w:hint="eastAsia" w:ascii="仿宋_GB2312" w:hAnsi="仿宋" w:eastAsia="仿宋_GB2312"/>
          <w:sz w:val="32"/>
          <w:szCs w:val="32"/>
        </w:rPr>
        <w:t xml:space="preserve">发现不合格产品的企业； 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停产六个月以上恢复生产的；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有举报或涉嫌违法生产经营的企业；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上一年度风险等级评定为C级的；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存在其它可能影响产品质量安全行为的企业。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有下列情形之一的特殊食品生产</w:t>
      </w:r>
      <w:r>
        <w:rPr>
          <w:rFonts w:hint="eastAsia" w:ascii="仿宋_GB2312" w:hAnsi="仿宋" w:eastAsia="仿宋_GB2312"/>
          <w:sz w:val="32"/>
          <w:szCs w:val="32"/>
        </w:rPr>
        <w:t>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开展飞行</w:t>
      </w:r>
      <w:r>
        <w:rPr>
          <w:rFonts w:hint="eastAsia" w:ascii="仿宋_GB2312" w:hAnsi="仿宋" w:eastAsia="仿宋_GB2312"/>
          <w:sz w:val="32"/>
          <w:szCs w:val="32"/>
        </w:rPr>
        <w:t>检查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（一）本年度监督抽检发现生产不合格产品的；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（二）广告监测发现虚假宣传的；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半年内产品就同一质量问题被消费者投诉三次以上的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（四）被举报有违法违规生产经营行为的。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jc w:val="center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</w:p>
    <w:p>
      <w:pPr>
        <w:pStyle w:val="9"/>
        <w:widowControl w:val="0"/>
        <w:spacing w:before="0" w:beforeLines="0" w:beforeAutospacing="0" w:after="0" w:afterLines="0" w:afterAutospacing="0" w:line="560" w:lineRule="exact"/>
        <w:jc w:val="center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第三章  检查要求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kern w:val="2"/>
          <w:sz w:val="32"/>
          <w:szCs w:val="32"/>
        </w:rPr>
        <w:t>第</w:t>
      </w:r>
      <w:r>
        <w:rPr>
          <w:rFonts w:hint="eastAsia" w:ascii="仿宋_GB2312" w:hAnsi="仿宋" w:eastAsia="仿宋_GB2312" w:cs="Times New Roman"/>
          <w:b/>
          <w:kern w:val="2"/>
          <w:sz w:val="32"/>
          <w:szCs w:val="32"/>
          <w:lang w:val="en-US" w:eastAsia="zh-CN"/>
        </w:rPr>
        <w:t>十二</w:t>
      </w:r>
      <w:r>
        <w:rPr>
          <w:rFonts w:hint="eastAsia" w:ascii="仿宋_GB2312" w:hAnsi="仿宋" w:eastAsia="仿宋_GB2312" w:cs="Times New Roman"/>
          <w:b/>
          <w:kern w:val="2"/>
          <w:sz w:val="32"/>
          <w:szCs w:val="32"/>
        </w:rPr>
        <w:t>条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 xml:space="preserve">  各级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市场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监督管理部门实施监督检查，应指派两名以上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行政执法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人员。现场检查时，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执法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人员应向被检查单位出示执法证件。检查后出具监督检查意见书。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十三</w:t>
      </w:r>
      <w:r>
        <w:rPr>
          <w:rFonts w:hint="eastAsia" w:ascii="仿宋_GB2312" w:hAnsi="仿宋" w:eastAsia="仿宋_GB2312"/>
          <w:b/>
          <w:sz w:val="32"/>
          <w:szCs w:val="32"/>
        </w:rPr>
        <w:t>条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监督检查中，</w:t>
      </w:r>
      <w:r>
        <w:rPr>
          <w:rFonts w:hint="eastAsia" w:ascii="仿宋_GB2312" w:hAnsi="仿宋" w:eastAsia="仿宋_GB2312"/>
          <w:sz w:val="32"/>
          <w:szCs w:val="32"/>
        </w:rPr>
        <w:t>对保健食品生产企业按照《保健食品生产企业日常监督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hAnsi="仿宋" w:eastAsia="仿宋_GB2312"/>
          <w:sz w:val="32"/>
          <w:szCs w:val="32"/>
        </w:rPr>
        <w:t>检查要点》进行检查。重点检查以下内容：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（一）生产者资质。检查企业生产许可证有效性、厂房设施设备变动情况、保健食品批准证书有效性；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（二）进货查验制度执行情况。检查原辅料及包材的供应商档案建立情况、索证索票记录、查验记录、出入库记录、存放状况、货位卡记录；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（三）人员。检查人员变动、培训、健康检查情况；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（四）生产过程控制。检查工艺规程、批生产记录、清场记录、水处理和空气净化系统维护记录等；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（五）标签说明书。检查标签、说明书与注册或备案的内容一致性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（六）品质管理。检查品质管理组织机构运行、质量管理人员变动、仪器设备校验、检验记录、留样监测等；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（七）生产质量管理体系建立和运行情况。检查生产质量管理体系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运行、执行情况和管理体系受控状态</w:t>
      </w:r>
      <w:r>
        <w:rPr>
          <w:rFonts w:hint="eastAsia" w:ascii="仿宋_GB2312" w:hAnsi="仿宋" w:eastAsia="仿宋_GB2312"/>
          <w:sz w:val="32"/>
          <w:szCs w:val="32"/>
        </w:rPr>
        <w:t>自检报告情况。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b/>
          <w:sz w:val="32"/>
          <w:szCs w:val="32"/>
        </w:rPr>
        <w:t>条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监督检查中，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婴幼儿配方乳粉</w:t>
      </w:r>
      <w:r>
        <w:rPr>
          <w:rFonts w:hint="eastAsia" w:ascii="仿宋_GB2312" w:hAnsi="仿宋" w:eastAsia="仿宋_GB2312"/>
          <w:sz w:val="32"/>
          <w:szCs w:val="32"/>
        </w:rPr>
        <w:t>生产企业按照《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婴幼儿配方乳粉生产许可审查细则（2013版）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的技术标准</w:t>
      </w:r>
      <w:r>
        <w:rPr>
          <w:rFonts w:hint="eastAsia" w:ascii="仿宋_GB2312" w:hAnsi="仿宋" w:eastAsia="仿宋_GB2312"/>
          <w:sz w:val="32"/>
          <w:szCs w:val="32"/>
        </w:rPr>
        <w:t>进行检查，重点检查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" w:eastAsia="仿宋_GB2312"/>
          <w:sz w:val="32"/>
          <w:szCs w:val="32"/>
        </w:rPr>
        <w:t>内容：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厂房布局</w:t>
      </w:r>
      <w:r>
        <w:rPr>
          <w:rFonts w:hint="eastAsia" w:ascii="仿宋_GB2312" w:hAnsi="仿宋" w:eastAsia="仿宋_GB2312"/>
          <w:sz w:val="32"/>
          <w:szCs w:val="32"/>
        </w:rPr>
        <w:t>。检查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企业厂区环境、厂房和车间布局、作业区划分、准清洁作业区和清洁作业区管理等情况；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（二）设施。检查供水设施、排水设施、清洁消毒设施、个人卫生设施、废弃物存放设施、通风照明设施、仓储设施等；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设备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检查生产设备、监控设备、设备的保养和维修</w:t>
      </w:r>
      <w:r>
        <w:rPr>
          <w:rFonts w:hint="eastAsia" w:ascii="仿宋_GB2312" w:hAnsi="仿宋" w:eastAsia="仿宋_GB2312"/>
          <w:sz w:val="32"/>
          <w:szCs w:val="32"/>
        </w:rPr>
        <w:t>等；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（四）生产过程控制。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检查微生物污染控制、污染物控制、生产工艺控制、配料投料、包装、清场、产品信息和标签等；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卫生管理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检查卫生管理制度、</w:t>
      </w:r>
      <w:r>
        <w:rPr>
          <w:rFonts w:hint="eastAsia" w:ascii="仿宋_GB2312" w:hAnsi="仿宋" w:eastAsia="仿宋_GB2312"/>
          <w:sz w:val="32"/>
          <w:szCs w:val="32"/>
        </w:rPr>
        <w:t>厂房及设施卫生管理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清洁和消毒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人员健康与卫生要求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虫害控制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有毒有害物管理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六）检验。检查检验设备设施、检验管理、检验记录、产品留样等。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监督检查中，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特殊医学用途特殊食品</w:t>
      </w:r>
      <w:r>
        <w:rPr>
          <w:rFonts w:hint="eastAsia" w:ascii="仿宋_GB2312" w:hAnsi="仿宋" w:eastAsia="仿宋_GB2312"/>
          <w:sz w:val="32"/>
          <w:szCs w:val="32"/>
        </w:rPr>
        <w:t>生产企业按照《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特殊医学用途配方食品生产许可审查细则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的技术标准</w:t>
      </w:r>
      <w:r>
        <w:rPr>
          <w:rFonts w:hint="eastAsia" w:ascii="仿宋_GB2312" w:hAnsi="仿宋" w:eastAsia="仿宋_GB2312"/>
          <w:sz w:val="32"/>
          <w:szCs w:val="32"/>
        </w:rPr>
        <w:t>进行检查，重点检查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" w:eastAsia="仿宋_GB2312"/>
          <w:sz w:val="32"/>
          <w:szCs w:val="32"/>
        </w:rPr>
        <w:t>内容：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厂房布局</w:t>
      </w:r>
      <w:r>
        <w:rPr>
          <w:rFonts w:hint="eastAsia" w:ascii="仿宋_GB2312" w:hAnsi="仿宋" w:eastAsia="仿宋_GB2312"/>
          <w:sz w:val="32"/>
          <w:szCs w:val="32"/>
        </w:rPr>
        <w:t>。检查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企业厂区环境、厂房和车间布局、作业区划分、准清洁作业区和清洁作业区管理等情况；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设施设备。检查净化设施、供水设施、消毒设施、废弃物存放设施、个人卫生设施、照明、通风设施、生产设备、检验设备的监测、运行、维护、保养等情况；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（三）工艺流程。检查设备布局和工艺流程是否与批准注册的产品配方、生产工艺等技术要求保持一致；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（四）人员管理。检查人员从业资质、健康管理和培训情况；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五）管理制度。检查进货查验制度，原辅料验收、储存、使用管理制度，生产关键环节控制制度，清场制度，消毒制度，设施设备管理制度，检验管理制度，召回制度，产品追溯制度，投诉管理制度等制定和执行情况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监督检查中，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特殊</w:t>
      </w:r>
      <w:r>
        <w:rPr>
          <w:rFonts w:hint="eastAsia" w:ascii="仿宋_GB2312" w:hAnsi="仿宋" w:eastAsia="仿宋_GB2312"/>
          <w:sz w:val="32"/>
          <w:szCs w:val="32"/>
        </w:rPr>
        <w:t>食品经营企业按照《食品销售日常监督检查要点表》进行检查。重点检查以下内容：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（一）食品质量管理制度落实情况；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（二）产品标签标识是否符合要求；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（三）供货商及产品资质是否合法；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（四）产品台账管理情况；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（五）从业人员体检情况；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（六）经营场所场地卫生及货物码放情况；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（七）库房卫生及存储环境情况；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（八）店内宣传情况。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对《食品销售日常监督检查要点表》中“特殊食品”部分应逐项检查。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sz w:val="32"/>
          <w:szCs w:val="32"/>
        </w:rPr>
        <w:t>监督检查应如实、全面记录现场检查实际情况，现场检查记录应包括被检查单位名称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检查时间和内容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被检查单位基本情况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检查中发现的问题和拟处理意见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检查员及被检查单位负责人签字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等，</w:t>
      </w:r>
      <w:r>
        <w:rPr>
          <w:rFonts w:hint="eastAsia" w:ascii="仿宋_GB2312" w:hAnsi="仿宋" w:eastAsia="仿宋_GB2312"/>
          <w:sz w:val="32"/>
          <w:szCs w:val="32"/>
        </w:rPr>
        <w:t>并将现场检查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仿宋" w:eastAsia="仿宋_GB2312"/>
          <w:sz w:val="32"/>
          <w:szCs w:val="32"/>
        </w:rPr>
        <w:t>录入陕西省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食品安全综合业务</w:t>
      </w:r>
      <w:r>
        <w:rPr>
          <w:rFonts w:hint="eastAsia" w:ascii="仿宋_GB2312" w:hAnsi="仿宋" w:eastAsia="仿宋_GB2312"/>
          <w:sz w:val="32"/>
          <w:szCs w:val="32"/>
        </w:rPr>
        <w:t>信息系统。</w:t>
      </w:r>
    </w:p>
    <w:p>
      <w:pPr>
        <w:spacing w:line="560" w:lineRule="exact"/>
        <w:ind w:firstLine="643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每年对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生产经营者的日常监督检查，原则上应当覆盖全部项目，对重点项目应当以现场检查方式为主，对一般项目可以采取书面检查的方式。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生产经营者应当按照监督检查人员要求，在现场检查、询问和抽样检验等文书上签字或者盖章。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被检查单位拒绝在监督检查结果记录表上签字或者盖章的，监督检查人员应当在监督检查结果记录表上注明原因，并可以邀请有关人员作为见证人签字、盖章，或者采取录音、录像等方式进行记录，作为监督执法的依据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>二十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市、县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级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市场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监督管理部门应当于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跟踪检查、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日常监督检查结束后2个工作日内，向社会公开日常监督检查时间、检查结果和检查人员姓名等信息，并在生产经营场所醒目位置张贴监督检查结果记录表。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特殊食品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生产经营者应当将张贴的监督检查结果记录表保持至下次监督检查。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二十一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sz w:val="32"/>
          <w:szCs w:val="32"/>
        </w:rPr>
        <w:t>各级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" w:eastAsia="仿宋_GB2312"/>
          <w:sz w:val="32"/>
          <w:szCs w:val="32"/>
        </w:rPr>
        <w:t>监督管理部门组织监督检查时，应将检查结果以书面形式告知被检查单位，需要整改的，应当提出整改内容及整改期限，并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落实整改情况</w:t>
      </w:r>
      <w:r>
        <w:rPr>
          <w:rFonts w:hint="eastAsia" w:ascii="仿宋_GB2312" w:hAnsi="仿宋" w:eastAsia="仿宋_GB2312"/>
          <w:sz w:val="32"/>
          <w:szCs w:val="32"/>
        </w:rPr>
        <w:t>；发现违法违规生产经营行为的，要依法严肃查处，重大案件要及时上报上级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市场监督管理</w:t>
      </w:r>
      <w:r>
        <w:rPr>
          <w:rFonts w:hint="eastAsia" w:ascii="仿宋_GB2312" w:hAnsi="仿宋" w:eastAsia="仿宋_GB2312"/>
          <w:sz w:val="32"/>
          <w:szCs w:val="32"/>
        </w:rPr>
        <w:t>部门。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二十二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sz w:val="32"/>
          <w:szCs w:val="32"/>
        </w:rPr>
        <w:t>各级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" w:eastAsia="仿宋_GB2312"/>
          <w:sz w:val="32"/>
          <w:szCs w:val="32"/>
        </w:rPr>
        <w:t>监督管理部门在检查中发现企业不再具备生产、经营条件的，应当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上报</w:t>
      </w:r>
      <w:r>
        <w:rPr>
          <w:rFonts w:hint="eastAsia" w:ascii="仿宋_GB2312" w:hAnsi="仿宋" w:eastAsia="仿宋_GB2312"/>
          <w:sz w:val="32"/>
          <w:szCs w:val="32"/>
        </w:rPr>
        <w:t>发证机关，由发证机关依法及时处理。</w:t>
      </w:r>
    </w:p>
    <w:p>
      <w:pPr>
        <w:pStyle w:val="9"/>
        <w:widowControl w:val="0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二十三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设区</w:t>
      </w:r>
      <w:r>
        <w:rPr>
          <w:rFonts w:hint="eastAsia" w:ascii="仿宋_GB2312" w:hAnsi="仿宋" w:eastAsia="仿宋_GB2312"/>
          <w:sz w:val="32"/>
          <w:szCs w:val="32"/>
        </w:rPr>
        <w:t>市、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韩城市、西咸新</w:t>
      </w:r>
      <w:r>
        <w:rPr>
          <w:rFonts w:hint="eastAsia" w:ascii="仿宋_GB2312" w:hAnsi="仿宋" w:eastAsia="仿宋_GB2312"/>
          <w:sz w:val="32"/>
          <w:szCs w:val="32"/>
        </w:rPr>
        <w:t>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杨凌示范区、神木市、府谷县市场</w:t>
      </w:r>
      <w:r>
        <w:rPr>
          <w:rFonts w:hint="eastAsia" w:ascii="仿宋_GB2312" w:hAnsi="仿宋" w:eastAsia="仿宋_GB2312"/>
          <w:sz w:val="32"/>
          <w:szCs w:val="32"/>
        </w:rPr>
        <w:t>监督管理部门每半年向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省市场</w:t>
      </w:r>
      <w:r>
        <w:rPr>
          <w:rFonts w:hint="eastAsia" w:ascii="仿宋_GB2312" w:hAnsi="仿宋" w:eastAsia="仿宋_GB2312"/>
          <w:sz w:val="32"/>
          <w:szCs w:val="32"/>
        </w:rPr>
        <w:t>监督管理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报送一次监管工作信息，重要信息即时报送。</w:t>
      </w:r>
    </w:p>
    <w:p>
      <w:pPr>
        <w:widowControl/>
        <w:spacing w:line="560" w:lineRule="exact"/>
        <w:jc w:val="center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第四章  附  则</w:t>
      </w:r>
    </w:p>
    <w:p>
      <w:pPr>
        <w:widowControl/>
        <w:spacing w:line="560" w:lineRule="exact"/>
        <w:ind w:left="19" w:leftChars="9" w:firstLine="450" w:firstLineChars="140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b/>
          <w:sz w:val="32"/>
          <w:szCs w:val="32"/>
        </w:rPr>
        <w:t>条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本办法自2019年12月29日起实施，有效期5年。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lI2s0gAA&#10;AAMBAAAPAAAAAAAAAAEAIAAAACIAAABkcnMvZG93bnJldi54bWxQSwECFAAUAAAACACHTuJApUml&#10;9OsBAACqAwAADgAAAAAAAAABACAAAAAh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/yR1fSAAAABgEAAA8AAAAAAAAAAQAgAAAAIgAAAGRycy9k&#10;b3ducmV2LnhtbFBLAQIUABQAAAAIAIdO4kBPRlvfzwEAAGADAAAOAAAAAAAAAAEAIAAAACEBAABk&#10;cnMvZTJvRG9jLnhtbFBLBQYAAAAABgAGAFkBAABi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市场监督管理局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9264;mso-width-relative:page;mso-height-relative:page;" filled="f" stroked="t" coordsize="21600,21600" o:gfxdata="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2hKwnSAAAACQEAAA8AAAAAAAAAAQAgAAAAIgAAAGRycy9k&#10;b3ducmV2LnhtbFBLAQIUABQAAAAIAIdO4kBdlDmJzwEAAF8DAAAOAAAAAAAAAAEAIAAAACEBAABk&#10;cnMvZTJvRG9jLnhtbFBLBQYAAAAABgAGAFkBAABi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1"/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市场监督管理局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45270"/>
    <w:rsid w:val="00046993"/>
    <w:rsid w:val="000674F0"/>
    <w:rsid w:val="00071571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D16E56"/>
    <w:rsid w:val="00D22822"/>
    <w:rsid w:val="00D232C0"/>
    <w:rsid w:val="00D34292"/>
    <w:rsid w:val="00D628F6"/>
    <w:rsid w:val="00D639B0"/>
    <w:rsid w:val="00D64696"/>
    <w:rsid w:val="00D76B4C"/>
    <w:rsid w:val="00D9223D"/>
    <w:rsid w:val="00D9684C"/>
    <w:rsid w:val="00DC0158"/>
    <w:rsid w:val="00DD0DA2"/>
    <w:rsid w:val="00DE2CB3"/>
    <w:rsid w:val="00E3043B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19E71BD"/>
    <w:rsid w:val="03425CBD"/>
    <w:rsid w:val="04B679C3"/>
    <w:rsid w:val="080F63D8"/>
    <w:rsid w:val="09341458"/>
    <w:rsid w:val="0B0912D7"/>
    <w:rsid w:val="106A1CD2"/>
    <w:rsid w:val="13A64F2F"/>
    <w:rsid w:val="152D2DCA"/>
    <w:rsid w:val="1AA119E3"/>
    <w:rsid w:val="1D203BA5"/>
    <w:rsid w:val="1DEC284C"/>
    <w:rsid w:val="1E6523AC"/>
    <w:rsid w:val="22440422"/>
    <w:rsid w:val="240B73A2"/>
    <w:rsid w:val="24480EFA"/>
    <w:rsid w:val="310A15C4"/>
    <w:rsid w:val="31A15F24"/>
    <w:rsid w:val="3904323E"/>
    <w:rsid w:val="395347B5"/>
    <w:rsid w:val="39A232A0"/>
    <w:rsid w:val="39E745AA"/>
    <w:rsid w:val="3B5A6BBB"/>
    <w:rsid w:val="3BE21BC6"/>
    <w:rsid w:val="3EDA13A6"/>
    <w:rsid w:val="42F058B7"/>
    <w:rsid w:val="436109F6"/>
    <w:rsid w:val="441A38D4"/>
    <w:rsid w:val="45743C4F"/>
    <w:rsid w:val="472072B5"/>
    <w:rsid w:val="4A215E3F"/>
    <w:rsid w:val="4BC77339"/>
    <w:rsid w:val="4C9236C5"/>
    <w:rsid w:val="505C172E"/>
    <w:rsid w:val="52F46F0B"/>
    <w:rsid w:val="53D8014D"/>
    <w:rsid w:val="55E064E0"/>
    <w:rsid w:val="572C6D10"/>
    <w:rsid w:val="5C364EC3"/>
    <w:rsid w:val="5DC34279"/>
    <w:rsid w:val="5F171795"/>
    <w:rsid w:val="608816D1"/>
    <w:rsid w:val="60EF4E7F"/>
    <w:rsid w:val="665233C1"/>
    <w:rsid w:val="6AD9688B"/>
    <w:rsid w:val="6B4416B4"/>
    <w:rsid w:val="6D0E3F22"/>
    <w:rsid w:val="6EEE7BA2"/>
    <w:rsid w:val="70341932"/>
    <w:rsid w:val="75812B1A"/>
    <w:rsid w:val="76B1268D"/>
    <w:rsid w:val="771445FA"/>
    <w:rsid w:val="793477B4"/>
    <w:rsid w:val="79EF75FD"/>
    <w:rsid w:val="7C9011D9"/>
    <w:rsid w:val="7DC651C5"/>
    <w:rsid w:val="7E680EEC"/>
    <w:rsid w:val="7FA03706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val="en-US" w:eastAsia="zh-CN" w:bidi="ar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Times New Roman" w:hAnsi="Times New Roman" w:eastAsia="宋体" w:cs="Times New Roman"/>
    </w:rPr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Char Char Char Char Char Char Char"/>
    <w:basedOn w:val="1"/>
    <w:link w:val="11"/>
    <w:qFormat/>
    <w:uiPriority w:val="0"/>
    <w:rPr>
      <w:rFonts w:ascii="Times New Roman" w:hAnsi="Times New Roman" w:eastAsia="宋体" w:cs="Times New Roman"/>
    </w:rPr>
  </w:style>
  <w:style w:type="character" w:styleId="13">
    <w:name w:val="Strong"/>
    <w:basedOn w:val="11"/>
    <w:qFormat/>
    <w:uiPriority w:val="22"/>
    <w:rPr>
      <w:b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11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日期 字符"/>
    <w:basedOn w:val="11"/>
    <w:link w:val="6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18">
    <w:name w:val="xdrichtextbox2"/>
    <w:basedOn w:val="11"/>
    <w:qFormat/>
    <w:uiPriority w:val="0"/>
  </w:style>
  <w:style w:type="character" w:customStyle="1" w:styleId="19">
    <w:name w:val="15"/>
    <w:basedOn w:val="11"/>
    <w:uiPriority w:val="0"/>
    <w:rPr>
      <w:rFonts w:hint="default" w:ascii="Calibri" w:hAnsi="Calibri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2973</Words>
  <Characters>2995</Characters>
  <Lines>46</Lines>
  <Paragraphs>13</Paragraphs>
  <TotalTime>1</TotalTime>
  <ScaleCrop>false</ScaleCrop>
  <LinksUpToDate>false</LinksUpToDate>
  <CharactersWithSpaces>3116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2022-08-09T03:19:00Z</dcterms:created>
  <dc:creator>t</dc:creator>
  <cp:lastModifiedBy>张志华</cp:lastModifiedBy>
  <cp:lastPrinted>2021-12-28T07:02:00Z</cp:lastPrinted>
  <dcterms:modified xsi:type="dcterms:W3CDTF">2022-09-08T03:25:35Z</dcterms:modified>
  <dc:title>陕西省人民政府办公厅关于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48C61CB29D3F4D9384F5922CF0F7FFB4</vt:lpwstr>
  </property>
</Properties>
</file>