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宋体" w:hAnsi="宋体" w:eastAsia="宋体" w:cs="宋体"/>
          <w:sz w:val="36"/>
          <w:szCs w:val="36"/>
          <w:shd w:val="clear" w:color="auto" w:fill="FFFFFF"/>
        </w:rPr>
      </w:pPr>
      <w:r>
        <w:rPr>
          <w:rFonts w:hint="eastAsia" w:ascii="宋体" w:hAnsi="宋体" w:eastAsia="宋体" w:cs="宋体"/>
          <w:sz w:val="36"/>
          <w:szCs w:val="36"/>
          <w:shd w:val="clear" w:color="auto" w:fill="FFFFFF"/>
        </w:rPr>
        <w:t>陕西省教育厅办公室</w:t>
      </w:r>
    </w:p>
    <w:p>
      <w:pPr>
        <w:jc w:val="center"/>
        <w:rPr>
          <w:rFonts w:ascii="宋体" w:hAnsi="宋体" w:eastAsia="宋体" w:cs="宋体"/>
          <w:sz w:val="36"/>
          <w:szCs w:val="36"/>
          <w:shd w:val="clear" w:color="auto" w:fill="FFFFFF"/>
        </w:rPr>
      </w:pPr>
      <w:r>
        <w:rPr>
          <w:rFonts w:hint="eastAsia" w:ascii="宋体" w:hAnsi="宋体" w:eastAsia="宋体" w:cs="宋体"/>
          <w:sz w:val="36"/>
          <w:szCs w:val="36"/>
          <w:shd w:val="clear" w:color="auto" w:fill="FFFFFF"/>
        </w:rPr>
        <w:t>关于修订《陕西省艺术教育示范中小学评估管理办法》和《陕西省艺术教育示范中小学评估标准》的通知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陕教体办〔2022〕2号</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各设区市教育局，杨凌示范区教育局，韩城市教育局，神木市、府谷县教育和体育局，厅属有关单位：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为认真贯彻落实陕西省委办公厅 陕西省政府办公厅《全面加强和改进新时代学校美育工作的若干措施》（陕办发〔2022〕1号）精神，全面推进我省中小学美育工作的开展，持续发挥省级艺术教育示范中小学（以下简称“艺术示范校”）的引领带动作用，进一步规范省级艺术示范校的申报、评估、认定及管理等工作，陕西省教育厅修订了《陕西省艺术教育示范中小学评估管理办法》和《陕西省艺术教育示范中小学评估标准》，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联系人：韩烨    夏胡阳子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电话：029—88668891</w:t>
      </w: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陕西省教育厅办公室</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2022年2月21日</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陕西省艺术教育示范中小学评估管理办法</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为全面推进中小学美育工作的开展，认真落实陕西省委办公厅 陕西省政府办公厅《全面加强和改进新时代学校美育工作的若干措施》（陕办发〔2022〕1号）中对学校美育工作的要求，根据《学校艺术教育工作规程》（2002年第13号教育部令），结合我省实际制定本办法。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本办法所称陕西省艺术教育示范中小学（以下简称“艺术示范校”），是指经省级教育行政部门评审认定并授牌的全日制中小学，认定后学校业务指导关系不变。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倡导各地积极、主动开展省级艺术示范校创建工作。艺术示范校的创建应与当地教育发展水平相适应，与学校整体的教育教学工作相适应。鼓励各市级教育行政部门创建市级艺术示范校。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艺术示范校应能够对当地中小学美育工作发展起到示范辐射作用，能够带动当地中小学美育工作的开展，促进广大师生提高文化艺术素养，服务当地群众的社会文化生活。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艺术示范校必须模范执行国家教育方针和有关法律法规。要遵照“向真、向善、向美、向上”的目标，坚持“硬件从实，软件从严”的原则，重视美育的管理与发展，推进美育基础设施建设，完善美育保障机制，促进中小学生德智体美劳的全面发展和学校综合办学水平的不断提升。</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创建艺术教育示范学校必须具备以下条件：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1．学校对美育的性质、地位和作用有正确的认识，有分管领导，有美育工作管理机构，职责明确，对美育工作的投入有保证。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2．全校师生对学校美育工作有较高的知晓度、认同度并积极参与美育活动。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3．建成艺术教育专用教室，专用教室的分类个数达到规定标准，艺术教育的设施、设备、器材均达到国家一级一类标准，并有健全的管理制度，专人负责，使用效果好。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4．学校要按照国家课程设置方案和课程标准，开齐开足上好美育课程，对于未按要求开齐开足美育课程的学校可一票否决。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5．打造“一校一品、一校多品”的特色课程开发，学校要加强美育与其他学科融合和实践活动相结合，重视和加强艺术经典教育，根据自身优势和特点，鼓励开发具有民族、地域特色的地方或校本美育课程。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美育专任教师能够满足学校教学需求，学历达标情况、中高级职称比例以及学科结构等达到所在地区较高水准，能够在五年一个周期内完成360学时的培训任务。美育教师“三级三类”骨干教师体系应占有一定比例（不低于县级30%、市级20%、省级10%，三者满足其一均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7．美育教师有省、市级艺术教育科研课题，并取得教科研成果进行推广。撰写美育论文获奖或发表。在各级各类赛教、艺术实践、专业技能比赛中获奖。有指导学生艺术社团的经验，并取得一定的成绩。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积极落实“双减”政策，把艺术社团活动与课后服务有效结合，为学生提供丰富多彩的艺术社团，实施艺术社团课程化管理，经常组织艺术实践活动。将艺术社团活动纳入教学计划，建立课外活动记录制度，艺术社团活动指导、排演等纳入教师工作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9．注重校园文化建设，每年定期举办校园文化艺术节，有高质量的艺术节目及艺术作品。学校应以班级为基础，开展合唱、校园集体舞等群体性活动，做到全员参与，效果良好。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10．实施“教会、勤练、常展”的美育教学模式，积极组织学生参加国家和省、市、县各级教育行政部门组织的艺术比赛、展演等活动，并取得优异成绩。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11．有组织、有计划的参与社区文化艺术生活，欣赏高雅文艺演出、参观美术展览，并将其作为艺术素质测评内容。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12．积极发挥示范辐射作用，积极与其他学校加强美育方面的交流与合作并建立帮扶机制，对当地中小学美育工作作出贡献。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13．定期总结、宣传美育特色课程实施情况与活动开展情况，大力表彰奖励在艺术领域取得显著成效的教师和学生。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14．实施学校美育工作自评制度，每学年要进行一次美育工作自评并形成报告，自评工作实行校长负责制。</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申报与评估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创建省级艺术教育示范中小学，须经申报、指导、检查、评审、认定等程序。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省内中小学校（含民办中小学）均可在各级教育行政主管部门的指导下逐级申报。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艺术示范校申报需提交申报请示、学校自查报告和主管教育部门审核意见等相关材料，由市级教育行政部门实地审核通过后报省级教育行政部门。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省级教育行政部门组织专家组，按照省级艺术教育示范中小学评估标准，对申报学校进行全面评估。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1．艺术示范校的评估主要采取听、看、查、访等方式进行，并充分听取学校教师、学生、家长和社会各有关方面对学校美育工作的反映。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2．专家组根据评估情况形成评估报告，报告应包括学校美育工作的基本情况、主要成绩和成功经验、存在的主要问题及专家组结论性的意见等内容。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省级教育行政部门根据专家组评估意见，对通过评估的申报学校以文件形式给予艺术示范校资格认定，并授予“陕西省艺术教育示范中小学”称号。</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管理与复评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为促进艺术示范校的规范管理和可持续发展，对艺术示范校实行动态管理。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教育行政部门按照“谁主管、谁负责”和“属地管理”原则，对艺术示范校加强业务指导检查。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业务指导检查工作重点应是指导学校全面贯彻党和国家的教育方针，规范办学行为，推进学校艺术教育制度化、规范化实施，不断提高艺术教育水平。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实行艺术示范校复查评估（以下简称“复评”）制度。对认定时间超过三年的艺术示范校，省级教育行政部门不定期组织专项复评。艺术示范校复评程序如下：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1．省级教育行政部门每年根据全省艺术示范校名单，结合实际情况，确定复评学校名单，并向有关市（区）印发艺术示范校复评通知。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2．省级教育行政部门组建专家组，对纳入复评名单的学校开展复评工作。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3．复评工作结束后，由省级教育行政部门向当地教育行政部门反馈复评意见，并向全省通报艺术示范校复评结果。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艺术示范校的复评工作依据有关政策法规开展。复评内容重点包括：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1．艺术示范校美育工作水平的保持与提升情况；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2．艺术示范校对周边学校的示范带动作用发挥情况；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3．艺术示范校在传承优秀文化、创建艺术特色、创新管理机制和参与社区文化活动等方面的工作情况；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4．艺术示范校在师资队伍、基础设施和校园文化方面的建设管理情况；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5．艺术示范校课程开设、学生艺术社团组织、专项活动开展情况和取得的艺术教育成效和成果情况。</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奖励与处罚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各级教育行政部门可在管理权限内，依据相关政策法规，参照省级艺术教育示范中小学评估标准，对所辖区域内的艺术示范校建立相应的奖惩机制，促进艺术示范校不断完善、发展和提高。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省级艺术教育示范中小学在办学过程中，行为规范、实绩突出、示范作用显著，取得下列实绩之一的，各级教育行政部门应给予表彰奖励。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1．主动传播美育先进理念，探索中小学美育的有效途径，美育科研水平较高、美育教师获得省级以上表彰奖励或指导学生获省级以上专业奖项；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2．积极承担美育改革和实验工作，形成比较成熟的实施方案，在推广实验成果过程中做出较大贡献；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3．在示范辐射作用发挥方面为当地中小学美育或社会文化生活作出贡献，取得突出成效；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4．与社区加强沟通与合作，成为促进社区精神文明和文化建设阵地；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5．在其它领域取得显著成效，有良好社会反响。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艺术示范校在省级教育行政部门组织的复评工作中不达标，或是在常规管理工作中发现学校有下列行为之一者，给予通报批评，限期整改。整改不到位的，依据实际，由省级教育行政部门暂停或取消其艺术示范校称号，停止享受相关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1．音乐、美术不按国家课程计划开课；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2．长期不开展艺术实践活动及音乐、美术教师的培训和教研交流活动；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3．没有面向全体学生开展艺术教育及活动；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4．在教育行政部门组织的比赛、检查、评估等重大活动中，学校存在舞弊或弄虚作假行为；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5．以开展艺术教育为名乱收费，造成恶劣影响；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 不按规定参加教育行政部门组织的与艺术教育有关的活动；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7．在组织艺术教育活动中发生重大安全责任事故，学校负有直接管理责任。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暂停和取消省级艺术示范校资格，须由省教育行政部门发文实施。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被取消省级艺术示范校资格的学校，两年后方可重新申报省级艺术示范校。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本《办法》自2022年2月21日起施行，陕西省教育厅2012年6月12日印发的《陕西省艺术教育示范中小学评估管理办法（试行）》和《陕西省艺术教育示范中小学评估标准》（陕教体〔2012〕22号）同时废止。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陕西省艺术教育示范中小学评估标准</w:t>
      </w:r>
    </w:p>
    <w:tbl>
      <w:tblPr>
        <w:tblStyle w:val="10"/>
        <w:tblpPr w:leftFromText="180" w:rightFromText="180" w:vertAnchor="text" w:horzAnchor="page" w:tblpXSpec="center" w:tblpY="612"/>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09"/>
        <w:gridCol w:w="5829"/>
        <w:gridCol w:w="53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51" w:type="pct"/>
            <w:noWrap w:val="0"/>
            <w:vAlign w:val="center"/>
          </w:tcPr>
          <w:p>
            <w:pPr>
              <w:widowControl/>
              <w:snapToGrid w:val="0"/>
              <w:jc w:val="center"/>
              <w:rPr>
                <w:szCs w:val="21"/>
              </w:rPr>
            </w:pPr>
            <w:r>
              <w:rPr>
                <w:kern w:val="0"/>
                <w:szCs w:val="21"/>
              </w:rPr>
              <w:t>项目</w:t>
            </w:r>
          </w:p>
        </w:tc>
        <w:tc>
          <w:tcPr>
            <w:tcW w:w="336" w:type="pct"/>
            <w:noWrap w:val="0"/>
            <w:vAlign w:val="center"/>
          </w:tcPr>
          <w:p>
            <w:pPr>
              <w:widowControl/>
              <w:snapToGrid w:val="0"/>
              <w:jc w:val="center"/>
              <w:rPr>
                <w:szCs w:val="21"/>
              </w:rPr>
            </w:pPr>
            <w:r>
              <w:rPr>
                <w:kern w:val="0"/>
                <w:szCs w:val="21"/>
              </w:rPr>
              <w:t>序号</w:t>
            </w:r>
          </w:p>
        </w:tc>
        <w:tc>
          <w:tcPr>
            <w:tcW w:w="3217" w:type="pct"/>
            <w:noWrap w:val="0"/>
            <w:vAlign w:val="center"/>
          </w:tcPr>
          <w:p>
            <w:pPr>
              <w:widowControl/>
              <w:snapToGrid w:val="0"/>
              <w:jc w:val="center"/>
              <w:rPr>
                <w:szCs w:val="21"/>
              </w:rPr>
            </w:pPr>
            <w:r>
              <w:rPr>
                <w:kern w:val="0"/>
                <w:szCs w:val="21"/>
              </w:rPr>
              <w:t>评估内容</w:t>
            </w:r>
          </w:p>
        </w:tc>
        <w:tc>
          <w:tcPr>
            <w:tcW w:w="293" w:type="pct"/>
            <w:noWrap w:val="0"/>
            <w:vAlign w:val="center"/>
          </w:tcPr>
          <w:p>
            <w:pPr>
              <w:widowControl/>
              <w:snapToGrid w:val="0"/>
              <w:ind w:left="-88" w:leftChars="-42" w:right="-92" w:rightChars="-44"/>
              <w:jc w:val="center"/>
              <w:rPr>
                <w:szCs w:val="21"/>
              </w:rPr>
            </w:pPr>
            <w:r>
              <w:rPr>
                <w:kern w:val="0"/>
                <w:szCs w:val="21"/>
              </w:rPr>
              <w:t>分值</w:t>
            </w:r>
          </w:p>
        </w:tc>
        <w:tc>
          <w:tcPr>
            <w:tcW w:w="801" w:type="pct"/>
            <w:noWrap w:val="0"/>
            <w:vAlign w:val="center"/>
          </w:tcPr>
          <w:p>
            <w:pPr>
              <w:widowControl/>
              <w:snapToGrid w:val="0"/>
              <w:jc w:val="center"/>
              <w:rPr>
                <w:szCs w:val="21"/>
              </w:rPr>
            </w:pPr>
            <w:r>
              <w:rPr>
                <w:kern w:val="0"/>
                <w:szCs w:val="21"/>
              </w:rPr>
              <w:t>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restart"/>
            <w:noWrap w:val="0"/>
            <w:vAlign w:val="center"/>
          </w:tcPr>
          <w:p>
            <w:pPr>
              <w:widowControl/>
              <w:snapToGrid w:val="0"/>
              <w:jc w:val="center"/>
              <w:rPr>
                <w:bCs/>
                <w:szCs w:val="21"/>
              </w:rPr>
            </w:pPr>
            <w:r>
              <w:rPr>
                <w:bCs/>
                <w:kern w:val="0"/>
                <w:szCs w:val="21"/>
              </w:rPr>
              <w:t>一、</w:t>
            </w:r>
          </w:p>
          <w:p>
            <w:pPr>
              <w:widowControl/>
              <w:snapToGrid w:val="0"/>
              <w:jc w:val="center"/>
              <w:rPr>
                <w:bCs/>
                <w:szCs w:val="21"/>
              </w:rPr>
            </w:pPr>
            <w:r>
              <w:rPr>
                <w:bCs/>
                <w:kern w:val="0"/>
                <w:szCs w:val="21"/>
              </w:rPr>
              <w:t>办</w:t>
            </w:r>
          </w:p>
          <w:p>
            <w:pPr>
              <w:widowControl/>
              <w:snapToGrid w:val="0"/>
              <w:jc w:val="center"/>
              <w:rPr>
                <w:bCs/>
                <w:szCs w:val="21"/>
              </w:rPr>
            </w:pPr>
            <w:r>
              <w:rPr>
                <w:bCs/>
                <w:kern w:val="0"/>
                <w:szCs w:val="21"/>
              </w:rPr>
              <w:t>学</w:t>
            </w:r>
          </w:p>
          <w:p>
            <w:pPr>
              <w:widowControl/>
              <w:snapToGrid w:val="0"/>
              <w:jc w:val="center"/>
              <w:rPr>
                <w:bCs/>
                <w:szCs w:val="21"/>
              </w:rPr>
            </w:pPr>
            <w:r>
              <w:rPr>
                <w:bCs/>
                <w:kern w:val="0"/>
                <w:szCs w:val="21"/>
              </w:rPr>
              <w:t>理</w:t>
            </w:r>
          </w:p>
          <w:p>
            <w:pPr>
              <w:snapToGrid w:val="0"/>
              <w:jc w:val="center"/>
              <w:rPr>
                <w:szCs w:val="21"/>
              </w:rPr>
            </w:pPr>
            <w:r>
              <w:rPr>
                <w:bCs/>
                <w:kern w:val="0"/>
                <w:szCs w:val="21"/>
              </w:rPr>
              <w:t>念</w:t>
            </w:r>
          </w:p>
        </w:tc>
        <w:tc>
          <w:tcPr>
            <w:tcW w:w="336" w:type="pct"/>
            <w:noWrap w:val="0"/>
            <w:vAlign w:val="center"/>
          </w:tcPr>
          <w:p>
            <w:pPr>
              <w:widowControl/>
              <w:snapToGrid w:val="0"/>
              <w:jc w:val="center"/>
              <w:rPr>
                <w:szCs w:val="21"/>
              </w:rPr>
            </w:pPr>
            <w:r>
              <w:rPr>
                <w:bCs/>
                <w:kern w:val="0"/>
                <w:szCs w:val="21"/>
              </w:rPr>
              <w:t>1-1</w:t>
            </w:r>
          </w:p>
        </w:tc>
        <w:tc>
          <w:tcPr>
            <w:tcW w:w="3217" w:type="pct"/>
            <w:noWrap w:val="0"/>
            <w:vAlign w:val="center"/>
          </w:tcPr>
          <w:p>
            <w:pPr>
              <w:widowControl/>
              <w:snapToGrid w:val="0"/>
              <w:ind w:firstLine="420" w:firstLineChars="200"/>
              <w:jc w:val="both"/>
              <w:rPr>
                <w:szCs w:val="21"/>
              </w:rPr>
            </w:pPr>
            <w:r>
              <w:rPr>
                <w:bCs/>
                <w:kern w:val="0"/>
                <w:szCs w:val="21"/>
              </w:rPr>
              <w:t>全面贯彻</w:t>
            </w:r>
            <w:r>
              <w:rPr>
                <w:rFonts w:hint="eastAsia"/>
                <w:bCs/>
                <w:kern w:val="0"/>
                <w:szCs w:val="21"/>
              </w:rPr>
              <w:t>陕西省委办公厅 陕西省政府办公厅《全面加强和改进新时代学校美育工作的若干措施》</w:t>
            </w:r>
            <w:r>
              <w:rPr>
                <w:bCs/>
                <w:kern w:val="0"/>
                <w:szCs w:val="21"/>
              </w:rPr>
              <w:t>，积极推进素质教育，坚持以人为本，促进全体学生德智体美劳全面发展。</w:t>
            </w:r>
          </w:p>
        </w:tc>
        <w:tc>
          <w:tcPr>
            <w:tcW w:w="293" w:type="pct"/>
            <w:noWrap w:val="0"/>
            <w:vAlign w:val="center"/>
          </w:tcPr>
          <w:p>
            <w:pPr>
              <w:widowControl/>
              <w:snapToGrid w:val="0"/>
              <w:jc w:val="center"/>
              <w:textAlignment w:val="center"/>
              <w:rPr>
                <w:szCs w:val="21"/>
              </w:rPr>
            </w:pPr>
            <w:r>
              <w:rPr>
                <w:kern w:val="0"/>
                <w:szCs w:val="21"/>
                <w:lang w:bidi="ar"/>
              </w:rPr>
              <w:t>5</w:t>
            </w:r>
          </w:p>
        </w:tc>
        <w:tc>
          <w:tcPr>
            <w:tcW w:w="801" w:type="pct"/>
            <w:vMerge w:val="restart"/>
            <w:noWrap w:val="0"/>
            <w:vAlign w:val="center"/>
          </w:tcPr>
          <w:p>
            <w:pPr>
              <w:widowControl/>
              <w:snapToGrid w:val="0"/>
              <w:jc w:val="center"/>
              <w:rPr>
                <w:bCs/>
                <w:szCs w:val="21"/>
              </w:rPr>
            </w:pPr>
            <w:r>
              <w:rPr>
                <w:bCs/>
                <w:kern w:val="0"/>
                <w:szCs w:val="21"/>
              </w:rPr>
              <w:t>教师座谈会</w:t>
            </w:r>
          </w:p>
          <w:p>
            <w:pPr>
              <w:widowControl/>
              <w:snapToGrid w:val="0"/>
              <w:jc w:val="center"/>
              <w:rPr>
                <w:bCs/>
                <w:szCs w:val="21"/>
              </w:rPr>
            </w:pPr>
            <w:r>
              <w:rPr>
                <w:bCs/>
                <w:kern w:val="0"/>
                <w:szCs w:val="21"/>
              </w:rPr>
              <w:t>学生座谈会</w:t>
            </w:r>
          </w:p>
          <w:p>
            <w:pPr>
              <w:widowControl/>
              <w:snapToGrid w:val="0"/>
              <w:jc w:val="center"/>
              <w:rPr>
                <w:bCs/>
                <w:szCs w:val="21"/>
              </w:rPr>
            </w:pPr>
            <w:r>
              <w:rPr>
                <w:bCs/>
                <w:kern w:val="0"/>
                <w:szCs w:val="21"/>
              </w:rPr>
              <w:t>查看资料</w:t>
            </w:r>
          </w:p>
          <w:p>
            <w:pPr>
              <w:widowControl/>
              <w:snapToGrid w:val="0"/>
              <w:jc w:val="center"/>
              <w:rPr>
                <w:bCs/>
                <w:szCs w:val="21"/>
              </w:rPr>
            </w:pPr>
            <w:r>
              <w:rPr>
                <w:bCs/>
                <w:kern w:val="0"/>
                <w:szCs w:val="21"/>
              </w:rPr>
              <w:t>个别访谈</w:t>
            </w:r>
          </w:p>
          <w:p>
            <w:pPr>
              <w:snapToGrid w:val="0"/>
              <w:jc w:val="center"/>
              <w:rPr>
                <w:szCs w:val="21"/>
              </w:rPr>
            </w:pPr>
            <w:r>
              <w:rPr>
                <w:bCs/>
                <w:kern w:val="0"/>
                <w:szCs w:val="21"/>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szCs w:val="21"/>
              </w:rPr>
            </w:pPr>
            <w:r>
              <w:rPr>
                <w:bCs/>
                <w:kern w:val="0"/>
                <w:szCs w:val="21"/>
              </w:rPr>
              <w:t>1-2</w:t>
            </w:r>
          </w:p>
        </w:tc>
        <w:tc>
          <w:tcPr>
            <w:tcW w:w="3217" w:type="pct"/>
            <w:noWrap w:val="0"/>
            <w:vAlign w:val="center"/>
          </w:tcPr>
          <w:p>
            <w:pPr>
              <w:widowControl/>
              <w:snapToGrid w:val="0"/>
              <w:ind w:firstLine="420" w:firstLineChars="200"/>
              <w:jc w:val="both"/>
              <w:rPr>
                <w:bCs/>
                <w:kern w:val="0"/>
                <w:szCs w:val="21"/>
              </w:rPr>
            </w:pPr>
            <w:r>
              <w:rPr>
                <w:bCs/>
                <w:kern w:val="0"/>
                <w:szCs w:val="21"/>
              </w:rPr>
              <w:t>校长具有良好的教育理念和清晰的办学思路，富有创新精神。重视艺术教育，打造“一校一品、一校多品”艺术特色校园文化。将美育贯穿在学校教育的全过程、各方面。</w:t>
            </w:r>
          </w:p>
        </w:tc>
        <w:tc>
          <w:tcPr>
            <w:tcW w:w="293" w:type="pct"/>
            <w:noWrap w:val="0"/>
            <w:vAlign w:val="center"/>
          </w:tcPr>
          <w:p>
            <w:pPr>
              <w:widowControl/>
              <w:snapToGrid w:val="0"/>
              <w:jc w:val="center"/>
              <w:textAlignment w:val="center"/>
              <w:rPr>
                <w:szCs w:val="21"/>
              </w:rPr>
            </w:pPr>
            <w:r>
              <w:rPr>
                <w:kern w:val="0"/>
                <w:szCs w:val="21"/>
                <w:lang w:bidi="ar"/>
              </w:rPr>
              <w:t>5</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szCs w:val="21"/>
              </w:rPr>
            </w:pPr>
            <w:r>
              <w:rPr>
                <w:bCs/>
                <w:kern w:val="0"/>
                <w:szCs w:val="21"/>
              </w:rPr>
              <w:t>1-3</w:t>
            </w:r>
          </w:p>
        </w:tc>
        <w:tc>
          <w:tcPr>
            <w:tcW w:w="3217" w:type="pct"/>
            <w:noWrap w:val="0"/>
            <w:vAlign w:val="center"/>
          </w:tcPr>
          <w:p>
            <w:pPr>
              <w:widowControl/>
              <w:snapToGrid w:val="0"/>
              <w:ind w:firstLine="420" w:firstLineChars="200"/>
              <w:jc w:val="both"/>
              <w:rPr>
                <w:bCs/>
                <w:kern w:val="0"/>
                <w:szCs w:val="21"/>
              </w:rPr>
            </w:pPr>
            <w:r>
              <w:rPr>
                <w:bCs/>
                <w:kern w:val="0"/>
                <w:szCs w:val="21"/>
              </w:rPr>
              <w:t>学校领导班子对</w:t>
            </w:r>
            <w:r>
              <w:rPr>
                <w:rFonts w:hint="eastAsia"/>
                <w:bCs/>
                <w:kern w:val="0"/>
                <w:szCs w:val="21"/>
              </w:rPr>
              <w:t>美育</w:t>
            </w:r>
            <w:r>
              <w:rPr>
                <w:bCs/>
                <w:kern w:val="0"/>
                <w:szCs w:val="21"/>
              </w:rPr>
              <w:t>的性质、地位和作用有正确的认识，有分管领导，有专人负责艺术教育。</w:t>
            </w:r>
          </w:p>
        </w:tc>
        <w:tc>
          <w:tcPr>
            <w:tcW w:w="293" w:type="pct"/>
            <w:noWrap w:val="0"/>
            <w:vAlign w:val="center"/>
          </w:tcPr>
          <w:p>
            <w:pPr>
              <w:widowControl/>
              <w:snapToGrid w:val="0"/>
              <w:jc w:val="center"/>
              <w:textAlignment w:val="center"/>
              <w:rPr>
                <w:szCs w:val="21"/>
              </w:rPr>
            </w:pPr>
            <w:r>
              <w:rPr>
                <w:kern w:val="0"/>
                <w:szCs w:val="21"/>
                <w:lang w:bidi="ar"/>
              </w:rPr>
              <w:t>5</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szCs w:val="21"/>
              </w:rPr>
            </w:pPr>
            <w:r>
              <w:rPr>
                <w:bCs/>
                <w:kern w:val="0"/>
                <w:szCs w:val="21"/>
              </w:rPr>
              <w:t>1-4</w:t>
            </w:r>
          </w:p>
        </w:tc>
        <w:tc>
          <w:tcPr>
            <w:tcW w:w="3217" w:type="pct"/>
            <w:noWrap w:val="0"/>
            <w:vAlign w:val="center"/>
          </w:tcPr>
          <w:p>
            <w:pPr>
              <w:widowControl/>
              <w:snapToGrid w:val="0"/>
              <w:ind w:firstLine="420" w:firstLineChars="200"/>
              <w:jc w:val="both"/>
              <w:rPr>
                <w:bCs/>
                <w:kern w:val="0"/>
                <w:szCs w:val="21"/>
              </w:rPr>
            </w:pPr>
            <w:r>
              <w:rPr>
                <w:bCs/>
                <w:kern w:val="0"/>
                <w:szCs w:val="21"/>
              </w:rPr>
              <w:t>学校有</w:t>
            </w:r>
            <w:r>
              <w:rPr>
                <w:rFonts w:hint="eastAsia"/>
                <w:bCs/>
                <w:kern w:val="0"/>
                <w:szCs w:val="21"/>
              </w:rPr>
              <w:t>美育</w:t>
            </w:r>
            <w:r>
              <w:rPr>
                <w:bCs/>
                <w:kern w:val="0"/>
                <w:szCs w:val="21"/>
              </w:rPr>
              <w:t>的中长期发展规划，有创建艺术教育示范学校的实施方案。</w:t>
            </w:r>
          </w:p>
        </w:tc>
        <w:tc>
          <w:tcPr>
            <w:tcW w:w="293" w:type="pct"/>
            <w:noWrap w:val="0"/>
            <w:vAlign w:val="center"/>
          </w:tcPr>
          <w:p>
            <w:pPr>
              <w:widowControl/>
              <w:snapToGrid w:val="0"/>
              <w:jc w:val="center"/>
              <w:textAlignment w:val="center"/>
              <w:rPr>
                <w:szCs w:val="21"/>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szCs w:val="21"/>
              </w:rPr>
            </w:pPr>
            <w:r>
              <w:rPr>
                <w:bCs/>
                <w:kern w:val="0"/>
                <w:szCs w:val="21"/>
              </w:rPr>
              <w:t>1-5</w:t>
            </w:r>
          </w:p>
        </w:tc>
        <w:tc>
          <w:tcPr>
            <w:tcW w:w="3217" w:type="pct"/>
            <w:noWrap w:val="0"/>
            <w:vAlign w:val="center"/>
          </w:tcPr>
          <w:p>
            <w:pPr>
              <w:widowControl/>
              <w:snapToGrid w:val="0"/>
              <w:ind w:firstLine="420" w:firstLineChars="200"/>
              <w:jc w:val="both"/>
              <w:rPr>
                <w:bCs/>
                <w:kern w:val="0"/>
                <w:szCs w:val="21"/>
              </w:rPr>
            </w:pPr>
            <w:r>
              <w:rPr>
                <w:bCs/>
                <w:kern w:val="0"/>
                <w:szCs w:val="21"/>
              </w:rPr>
              <w:t>全校师生对学校</w:t>
            </w:r>
            <w:r>
              <w:rPr>
                <w:rFonts w:hint="eastAsia"/>
                <w:bCs/>
                <w:kern w:val="0"/>
                <w:szCs w:val="21"/>
              </w:rPr>
              <w:t>美育工作</w:t>
            </w:r>
            <w:r>
              <w:rPr>
                <w:bCs/>
                <w:kern w:val="0"/>
                <w:szCs w:val="21"/>
              </w:rPr>
              <w:t>有较高的知晓度和认同度。</w:t>
            </w:r>
          </w:p>
        </w:tc>
        <w:tc>
          <w:tcPr>
            <w:tcW w:w="293" w:type="pct"/>
            <w:noWrap w:val="0"/>
            <w:vAlign w:val="center"/>
          </w:tcPr>
          <w:p>
            <w:pPr>
              <w:widowControl/>
              <w:snapToGrid w:val="0"/>
              <w:jc w:val="center"/>
              <w:textAlignment w:val="center"/>
              <w:rPr>
                <w:szCs w:val="21"/>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restart"/>
            <w:noWrap w:val="0"/>
            <w:vAlign w:val="center"/>
          </w:tcPr>
          <w:p>
            <w:pPr>
              <w:widowControl/>
              <w:snapToGrid w:val="0"/>
              <w:jc w:val="center"/>
              <w:rPr>
                <w:rFonts w:hint="eastAsia" w:eastAsia="宋体"/>
                <w:bCs/>
                <w:kern w:val="0"/>
                <w:szCs w:val="21"/>
                <w:lang w:eastAsia="zh-CN"/>
              </w:rPr>
            </w:pPr>
            <w:r>
              <w:rPr>
                <w:bCs/>
                <w:kern w:val="0"/>
                <w:szCs w:val="21"/>
              </w:rPr>
              <w:t>二、</w:t>
            </w:r>
          </w:p>
          <w:p>
            <w:pPr>
              <w:widowControl/>
              <w:snapToGrid w:val="0"/>
              <w:jc w:val="center"/>
              <w:rPr>
                <w:bCs/>
                <w:szCs w:val="21"/>
              </w:rPr>
            </w:pPr>
            <w:r>
              <w:rPr>
                <w:bCs/>
                <w:kern w:val="0"/>
                <w:szCs w:val="21"/>
              </w:rPr>
              <w:t>办</w:t>
            </w:r>
          </w:p>
          <w:p>
            <w:pPr>
              <w:widowControl/>
              <w:snapToGrid w:val="0"/>
              <w:jc w:val="center"/>
              <w:rPr>
                <w:bCs/>
                <w:szCs w:val="21"/>
              </w:rPr>
            </w:pPr>
            <w:r>
              <w:rPr>
                <w:bCs/>
                <w:kern w:val="0"/>
                <w:szCs w:val="21"/>
              </w:rPr>
              <w:t>学</w:t>
            </w:r>
          </w:p>
          <w:p>
            <w:pPr>
              <w:widowControl/>
              <w:snapToGrid w:val="0"/>
              <w:jc w:val="center"/>
              <w:rPr>
                <w:bCs/>
                <w:szCs w:val="21"/>
              </w:rPr>
            </w:pPr>
            <w:r>
              <w:rPr>
                <w:bCs/>
                <w:kern w:val="0"/>
                <w:szCs w:val="21"/>
              </w:rPr>
              <w:t>条</w:t>
            </w:r>
          </w:p>
          <w:p>
            <w:pPr>
              <w:snapToGrid w:val="0"/>
              <w:jc w:val="center"/>
              <w:rPr>
                <w:szCs w:val="21"/>
              </w:rPr>
            </w:pPr>
            <w:r>
              <w:rPr>
                <w:bCs/>
                <w:kern w:val="0"/>
                <w:szCs w:val="21"/>
              </w:rPr>
              <w:t>件</w:t>
            </w:r>
          </w:p>
        </w:tc>
        <w:tc>
          <w:tcPr>
            <w:tcW w:w="336" w:type="pct"/>
            <w:noWrap w:val="0"/>
            <w:vAlign w:val="center"/>
          </w:tcPr>
          <w:p>
            <w:pPr>
              <w:widowControl/>
              <w:snapToGrid w:val="0"/>
              <w:jc w:val="center"/>
              <w:rPr>
                <w:szCs w:val="21"/>
              </w:rPr>
            </w:pPr>
            <w:r>
              <w:rPr>
                <w:bCs/>
                <w:kern w:val="0"/>
                <w:szCs w:val="21"/>
              </w:rPr>
              <w:t>2-1</w:t>
            </w:r>
          </w:p>
        </w:tc>
        <w:tc>
          <w:tcPr>
            <w:tcW w:w="3217" w:type="pct"/>
            <w:noWrap w:val="0"/>
            <w:vAlign w:val="center"/>
          </w:tcPr>
          <w:p>
            <w:pPr>
              <w:widowControl/>
              <w:snapToGrid w:val="0"/>
              <w:ind w:firstLine="420" w:firstLineChars="200"/>
              <w:jc w:val="both"/>
              <w:rPr>
                <w:bCs/>
                <w:kern w:val="0"/>
                <w:szCs w:val="21"/>
              </w:rPr>
            </w:pPr>
            <w:r>
              <w:rPr>
                <w:bCs/>
                <w:kern w:val="0"/>
                <w:szCs w:val="21"/>
              </w:rPr>
              <w:t>在所在地区，总体办学水平较高，美育工作扎实有效。</w:t>
            </w:r>
          </w:p>
        </w:tc>
        <w:tc>
          <w:tcPr>
            <w:tcW w:w="293" w:type="pct"/>
            <w:noWrap w:val="0"/>
            <w:vAlign w:val="center"/>
          </w:tcPr>
          <w:p>
            <w:pPr>
              <w:widowControl/>
              <w:snapToGrid w:val="0"/>
              <w:jc w:val="center"/>
              <w:textAlignment w:val="center"/>
              <w:rPr>
                <w:szCs w:val="21"/>
              </w:rPr>
            </w:pPr>
            <w:r>
              <w:rPr>
                <w:kern w:val="0"/>
                <w:szCs w:val="21"/>
                <w:lang w:bidi="ar"/>
              </w:rPr>
              <w:t>2</w:t>
            </w:r>
          </w:p>
        </w:tc>
        <w:tc>
          <w:tcPr>
            <w:tcW w:w="801" w:type="pct"/>
            <w:vMerge w:val="restart"/>
            <w:noWrap w:val="0"/>
            <w:vAlign w:val="center"/>
          </w:tcPr>
          <w:p>
            <w:pPr>
              <w:widowControl/>
              <w:snapToGrid w:val="0"/>
              <w:jc w:val="center"/>
              <w:rPr>
                <w:bCs/>
                <w:szCs w:val="21"/>
              </w:rPr>
            </w:pPr>
            <w:r>
              <w:rPr>
                <w:bCs/>
                <w:kern w:val="0"/>
                <w:szCs w:val="21"/>
              </w:rPr>
              <w:t>实地观察</w:t>
            </w:r>
          </w:p>
          <w:p>
            <w:pPr>
              <w:snapToGrid w:val="0"/>
              <w:jc w:val="center"/>
              <w:rPr>
                <w:szCs w:val="21"/>
              </w:rPr>
            </w:pPr>
            <w:r>
              <w:rPr>
                <w:bCs/>
                <w:kern w:val="0"/>
                <w:szCs w:val="21"/>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szCs w:val="21"/>
              </w:rPr>
            </w:pPr>
            <w:r>
              <w:rPr>
                <w:bCs/>
                <w:kern w:val="0"/>
                <w:szCs w:val="21"/>
              </w:rPr>
              <w:t>2-2</w:t>
            </w:r>
          </w:p>
        </w:tc>
        <w:tc>
          <w:tcPr>
            <w:tcW w:w="3217" w:type="pct"/>
            <w:noWrap w:val="0"/>
            <w:vAlign w:val="center"/>
          </w:tcPr>
          <w:p>
            <w:pPr>
              <w:widowControl/>
              <w:snapToGrid w:val="0"/>
              <w:ind w:firstLine="420" w:firstLineChars="200"/>
              <w:jc w:val="both"/>
              <w:rPr>
                <w:bCs/>
                <w:kern w:val="0"/>
                <w:szCs w:val="21"/>
              </w:rPr>
            </w:pPr>
            <w:r>
              <w:rPr>
                <w:bCs/>
                <w:kern w:val="0"/>
                <w:szCs w:val="21"/>
              </w:rPr>
              <w:t>注重校园文化的育人作用，体现以人为本的理念，具有鲜明特色。要能够利用广播、电视、网络、教室、走廊、宣传栏等，营造格调高雅、富有美感、充满朝气的校园文化环境。</w:t>
            </w:r>
          </w:p>
        </w:tc>
        <w:tc>
          <w:tcPr>
            <w:tcW w:w="293" w:type="pct"/>
            <w:noWrap w:val="0"/>
            <w:vAlign w:val="center"/>
          </w:tcPr>
          <w:p>
            <w:pPr>
              <w:widowControl/>
              <w:snapToGrid w:val="0"/>
              <w:jc w:val="center"/>
              <w:textAlignment w:val="center"/>
              <w:rPr>
                <w:szCs w:val="21"/>
              </w:rPr>
            </w:pPr>
            <w:r>
              <w:rPr>
                <w:kern w:val="0"/>
                <w:szCs w:val="21"/>
                <w:lang w:bidi="ar"/>
              </w:rPr>
              <w:t>3</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szCs w:val="21"/>
              </w:rPr>
            </w:pPr>
            <w:r>
              <w:rPr>
                <w:bCs/>
                <w:kern w:val="0"/>
                <w:szCs w:val="21"/>
              </w:rPr>
              <w:t>2-3</w:t>
            </w:r>
          </w:p>
        </w:tc>
        <w:tc>
          <w:tcPr>
            <w:tcW w:w="3217" w:type="pct"/>
            <w:noWrap w:val="0"/>
            <w:vAlign w:val="center"/>
          </w:tcPr>
          <w:p>
            <w:pPr>
              <w:widowControl/>
              <w:snapToGrid w:val="0"/>
              <w:ind w:firstLine="420" w:firstLineChars="200"/>
              <w:jc w:val="both"/>
              <w:rPr>
                <w:bCs/>
                <w:kern w:val="0"/>
                <w:szCs w:val="21"/>
              </w:rPr>
            </w:pPr>
            <w:r>
              <w:rPr>
                <w:bCs/>
                <w:kern w:val="0"/>
                <w:szCs w:val="21"/>
              </w:rPr>
              <w:t>具有良好的办学条件，校园、校舍能满足师生学习、生活的需要。相关设施、设备能满足</w:t>
            </w:r>
            <w:r>
              <w:rPr>
                <w:rFonts w:hint="eastAsia"/>
                <w:bCs/>
                <w:kern w:val="0"/>
                <w:szCs w:val="21"/>
              </w:rPr>
              <w:t>美育</w:t>
            </w:r>
            <w:r>
              <w:rPr>
                <w:bCs/>
                <w:kern w:val="0"/>
                <w:szCs w:val="21"/>
              </w:rPr>
              <w:t>课程教学的需要和开展课外</w:t>
            </w:r>
            <w:r>
              <w:rPr>
                <w:rFonts w:hint="eastAsia"/>
                <w:bCs/>
                <w:kern w:val="0"/>
                <w:szCs w:val="21"/>
              </w:rPr>
              <w:t>美育</w:t>
            </w:r>
            <w:r>
              <w:rPr>
                <w:bCs/>
                <w:kern w:val="0"/>
                <w:szCs w:val="21"/>
              </w:rPr>
              <w:t>活动的需要。</w:t>
            </w:r>
          </w:p>
        </w:tc>
        <w:tc>
          <w:tcPr>
            <w:tcW w:w="293" w:type="pct"/>
            <w:noWrap w:val="0"/>
            <w:vAlign w:val="center"/>
          </w:tcPr>
          <w:p>
            <w:pPr>
              <w:widowControl/>
              <w:snapToGrid w:val="0"/>
              <w:jc w:val="center"/>
              <w:textAlignment w:val="center"/>
              <w:rPr>
                <w:szCs w:val="21"/>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szCs w:val="21"/>
              </w:rPr>
            </w:pPr>
            <w:r>
              <w:rPr>
                <w:bCs/>
                <w:kern w:val="0"/>
                <w:szCs w:val="21"/>
              </w:rPr>
              <w:t>2-4</w:t>
            </w:r>
          </w:p>
        </w:tc>
        <w:tc>
          <w:tcPr>
            <w:tcW w:w="3217" w:type="pct"/>
            <w:noWrap w:val="0"/>
            <w:vAlign w:val="center"/>
          </w:tcPr>
          <w:p>
            <w:pPr>
              <w:widowControl/>
              <w:snapToGrid w:val="0"/>
              <w:ind w:firstLine="420" w:firstLineChars="200"/>
              <w:jc w:val="both"/>
              <w:rPr>
                <w:bCs/>
                <w:kern w:val="0"/>
                <w:szCs w:val="21"/>
              </w:rPr>
            </w:pPr>
            <w:r>
              <w:rPr>
                <w:rFonts w:hint="eastAsia"/>
                <w:bCs/>
                <w:kern w:val="0"/>
                <w:szCs w:val="21"/>
              </w:rPr>
              <w:t>艺术教育</w:t>
            </w:r>
            <w:r>
              <w:rPr>
                <w:bCs/>
                <w:kern w:val="0"/>
                <w:szCs w:val="21"/>
              </w:rPr>
              <w:t>的设施、设备、器材均达到一级一类标准并有健全的管理制度，做到专人负责，使用效果好，。</w:t>
            </w:r>
          </w:p>
        </w:tc>
        <w:tc>
          <w:tcPr>
            <w:tcW w:w="293" w:type="pct"/>
            <w:noWrap w:val="0"/>
            <w:vAlign w:val="center"/>
          </w:tcPr>
          <w:p>
            <w:pPr>
              <w:widowControl/>
              <w:snapToGrid w:val="0"/>
              <w:jc w:val="center"/>
              <w:textAlignment w:val="center"/>
              <w:rPr>
                <w:szCs w:val="21"/>
              </w:rPr>
            </w:pPr>
            <w:r>
              <w:rPr>
                <w:kern w:val="0"/>
                <w:szCs w:val="21"/>
                <w:lang w:bidi="ar"/>
              </w:rPr>
              <w:t>5</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szCs w:val="21"/>
              </w:rPr>
            </w:pPr>
            <w:r>
              <w:rPr>
                <w:bCs/>
                <w:kern w:val="0"/>
                <w:szCs w:val="21"/>
              </w:rPr>
              <w:t>2-5</w:t>
            </w:r>
          </w:p>
        </w:tc>
        <w:tc>
          <w:tcPr>
            <w:tcW w:w="3217" w:type="pct"/>
            <w:noWrap w:val="0"/>
            <w:vAlign w:val="center"/>
          </w:tcPr>
          <w:p>
            <w:pPr>
              <w:widowControl/>
              <w:snapToGrid w:val="0"/>
              <w:ind w:firstLine="420" w:firstLineChars="200"/>
              <w:jc w:val="both"/>
              <w:rPr>
                <w:bCs/>
                <w:kern w:val="0"/>
                <w:szCs w:val="21"/>
              </w:rPr>
            </w:pPr>
            <w:r>
              <w:rPr>
                <w:rFonts w:hint="eastAsia"/>
                <w:bCs/>
                <w:kern w:val="0"/>
                <w:szCs w:val="21"/>
              </w:rPr>
              <w:t>美育工作</w:t>
            </w:r>
            <w:r>
              <w:rPr>
                <w:bCs/>
                <w:kern w:val="0"/>
                <w:szCs w:val="21"/>
              </w:rPr>
              <w:t>经费列入学校经费预算，保证艺术教育正常投入和开展。</w:t>
            </w:r>
          </w:p>
        </w:tc>
        <w:tc>
          <w:tcPr>
            <w:tcW w:w="293" w:type="pct"/>
            <w:noWrap w:val="0"/>
            <w:vAlign w:val="center"/>
          </w:tcPr>
          <w:p>
            <w:pPr>
              <w:widowControl/>
              <w:snapToGrid w:val="0"/>
              <w:jc w:val="center"/>
              <w:textAlignment w:val="center"/>
              <w:rPr>
                <w:szCs w:val="21"/>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restart"/>
            <w:noWrap w:val="0"/>
            <w:vAlign w:val="center"/>
          </w:tcPr>
          <w:p>
            <w:pPr>
              <w:widowControl/>
              <w:snapToGrid w:val="0"/>
              <w:jc w:val="center"/>
              <w:rPr>
                <w:bCs/>
                <w:szCs w:val="21"/>
              </w:rPr>
            </w:pPr>
            <w:r>
              <w:rPr>
                <w:bCs/>
                <w:kern w:val="0"/>
                <w:szCs w:val="21"/>
              </w:rPr>
              <w:t>三、</w:t>
            </w:r>
          </w:p>
          <w:p>
            <w:pPr>
              <w:widowControl/>
              <w:snapToGrid w:val="0"/>
              <w:jc w:val="center"/>
              <w:rPr>
                <w:bCs/>
                <w:szCs w:val="21"/>
              </w:rPr>
            </w:pPr>
            <w:r>
              <w:rPr>
                <w:bCs/>
                <w:kern w:val="0"/>
                <w:szCs w:val="21"/>
              </w:rPr>
              <w:t>组</w:t>
            </w:r>
          </w:p>
          <w:p>
            <w:pPr>
              <w:widowControl/>
              <w:snapToGrid w:val="0"/>
              <w:jc w:val="center"/>
              <w:rPr>
                <w:bCs/>
                <w:szCs w:val="21"/>
              </w:rPr>
            </w:pPr>
            <w:r>
              <w:rPr>
                <w:bCs/>
                <w:kern w:val="0"/>
                <w:szCs w:val="21"/>
              </w:rPr>
              <w:t>织</w:t>
            </w:r>
          </w:p>
          <w:p>
            <w:pPr>
              <w:widowControl/>
              <w:snapToGrid w:val="0"/>
              <w:jc w:val="center"/>
              <w:rPr>
                <w:bCs/>
                <w:szCs w:val="21"/>
              </w:rPr>
            </w:pPr>
            <w:r>
              <w:rPr>
                <w:bCs/>
                <w:kern w:val="0"/>
                <w:szCs w:val="21"/>
              </w:rPr>
              <w:t>管</w:t>
            </w:r>
          </w:p>
          <w:p>
            <w:pPr>
              <w:snapToGrid w:val="0"/>
              <w:jc w:val="center"/>
              <w:rPr>
                <w:szCs w:val="21"/>
              </w:rPr>
            </w:pPr>
            <w:r>
              <w:rPr>
                <w:bCs/>
                <w:kern w:val="0"/>
                <w:szCs w:val="21"/>
              </w:rPr>
              <w:t>理</w:t>
            </w:r>
          </w:p>
        </w:tc>
        <w:tc>
          <w:tcPr>
            <w:tcW w:w="336" w:type="pct"/>
            <w:noWrap w:val="0"/>
            <w:vAlign w:val="center"/>
          </w:tcPr>
          <w:p>
            <w:pPr>
              <w:widowControl/>
              <w:snapToGrid w:val="0"/>
              <w:jc w:val="center"/>
              <w:rPr>
                <w:bCs/>
                <w:kern w:val="0"/>
                <w:szCs w:val="21"/>
              </w:rPr>
            </w:pPr>
            <w:r>
              <w:rPr>
                <w:bCs/>
                <w:kern w:val="0"/>
                <w:szCs w:val="21"/>
              </w:rPr>
              <w:t>3-1</w:t>
            </w:r>
          </w:p>
        </w:tc>
        <w:tc>
          <w:tcPr>
            <w:tcW w:w="3217" w:type="pct"/>
            <w:noWrap w:val="0"/>
            <w:vAlign w:val="center"/>
          </w:tcPr>
          <w:p>
            <w:pPr>
              <w:widowControl/>
              <w:snapToGrid w:val="0"/>
              <w:ind w:firstLine="420" w:firstLineChars="200"/>
              <w:jc w:val="both"/>
              <w:rPr>
                <w:bCs/>
                <w:kern w:val="0"/>
                <w:szCs w:val="21"/>
              </w:rPr>
            </w:pPr>
            <w:r>
              <w:rPr>
                <w:bCs/>
                <w:kern w:val="0"/>
                <w:szCs w:val="21"/>
              </w:rPr>
              <w:t>学校有</w:t>
            </w:r>
            <w:r>
              <w:rPr>
                <w:rFonts w:hint="eastAsia"/>
                <w:bCs/>
                <w:kern w:val="0"/>
                <w:szCs w:val="21"/>
              </w:rPr>
              <w:t>美育工作管理</w:t>
            </w:r>
            <w:r>
              <w:rPr>
                <w:bCs/>
                <w:kern w:val="0"/>
                <w:szCs w:val="21"/>
              </w:rPr>
              <w:t>机构，有专人负责，工作职责明确。</w:t>
            </w:r>
            <w:r>
              <w:rPr>
                <w:rFonts w:hint="eastAsia"/>
                <w:bCs/>
                <w:kern w:val="0"/>
                <w:szCs w:val="21"/>
              </w:rPr>
              <w:t>美育</w:t>
            </w:r>
            <w:r>
              <w:rPr>
                <w:bCs/>
                <w:kern w:val="0"/>
                <w:szCs w:val="21"/>
              </w:rPr>
              <w:t>管理机制符合学校实际，运作有序，资料、档案齐备，具有较高的管理水平。</w:t>
            </w:r>
          </w:p>
        </w:tc>
        <w:tc>
          <w:tcPr>
            <w:tcW w:w="293" w:type="pct"/>
            <w:noWrap w:val="0"/>
            <w:vAlign w:val="center"/>
          </w:tcPr>
          <w:p>
            <w:pPr>
              <w:widowControl/>
              <w:snapToGrid w:val="0"/>
              <w:jc w:val="center"/>
              <w:textAlignment w:val="center"/>
              <w:rPr>
                <w:szCs w:val="21"/>
              </w:rPr>
            </w:pPr>
            <w:r>
              <w:rPr>
                <w:kern w:val="0"/>
                <w:szCs w:val="21"/>
                <w:lang w:bidi="ar"/>
              </w:rPr>
              <w:t>2</w:t>
            </w:r>
          </w:p>
        </w:tc>
        <w:tc>
          <w:tcPr>
            <w:tcW w:w="801" w:type="pct"/>
            <w:vMerge w:val="restart"/>
            <w:noWrap w:val="0"/>
            <w:vAlign w:val="center"/>
          </w:tcPr>
          <w:p>
            <w:pPr>
              <w:widowControl/>
              <w:snapToGrid w:val="0"/>
              <w:jc w:val="center"/>
              <w:rPr>
                <w:bCs/>
                <w:szCs w:val="21"/>
              </w:rPr>
            </w:pPr>
            <w:r>
              <w:rPr>
                <w:bCs/>
                <w:kern w:val="0"/>
                <w:szCs w:val="21"/>
              </w:rPr>
              <w:t>查看资料</w:t>
            </w:r>
          </w:p>
          <w:p>
            <w:pPr>
              <w:snapToGrid w:val="0"/>
              <w:jc w:val="center"/>
              <w:rPr>
                <w:szCs w:val="21"/>
              </w:rPr>
            </w:pPr>
            <w:r>
              <w:rPr>
                <w:bCs/>
                <w:kern w:val="0"/>
                <w:szCs w:val="21"/>
              </w:rPr>
              <w:t>个别访谈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3-2</w:t>
            </w:r>
          </w:p>
        </w:tc>
        <w:tc>
          <w:tcPr>
            <w:tcW w:w="3217" w:type="pct"/>
            <w:noWrap w:val="0"/>
            <w:vAlign w:val="center"/>
          </w:tcPr>
          <w:p>
            <w:pPr>
              <w:widowControl/>
              <w:snapToGrid w:val="0"/>
              <w:ind w:firstLine="420" w:firstLineChars="200"/>
              <w:jc w:val="both"/>
              <w:rPr>
                <w:bCs/>
                <w:kern w:val="0"/>
                <w:szCs w:val="21"/>
              </w:rPr>
            </w:pPr>
            <w:r>
              <w:rPr>
                <w:bCs/>
                <w:kern w:val="0"/>
                <w:szCs w:val="21"/>
              </w:rPr>
              <w:t>建立美育基础薄弱学校帮扶机制，建立校际教师共享和城乡学校“手拉手”帮扶机制。推动县域内省、市、区艺术示范校帮扶工作，至少帮扶区域内1-2所薄弱学校开展美育工作。</w:t>
            </w:r>
          </w:p>
        </w:tc>
        <w:tc>
          <w:tcPr>
            <w:tcW w:w="293" w:type="pct"/>
            <w:noWrap w:val="0"/>
            <w:vAlign w:val="center"/>
          </w:tcPr>
          <w:p>
            <w:pPr>
              <w:widowControl/>
              <w:snapToGrid w:val="0"/>
              <w:jc w:val="center"/>
              <w:textAlignment w:val="center"/>
              <w:rPr>
                <w:szCs w:val="21"/>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3-3</w:t>
            </w:r>
          </w:p>
        </w:tc>
        <w:tc>
          <w:tcPr>
            <w:tcW w:w="3217" w:type="pct"/>
            <w:noWrap w:val="0"/>
            <w:vAlign w:val="center"/>
          </w:tcPr>
          <w:p>
            <w:pPr>
              <w:widowControl/>
              <w:snapToGrid w:val="0"/>
              <w:ind w:firstLine="420" w:firstLineChars="200"/>
              <w:jc w:val="both"/>
              <w:rPr>
                <w:bCs/>
                <w:kern w:val="0"/>
                <w:szCs w:val="21"/>
              </w:rPr>
            </w:pPr>
            <w:r>
              <w:rPr>
                <w:bCs/>
                <w:kern w:val="0"/>
                <w:szCs w:val="21"/>
              </w:rPr>
              <w:t>对全校</w:t>
            </w:r>
            <w:r>
              <w:rPr>
                <w:rFonts w:hint="eastAsia"/>
                <w:bCs/>
                <w:kern w:val="0"/>
                <w:szCs w:val="21"/>
              </w:rPr>
              <w:t>美育</w:t>
            </w:r>
            <w:r>
              <w:rPr>
                <w:bCs/>
                <w:kern w:val="0"/>
                <w:szCs w:val="21"/>
              </w:rPr>
              <w:t>工作定期进行研究、检查，形成有质量的总结报告。校级领导定期参加艺术学科常规教科研、听评课活动、有听课记录、并提出改进建议。</w:t>
            </w:r>
          </w:p>
        </w:tc>
        <w:tc>
          <w:tcPr>
            <w:tcW w:w="293" w:type="pct"/>
            <w:noWrap w:val="0"/>
            <w:vAlign w:val="center"/>
          </w:tcPr>
          <w:p>
            <w:pPr>
              <w:widowControl/>
              <w:snapToGrid w:val="0"/>
              <w:jc w:val="center"/>
              <w:textAlignment w:val="center"/>
              <w:rPr>
                <w:szCs w:val="21"/>
              </w:rPr>
            </w:pPr>
            <w:r>
              <w:rPr>
                <w:kern w:val="0"/>
                <w:szCs w:val="21"/>
                <w:lang w:bidi="ar"/>
              </w:rPr>
              <w:t>3</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3-4</w:t>
            </w:r>
          </w:p>
        </w:tc>
        <w:tc>
          <w:tcPr>
            <w:tcW w:w="3217" w:type="pct"/>
            <w:noWrap w:val="0"/>
            <w:vAlign w:val="center"/>
          </w:tcPr>
          <w:p>
            <w:pPr>
              <w:widowControl/>
              <w:snapToGrid w:val="0"/>
              <w:ind w:firstLine="420" w:firstLineChars="200"/>
              <w:jc w:val="both"/>
              <w:rPr>
                <w:bCs/>
                <w:kern w:val="0"/>
                <w:szCs w:val="21"/>
              </w:rPr>
            </w:pPr>
            <w:r>
              <w:rPr>
                <w:bCs/>
                <w:kern w:val="0"/>
                <w:szCs w:val="21"/>
              </w:rPr>
              <w:t>学校</w:t>
            </w:r>
            <w:r>
              <w:rPr>
                <w:rFonts w:hint="eastAsia"/>
                <w:bCs/>
                <w:kern w:val="0"/>
                <w:szCs w:val="21"/>
              </w:rPr>
              <w:t>美育工作</w:t>
            </w:r>
            <w:r>
              <w:rPr>
                <w:bCs/>
                <w:kern w:val="0"/>
                <w:szCs w:val="21"/>
              </w:rPr>
              <w:t>主动接受当地教育行政部门、教研部门的业务指导和监督。能够整合利用社会资源开展艺术活动并将艺术活动与课后服务有效结合。</w:t>
            </w:r>
          </w:p>
        </w:tc>
        <w:tc>
          <w:tcPr>
            <w:tcW w:w="293" w:type="pct"/>
            <w:noWrap w:val="0"/>
            <w:vAlign w:val="center"/>
          </w:tcPr>
          <w:p>
            <w:pPr>
              <w:widowControl/>
              <w:snapToGrid w:val="0"/>
              <w:jc w:val="center"/>
              <w:textAlignment w:val="center"/>
              <w:rPr>
                <w:szCs w:val="21"/>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3-5</w:t>
            </w:r>
          </w:p>
        </w:tc>
        <w:tc>
          <w:tcPr>
            <w:tcW w:w="3217" w:type="pct"/>
            <w:noWrap w:val="0"/>
            <w:vAlign w:val="center"/>
          </w:tcPr>
          <w:p>
            <w:pPr>
              <w:widowControl/>
              <w:snapToGrid w:val="0"/>
              <w:ind w:firstLine="420" w:firstLineChars="200"/>
              <w:jc w:val="both"/>
              <w:rPr>
                <w:bCs/>
                <w:kern w:val="0"/>
                <w:szCs w:val="21"/>
              </w:rPr>
            </w:pPr>
            <w:r>
              <w:rPr>
                <w:bCs/>
                <w:kern w:val="0"/>
                <w:szCs w:val="21"/>
              </w:rPr>
              <w:t>每学年有</w:t>
            </w:r>
            <w:r>
              <w:rPr>
                <w:rFonts w:hint="eastAsia"/>
                <w:bCs/>
                <w:kern w:val="0"/>
                <w:szCs w:val="21"/>
              </w:rPr>
              <w:t>美育</w:t>
            </w:r>
            <w:r>
              <w:rPr>
                <w:bCs/>
                <w:kern w:val="0"/>
                <w:szCs w:val="21"/>
              </w:rPr>
              <w:t>工作的计划、总结，工作目标任务明确，制定较完善的评价制度，落实到位。</w:t>
            </w:r>
          </w:p>
        </w:tc>
        <w:tc>
          <w:tcPr>
            <w:tcW w:w="293" w:type="pct"/>
            <w:noWrap w:val="0"/>
            <w:vAlign w:val="center"/>
          </w:tcPr>
          <w:p>
            <w:pPr>
              <w:widowControl/>
              <w:snapToGrid w:val="0"/>
              <w:jc w:val="center"/>
              <w:textAlignment w:val="center"/>
              <w:rPr>
                <w:szCs w:val="21"/>
              </w:rPr>
            </w:pPr>
            <w:r>
              <w:rPr>
                <w:kern w:val="0"/>
                <w:szCs w:val="21"/>
                <w:lang w:bidi="ar"/>
              </w:rPr>
              <w:t>1</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restart"/>
            <w:noWrap w:val="0"/>
            <w:vAlign w:val="center"/>
          </w:tcPr>
          <w:p>
            <w:pPr>
              <w:widowControl/>
              <w:snapToGrid w:val="0"/>
              <w:jc w:val="center"/>
              <w:rPr>
                <w:bCs/>
                <w:szCs w:val="21"/>
              </w:rPr>
            </w:pPr>
            <w:r>
              <w:rPr>
                <w:bCs/>
                <w:kern w:val="0"/>
                <w:szCs w:val="21"/>
              </w:rPr>
              <w:t>四、</w:t>
            </w:r>
          </w:p>
          <w:p>
            <w:pPr>
              <w:widowControl/>
              <w:snapToGrid w:val="0"/>
              <w:jc w:val="center"/>
              <w:rPr>
                <w:bCs/>
                <w:szCs w:val="21"/>
              </w:rPr>
            </w:pPr>
            <w:r>
              <w:rPr>
                <w:bCs/>
                <w:kern w:val="0"/>
                <w:szCs w:val="21"/>
              </w:rPr>
              <w:t>师</w:t>
            </w:r>
          </w:p>
          <w:p>
            <w:pPr>
              <w:widowControl/>
              <w:snapToGrid w:val="0"/>
              <w:jc w:val="center"/>
              <w:rPr>
                <w:bCs/>
                <w:szCs w:val="21"/>
              </w:rPr>
            </w:pPr>
            <w:r>
              <w:rPr>
                <w:bCs/>
                <w:kern w:val="0"/>
                <w:szCs w:val="21"/>
              </w:rPr>
              <w:t>资</w:t>
            </w:r>
          </w:p>
          <w:p>
            <w:pPr>
              <w:widowControl/>
              <w:snapToGrid w:val="0"/>
              <w:jc w:val="center"/>
              <w:rPr>
                <w:bCs/>
                <w:szCs w:val="21"/>
              </w:rPr>
            </w:pPr>
            <w:r>
              <w:rPr>
                <w:bCs/>
                <w:kern w:val="0"/>
                <w:szCs w:val="21"/>
              </w:rPr>
              <w:t>队</w:t>
            </w:r>
          </w:p>
          <w:p>
            <w:pPr>
              <w:snapToGrid w:val="0"/>
              <w:jc w:val="center"/>
              <w:rPr>
                <w:szCs w:val="21"/>
              </w:rPr>
            </w:pPr>
            <w:r>
              <w:rPr>
                <w:bCs/>
                <w:kern w:val="0"/>
                <w:szCs w:val="21"/>
              </w:rPr>
              <w:t>伍</w:t>
            </w:r>
          </w:p>
        </w:tc>
        <w:tc>
          <w:tcPr>
            <w:tcW w:w="336" w:type="pct"/>
            <w:noWrap w:val="0"/>
            <w:vAlign w:val="center"/>
          </w:tcPr>
          <w:p>
            <w:pPr>
              <w:widowControl/>
              <w:snapToGrid w:val="0"/>
              <w:jc w:val="center"/>
              <w:rPr>
                <w:bCs/>
                <w:kern w:val="0"/>
                <w:szCs w:val="21"/>
              </w:rPr>
            </w:pPr>
            <w:r>
              <w:rPr>
                <w:bCs/>
                <w:kern w:val="0"/>
                <w:szCs w:val="21"/>
              </w:rPr>
              <w:t>4-1</w:t>
            </w:r>
          </w:p>
        </w:tc>
        <w:tc>
          <w:tcPr>
            <w:tcW w:w="3217" w:type="pct"/>
            <w:noWrap w:val="0"/>
            <w:vAlign w:val="center"/>
          </w:tcPr>
          <w:p>
            <w:pPr>
              <w:widowControl/>
              <w:snapToGrid w:val="0"/>
              <w:ind w:firstLine="420" w:firstLineChars="200"/>
              <w:jc w:val="both"/>
              <w:rPr>
                <w:bCs/>
                <w:kern w:val="0"/>
                <w:szCs w:val="21"/>
              </w:rPr>
            </w:pPr>
            <w:r>
              <w:rPr>
                <w:rFonts w:hint="eastAsia"/>
                <w:bCs/>
                <w:kern w:val="0"/>
                <w:szCs w:val="21"/>
              </w:rPr>
              <w:t>美育</w:t>
            </w:r>
            <w:r>
              <w:rPr>
                <w:bCs/>
                <w:kern w:val="0"/>
                <w:szCs w:val="21"/>
              </w:rPr>
              <w:t>教师的整体素质在当地属于一流水平，能够较好的完成课堂教学和课外活动辅导的有关工作任务。</w:t>
            </w:r>
          </w:p>
        </w:tc>
        <w:tc>
          <w:tcPr>
            <w:tcW w:w="293" w:type="pct"/>
            <w:noWrap w:val="0"/>
            <w:vAlign w:val="center"/>
          </w:tcPr>
          <w:p>
            <w:pPr>
              <w:widowControl/>
              <w:snapToGrid w:val="0"/>
              <w:jc w:val="center"/>
              <w:textAlignment w:val="center"/>
              <w:rPr>
                <w:kern w:val="0"/>
                <w:szCs w:val="21"/>
                <w:lang w:bidi="ar"/>
              </w:rPr>
            </w:pPr>
            <w:r>
              <w:rPr>
                <w:kern w:val="0"/>
                <w:szCs w:val="21"/>
                <w:lang w:bidi="ar"/>
              </w:rPr>
              <w:t>5</w:t>
            </w:r>
          </w:p>
        </w:tc>
        <w:tc>
          <w:tcPr>
            <w:tcW w:w="801" w:type="pct"/>
            <w:vMerge w:val="restart"/>
            <w:noWrap w:val="0"/>
            <w:vAlign w:val="center"/>
          </w:tcPr>
          <w:p>
            <w:pPr>
              <w:widowControl/>
              <w:snapToGrid w:val="0"/>
              <w:ind w:left="-118" w:leftChars="-56" w:right="-107" w:rightChars="-51"/>
              <w:jc w:val="center"/>
              <w:rPr>
                <w:rFonts w:hint="eastAsia"/>
                <w:bCs/>
                <w:kern w:val="0"/>
                <w:szCs w:val="21"/>
              </w:rPr>
            </w:pPr>
            <w:r>
              <w:rPr>
                <w:bCs/>
                <w:kern w:val="0"/>
                <w:szCs w:val="21"/>
              </w:rPr>
              <w:t>查看资料</w:t>
            </w:r>
          </w:p>
          <w:p>
            <w:pPr>
              <w:widowControl/>
              <w:snapToGrid w:val="0"/>
              <w:ind w:left="-118" w:leftChars="-56" w:right="-107" w:rightChars="-51"/>
              <w:jc w:val="center"/>
              <w:rPr>
                <w:bCs/>
                <w:szCs w:val="21"/>
              </w:rPr>
            </w:pPr>
            <w:r>
              <w:rPr>
                <w:bCs/>
                <w:kern w:val="0"/>
                <w:szCs w:val="21"/>
              </w:rPr>
              <w:t>（含校本研修档案）</w:t>
            </w:r>
          </w:p>
          <w:p>
            <w:pPr>
              <w:widowControl/>
              <w:snapToGrid w:val="0"/>
              <w:ind w:left="-118" w:leftChars="-56" w:right="-107" w:rightChars="-51"/>
              <w:jc w:val="center"/>
              <w:rPr>
                <w:bCs/>
                <w:szCs w:val="21"/>
              </w:rPr>
            </w:pPr>
            <w:r>
              <w:rPr>
                <w:bCs/>
                <w:kern w:val="0"/>
                <w:szCs w:val="21"/>
              </w:rPr>
              <w:t>教师座谈会</w:t>
            </w:r>
          </w:p>
          <w:p>
            <w:pPr>
              <w:widowControl/>
              <w:snapToGrid w:val="0"/>
              <w:ind w:left="-118" w:leftChars="-56" w:right="-107" w:rightChars="-51"/>
              <w:jc w:val="center"/>
              <w:rPr>
                <w:bCs/>
                <w:szCs w:val="21"/>
              </w:rPr>
            </w:pPr>
            <w:r>
              <w:rPr>
                <w:bCs/>
                <w:kern w:val="0"/>
                <w:szCs w:val="21"/>
              </w:rPr>
              <w:t>个别访谈</w:t>
            </w:r>
          </w:p>
          <w:p>
            <w:pPr>
              <w:widowControl/>
              <w:snapToGrid w:val="0"/>
              <w:ind w:left="-118" w:leftChars="-56" w:right="-107" w:rightChars="-51"/>
              <w:jc w:val="center"/>
              <w:rPr>
                <w:szCs w:val="21"/>
              </w:rPr>
            </w:pPr>
            <w:r>
              <w:rPr>
                <w:bCs/>
                <w:kern w:val="0"/>
                <w:szCs w:val="21"/>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4-2</w:t>
            </w:r>
          </w:p>
        </w:tc>
        <w:tc>
          <w:tcPr>
            <w:tcW w:w="3217" w:type="pct"/>
            <w:noWrap w:val="0"/>
            <w:vAlign w:val="center"/>
          </w:tcPr>
          <w:p>
            <w:pPr>
              <w:widowControl/>
              <w:snapToGrid w:val="0"/>
              <w:ind w:firstLine="420" w:firstLineChars="200"/>
              <w:jc w:val="both"/>
              <w:rPr>
                <w:bCs/>
                <w:kern w:val="0"/>
                <w:szCs w:val="21"/>
              </w:rPr>
            </w:pPr>
            <w:r>
              <w:rPr>
                <w:rFonts w:hint="eastAsia"/>
                <w:bCs/>
                <w:kern w:val="0"/>
                <w:szCs w:val="21"/>
              </w:rPr>
              <w:t>美育</w:t>
            </w:r>
            <w:r>
              <w:rPr>
                <w:bCs/>
                <w:kern w:val="0"/>
                <w:szCs w:val="21"/>
              </w:rPr>
              <w:t>专任教师数量足够，学历达标情况、中高级职称比例以及学科结构等均达到所在地区较高水准。能在五年一个周期内完成360学时的集中培训任务。</w:t>
            </w:r>
          </w:p>
        </w:tc>
        <w:tc>
          <w:tcPr>
            <w:tcW w:w="293" w:type="pct"/>
            <w:noWrap w:val="0"/>
            <w:vAlign w:val="center"/>
          </w:tcPr>
          <w:p>
            <w:pPr>
              <w:widowControl/>
              <w:snapToGrid w:val="0"/>
              <w:jc w:val="center"/>
              <w:textAlignment w:val="center"/>
              <w:rPr>
                <w:kern w:val="0"/>
                <w:szCs w:val="21"/>
                <w:lang w:bidi="ar"/>
              </w:rPr>
            </w:pPr>
            <w:r>
              <w:rPr>
                <w:kern w:val="0"/>
                <w:szCs w:val="21"/>
                <w:lang w:bidi="ar"/>
              </w:rPr>
              <w:t>5</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4-3</w:t>
            </w:r>
          </w:p>
        </w:tc>
        <w:tc>
          <w:tcPr>
            <w:tcW w:w="3217" w:type="pct"/>
            <w:noWrap w:val="0"/>
            <w:vAlign w:val="center"/>
          </w:tcPr>
          <w:p>
            <w:pPr>
              <w:widowControl/>
              <w:snapToGrid w:val="0"/>
              <w:ind w:firstLine="420" w:firstLineChars="200"/>
              <w:jc w:val="both"/>
              <w:rPr>
                <w:bCs/>
                <w:kern w:val="0"/>
                <w:szCs w:val="21"/>
              </w:rPr>
            </w:pPr>
            <w:r>
              <w:rPr>
                <w:rFonts w:hint="eastAsia"/>
                <w:bCs/>
                <w:kern w:val="0"/>
                <w:szCs w:val="21"/>
              </w:rPr>
              <w:t>美育</w:t>
            </w:r>
            <w:r>
              <w:rPr>
                <w:bCs/>
                <w:kern w:val="0"/>
                <w:szCs w:val="21"/>
              </w:rPr>
              <w:t>教师和其他学科教师同样享受同等课时津贴、业务进修、继续教育评优选先以及教育科研等方面的待遇和权利。</w:t>
            </w:r>
            <w:r>
              <w:rPr>
                <w:rFonts w:hint="eastAsia"/>
                <w:bCs/>
                <w:kern w:val="0"/>
                <w:szCs w:val="21"/>
              </w:rPr>
              <w:t>美育</w:t>
            </w:r>
            <w:r>
              <w:rPr>
                <w:bCs/>
                <w:kern w:val="0"/>
                <w:szCs w:val="21"/>
              </w:rPr>
              <w:t>教师辅导课外活动、排演等计入工作量。</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4-4</w:t>
            </w:r>
          </w:p>
        </w:tc>
        <w:tc>
          <w:tcPr>
            <w:tcW w:w="3217" w:type="pct"/>
            <w:noWrap w:val="0"/>
            <w:vAlign w:val="center"/>
          </w:tcPr>
          <w:p>
            <w:pPr>
              <w:widowControl/>
              <w:snapToGrid w:val="0"/>
              <w:ind w:firstLine="420" w:firstLineChars="200"/>
              <w:jc w:val="both"/>
              <w:rPr>
                <w:bCs/>
                <w:kern w:val="0"/>
                <w:szCs w:val="21"/>
              </w:rPr>
            </w:pPr>
            <w:r>
              <w:rPr>
                <w:rFonts w:hint="eastAsia"/>
                <w:bCs/>
                <w:kern w:val="0"/>
                <w:szCs w:val="21"/>
              </w:rPr>
              <w:t>美育</w:t>
            </w:r>
            <w:r>
              <w:rPr>
                <w:bCs/>
                <w:kern w:val="0"/>
                <w:szCs w:val="21"/>
              </w:rPr>
              <w:t>教师有良好的师德，有事业心和责任心，有较强的业务能力和工作热情，师生评议优秀率较高。</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4-5</w:t>
            </w:r>
          </w:p>
        </w:tc>
        <w:tc>
          <w:tcPr>
            <w:tcW w:w="3217" w:type="pct"/>
            <w:noWrap w:val="0"/>
            <w:vAlign w:val="center"/>
          </w:tcPr>
          <w:p>
            <w:pPr>
              <w:widowControl/>
              <w:snapToGrid w:val="0"/>
              <w:ind w:firstLine="420" w:firstLineChars="200"/>
              <w:jc w:val="both"/>
              <w:rPr>
                <w:bCs/>
                <w:kern w:val="0"/>
                <w:szCs w:val="21"/>
              </w:rPr>
            </w:pPr>
            <w:r>
              <w:rPr>
                <w:rFonts w:hint="eastAsia"/>
                <w:bCs/>
                <w:kern w:val="0"/>
                <w:szCs w:val="21"/>
              </w:rPr>
              <w:t>美育</w:t>
            </w:r>
            <w:r>
              <w:rPr>
                <w:bCs/>
                <w:kern w:val="0"/>
                <w:szCs w:val="21"/>
              </w:rPr>
              <w:t>教师有省、市级艺术教育科研课题，取得教科研成果并推广，撰写艺术教育论文获奖或发表，有指导学生艺术社团的经验，并取得一定的成绩。</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4-6</w:t>
            </w:r>
          </w:p>
        </w:tc>
        <w:tc>
          <w:tcPr>
            <w:tcW w:w="3217" w:type="pct"/>
            <w:noWrap w:val="0"/>
            <w:vAlign w:val="center"/>
          </w:tcPr>
          <w:p>
            <w:pPr>
              <w:widowControl/>
              <w:snapToGrid w:val="0"/>
              <w:ind w:firstLine="420" w:firstLineChars="200"/>
              <w:jc w:val="both"/>
              <w:rPr>
                <w:bCs/>
                <w:kern w:val="0"/>
                <w:szCs w:val="21"/>
              </w:rPr>
            </w:pPr>
            <w:r>
              <w:rPr>
                <w:rFonts w:hint="eastAsia"/>
                <w:bCs/>
                <w:kern w:val="0"/>
                <w:szCs w:val="21"/>
              </w:rPr>
              <w:t>美育</w:t>
            </w:r>
            <w:r>
              <w:rPr>
                <w:bCs/>
                <w:kern w:val="0"/>
                <w:szCs w:val="21"/>
              </w:rPr>
              <w:t>教师中有一定比例的省市级教学能手、学科带头人、先进工作者、劳动模范等先进人物。“三级三类”骨干教师体系占比不低于县级30%、市级20%、省级10%，三者满足其一均可。</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4-7</w:t>
            </w:r>
          </w:p>
        </w:tc>
        <w:tc>
          <w:tcPr>
            <w:tcW w:w="3217" w:type="pct"/>
            <w:noWrap w:val="0"/>
            <w:vAlign w:val="center"/>
          </w:tcPr>
          <w:p>
            <w:pPr>
              <w:widowControl/>
              <w:snapToGrid w:val="0"/>
              <w:ind w:firstLine="420" w:firstLineChars="200"/>
              <w:jc w:val="both"/>
              <w:rPr>
                <w:bCs/>
                <w:kern w:val="0"/>
                <w:szCs w:val="21"/>
              </w:rPr>
            </w:pPr>
            <w:r>
              <w:rPr>
                <w:bCs/>
                <w:kern w:val="0"/>
                <w:szCs w:val="21"/>
              </w:rPr>
              <w:t>鼓励教师主持或参加省市区学科工作室、工作坊、工作站活动，参与艺术课程建设和教学改革。能够参与开发美育优质课程建设工作。</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restart"/>
            <w:noWrap w:val="0"/>
            <w:vAlign w:val="center"/>
          </w:tcPr>
          <w:p>
            <w:pPr>
              <w:widowControl/>
              <w:snapToGrid w:val="0"/>
              <w:jc w:val="center"/>
              <w:rPr>
                <w:bCs/>
                <w:szCs w:val="21"/>
              </w:rPr>
            </w:pPr>
            <w:r>
              <w:rPr>
                <w:bCs/>
                <w:kern w:val="0"/>
                <w:szCs w:val="21"/>
              </w:rPr>
              <w:t>五、</w:t>
            </w:r>
          </w:p>
          <w:p>
            <w:pPr>
              <w:widowControl/>
              <w:snapToGrid w:val="0"/>
              <w:jc w:val="center"/>
              <w:rPr>
                <w:bCs/>
                <w:szCs w:val="21"/>
              </w:rPr>
            </w:pPr>
            <w:r>
              <w:rPr>
                <w:bCs/>
                <w:kern w:val="0"/>
                <w:szCs w:val="21"/>
              </w:rPr>
              <w:t>艺</w:t>
            </w:r>
          </w:p>
          <w:p>
            <w:pPr>
              <w:widowControl/>
              <w:snapToGrid w:val="0"/>
              <w:jc w:val="center"/>
              <w:rPr>
                <w:bCs/>
                <w:szCs w:val="21"/>
              </w:rPr>
            </w:pPr>
            <w:r>
              <w:rPr>
                <w:bCs/>
                <w:kern w:val="0"/>
                <w:szCs w:val="21"/>
              </w:rPr>
              <w:t>术</w:t>
            </w:r>
          </w:p>
          <w:p>
            <w:pPr>
              <w:widowControl/>
              <w:snapToGrid w:val="0"/>
              <w:jc w:val="center"/>
              <w:rPr>
                <w:bCs/>
                <w:szCs w:val="21"/>
              </w:rPr>
            </w:pPr>
            <w:r>
              <w:rPr>
                <w:bCs/>
                <w:kern w:val="0"/>
                <w:szCs w:val="21"/>
              </w:rPr>
              <w:t>课</w:t>
            </w:r>
          </w:p>
          <w:p>
            <w:pPr>
              <w:widowControl/>
              <w:snapToGrid w:val="0"/>
              <w:jc w:val="center"/>
              <w:rPr>
                <w:bCs/>
                <w:szCs w:val="21"/>
              </w:rPr>
            </w:pPr>
            <w:r>
              <w:rPr>
                <w:bCs/>
                <w:kern w:val="0"/>
                <w:szCs w:val="21"/>
              </w:rPr>
              <w:t>程</w:t>
            </w:r>
          </w:p>
          <w:p>
            <w:pPr>
              <w:widowControl/>
              <w:snapToGrid w:val="0"/>
              <w:jc w:val="center"/>
              <w:rPr>
                <w:bCs/>
                <w:szCs w:val="21"/>
              </w:rPr>
            </w:pPr>
            <w:r>
              <w:rPr>
                <w:bCs/>
                <w:kern w:val="0"/>
                <w:szCs w:val="21"/>
              </w:rPr>
              <w:t>建</w:t>
            </w:r>
          </w:p>
          <w:p>
            <w:pPr>
              <w:snapToGrid w:val="0"/>
              <w:jc w:val="center"/>
              <w:rPr>
                <w:szCs w:val="21"/>
              </w:rPr>
            </w:pPr>
            <w:r>
              <w:rPr>
                <w:bCs/>
                <w:kern w:val="0"/>
                <w:szCs w:val="21"/>
              </w:rPr>
              <w:t>设</w:t>
            </w:r>
          </w:p>
        </w:tc>
        <w:tc>
          <w:tcPr>
            <w:tcW w:w="336" w:type="pct"/>
            <w:noWrap w:val="0"/>
            <w:vAlign w:val="center"/>
          </w:tcPr>
          <w:p>
            <w:pPr>
              <w:widowControl/>
              <w:snapToGrid w:val="0"/>
              <w:jc w:val="center"/>
              <w:rPr>
                <w:bCs/>
                <w:kern w:val="0"/>
                <w:szCs w:val="21"/>
              </w:rPr>
            </w:pPr>
            <w:r>
              <w:rPr>
                <w:bCs/>
                <w:kern w:val="0"/>
                <w:szCs w:val="21"/>
              </w:rPr>
              <w:t>5-1</w:t>
            </w:r>
          </w:p>
        </w:tc>
        <w:tc>
          <w:tcPr>
            <w:tcW w:w="3217" w:type="pct"/>
            <w:noWrap w:val="0"/>
            <w:vAlign w:val="center"/>
          </w:tcPr>
          <w:p>
            <w:pPr>
              <w:widowControl/>
              <w:snapToGrid w:val="0"/>
              <w:ind w:firstLine="420" w:firstLineChars="200"/>
              <w:jc w:val="both"/>
              <w:rPr>
                <w:bCs/>
                <w:kern w:val="0"/>
                <w:szCs w:val="21"/>
              </w:rPr>
            </w:pPr>
            <w:r>
              <w:rPr>
                <w:bCs/>
                <w:kern w:val="0"/>
                <w:szCs w:val="21"/>
              </w:rPr>
              <w:t>严格执行国家课程标准，</w:t>
            </w:r>
            <w:r>
              <w:rPr>
                <w:rFonts w:hint="eastAsia"/>
                <w:bCs/>
                <w:kern w:val="0"/>
                <w:szCs w:val="21"/>
              </w:rPr>
              <w:t>美育</w:t>
            </w:r>
            <w:r>
              <w:rPr>
                <w:bCs/>
                <w:kern w:val="0"/>
                <w:szCs w:val="21"/>
              </w:rPr>
              <w:t>课程的开课率达到100%。毕业班</w:t>
            </w:r>
            <w:r>
              <w:rPr>
                <w:rFonts w:hint="eastAsia"/>
                <w:bCs/>
                <w:kern w:val="0"/>
                <w:szCs w:val="21"/>
              </w:rPr>
              <w:t>美育</w:t>
            </w:r>
            <w:r>
              <w:rPr>
                <w:bCs/>
                <w:kern w:val="0"/>
                <w:szCs w:val="21"/>
              </w:rPr>
              <w:t>课程开课正常。开足开齐上好</w:t>
            </w:r>
            <w:r>
              <w:rPr>
                <w:rFonts w:hint="eastAsia"/>
                <w:bCs/>
                <w:kern w:val="0"/>
                <w:szCs w:val="21"/>
              </w:rPr>
              <w:t>美育</w:t>
            </w:r>
            <w:r>
              <w:rPr>
                <w:bCs/>
                <w:kern w:val="0"/>
                <w:szCs w:val="21"/>
              </w:rPr>
              <w:t>课程，不断拓宽课程领域，挖掘美育资源，丰富课程内容。</w:t>
            </w:r>
          </w:p>
        </w:tc>
        <w:tc>
          <w:tcPr>
            <w:tcW w:w="293" w:type="pct"/>
            <w:noWrap w:val="0"/>
            <w:vAlign w:val="center"/>
          </w:tcPr>
          <w:p>
            <w:pPr>
              <w:widowControl/>
              <w:snapToGrid w:val="0"/>
              <w:jc w:val="center"/>
              <w:textAlignment w:val="center"/>
              <w:rPr>
                <w:kern w:val="0"/>
                <w:szCs w:val="21"/>
                <w:lang w:bidi="ar"/>
              </w:rPr>
            </w:pPr>
            <w:r>
              <w:rPr>
                <w:kern w:val="0"/>
                <w:szCs w:val="21"/>
                <w:lang w:bidi="ar"/>
              </w:rPr>
              <w:t>5</w:t>
            </w:r>
          </w:p>
        </w:tc>
        <w:tc>
          <w:tcPr>
            <w:tcW w:w="801" w:type="pct"/>
            <w:vMerge w:val="restart"/>
            <w:noWrap w:val="0"/>
            <w:vAlign w:val="center"/>
          </w:tcPr>
          <w:p>
            <w:pPr>
              <w:widowControl/>
              <w:snapToGrid w:val="0"/>
              <w:jc w:val="center"/>
              <w:rPr>
                <w:bCs/>
                <w:szCs w:val="21"/>
              </w:rPr>
            </w:pPr>
            <w:r>
              <w:rPr>
                <w:bCs/>
                <w:kern w:val="0"/>
                <w:szCs w:val="21"/>
              </w:rPr>
              <w:t>听课</w:t>
            </w:r>
          </w:p>
          <w:p>
            <w:pPr>
              <w:widowControl/>
              <w:snapToGrid w:val="0"/>
              <w:jc w:val="center"/>
              <w:rPr>
                <w:bCs/>
                <w:szCs w:val="21"/>
              </w:rPr>
            </w:pPr>
            <w:r>
              <w:rPr>
                <w:bCs/>
                <w:kern w:val="0"/>
                <w:szCs w:val="21"/>
              </w:rPr>
              <w:t>学生座谈会</w:t>
            </w:r>
          </w:p>
          <w:p>
            <w:pPr>
              <w:widowControl/>
              <w:snapToGrid w:val="0"/>
              <w:jc w:val="center"/>
              <w:rPr>
                <w:bCs/>
                <w:szCs w:val="21"/>
              </w:rPr>
            </w:pPr>
            <w:r>
              <w:rPr>
                <w:bCs/>
                <w:kern w:val="0"/>
                <w:szCs w:val="21"/>
              </w:rPr>
              <w:t>查看资料</w:t>
            </w:r>
          </w:p>
          <w:p>
            <w:pPr>
              <w:snapToGrid w:val="0"/>
              <w:jc w:val="center"/>
              <w:rPr>
                <w:szCs w:val="21"/>
              </w:rPr>
            </w:pPr>
            <w:r>
              <w:rPr>
                <w:bCs/>
                <w:kern w:val="0"/>
                <w:szCs w:val="21"/>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5-2</w:t>
            </w:r>
          </w:p>
        </w:tc>
        <w:tc>
          <w:tcPr>
            <w:tcW w:w="3217" w:type="pct"/>
            <w:noWrap w:val="0"/>
            <w:vAlign w:val="center"/>
          </w:tcPr>
          <w:p>
            <w:pPr>
              <w:widowControl/>
              <w:snapToGrid w:val="0"/>
              <w:ind w:firstLine="420" w:firstLineChars="200"/>
              <w:jc w:val="both"/>
              <w:rPr>
                <w:bCs/>
                <w:kern w:val="0"/>
                <w:szCs w:val="21"/>
              </w:rPr>
            </w:pPr>
            <w:r>
              <w:rPr>
                <w:bCs/>
                <w:kern w:val="0"/>
                <w:szCs w:val="21"/>
              </w:rPr>
              <w:t>积极推进</w:t>
            </w:r>
            <w:r>
              <w:rPr>
                <w:rFonts w:hint="eastAsia"/>
                <w:bCs/>
                <w:kern w:val="0"/>
                <w:szCs w:val="21"/>
              </w:rPr>
              <w:t>美育</w:t>
            </w:r>
            <w:r>
              <w:rPr>
                <w:bCs/>
                <w:kern w:val="0"/>
                <w:szCs w:val="21"/>
              </w:rPr>
              <w:t>课程改革，开发具有民族、地域特色当地特色的校本</w:t>
            </w:r>
            <w:r>
              <w:rPr>
                <w:rFonts w:hint="eastAsia"/>
                <w:bCs/>
                <w:kern w:val="0"/>
                <w:szCs w:val="21"/>
              </w:rPr>
              <w:t>美育</w:t>
            </w:r>
            <w:r>
              <w:rPr>
                <w:bCs/>
                <w:kern w:val="0"/>
                <w:szCs w:val="21"/>
              </w:rPr>
              <w:t>课程；每年有计划的组织</w:t>
            </w:r>
            <w:r>
              <w:rPr>
                <w:rFonts w:hint="eastAsia"/>
                <w:bCs/>
                <w:kern w:val="0"/>
                <w:szCs w:val="21"/>
              </w:rPr>
              <w:t>美育</w:t>
            </w:r>
            <w:r>
              <w:rPr>
                <w:bCs/>
                <w:kern w:val="0"/>
                <w:szCs w:val="21"/>
              </w:rPr>
              <w:t>教师参加各级各类业务和技能培训。</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5-3</w:t>
            </w:r>
          </w:p>
        </w:tc>
        <w:tc>
          <w:tcPr>
            <w:tcW w:w="3217" w:type="pct"/>
            <w:noWrap w:val="0"/>
            <w:vAlign w:val="center"/>
          </w:tcPr>
          <w:p>
            <w:pPr>
              <w:widowControl/>
              <w:snapToGrid w:val="0"/>
              <w:ind w:firstLine="420" w:firstLineChars="200"/>
              <w:jc w:val="both"/>
              <w:rPr>
                <w:bCs/>
                <w:kern w:val="0"/>
                <w:szCs w:val="21"/>
              </w:rPr>
            </w:pPr>
            <w:r>
              <w:rPr>
                <w:bCs/>
                <w:kern w:val="0"/>
                <w:szCs w:val="21"/>
              </w:rPr>
              <w:t>基于学科核心素养，实施“教会、勤练、常展”的美育教学模式，</w:t>
            </w:r>
            <w:r>
              <w:rPr>
                <w:bCs/>
                <w:kern w:val="0"/>
                <w:szCs w:val="21"/>
              </w:rPr>
              <w:t>深入推进课堂教学改革，激发学生对艺术的兴趣，学生成为课堂主人，主动参与，自主感受，获得生动丰富的审美体验。</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5-4</w:t>
            </w:r>
          </w:p>
        </w:tc>
        <w:tc>
          <w:tcPr>
            <w:tcW w:w="3217" w:type="pct"/>
            <w:noWrap w:val="0"/>
            <w:vAlign w:val="center"/>
          </w:tcPr>
          <w:p>
            <w:pPr>
              <w:widowControl/>
              <w:snapToGrid w:val="0"/>
              <w:ind w:firstLine="420" w:firstLineChars="200"/>
              <w:jc w:val="both"/>
              <w:rPr>
                <w:bCs/>
                <w:kern w:val="0"/>
                <w:szCs w:val="21"/>
              </w:rPr>
            </w:pPr>
            <w:r>
              <w:rPr>
                <w:bCs/>
                <w:kern w:val="0"/>
                <w:szCs w:val="21"/>
              </w:rPr>
              <w:t>围绕教学目标，</w:t>
            </w:r>
            <w:r>
              <w:rPr>
                <w:bCs/>
                <w:kern w:val="0"/>
                <w:szCs w:val="21"/>
              </w:rPr>
              <w:t>充分利用现代信息技术和传媒手段，优化教学过程，提高教学效果。</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5-5</w:t>
            </w:r>
          </w:p>
        </w:tc>
        <w:tc>
          <w:tcPr>
            <w:tcW w:w="3217" w:type="pct"/>
            <w:noWrap w:val="0"/>
            <w:vAlign w:val="center"/>
          </w:tcPr>
          <w:p>
            <w:pPr>
              <w:widowControl/>
              <w:snapToGrid w:val="0"/>
              <w:ind w:firstLine="420" w:firstLineChars="200"/>
              <w:jc w:val="both"/>
              <w:rPr>
                <w:bCs/>
                <w:kern w:val="0"/>
                <w:szCs w:val="21"/>
              </w:rPr>
            </w:pPr>
            <w:r>
              <w:rPr>
                <w:bCs/>
                <w:kern w:val="0"/>
                <w:szCs w:val="21"/>
              </w:rPr>
              <w:t>积极推进</w:t>
            </w:r>
            <w:r>
              <w:rPr>
                <w:rFonts w:hint="eastAsia"/>
                <w:bCs/>
                <w:kern w:val="0"/>
                <w:szCs w:val="21"/>
              </w:rPr>
              <w:t>美育</w:t>
            </w:r>
            <w:r>
              <w:rPr>
                <w:bCs/>
                <w:kern w:val="0"/>
                <w:szCs w:val="21"/>
              </w:rPr>
              <w:t>的评价改革。中小学生</w:t>
            </w:r>
            <w:r>
              <w:rPr>
                <w:rFonts w:hint="eastAsia"/>
                <w:bCs/>
                <w:kern w:val="0"/>
                <w:szCs w:val="21"/>
              </w:rPr>
              <w:t>美育</w:t>
            </w:r>
            <w:r>
              <w:rPr>
                <w:bCs/>
                <w:kern w:val="0"/>
                <w:szCs w:val="21"/>
              </w:rPr>
              <w:t>课程遵循过程性和终结性相结合的评价方式，将</w:t>
            </w:r>
            <w:r>
              <w:rPr>
                <w:rFonts w:hint="eastAsia"/>
                <w:bCs/>
                <w:kern w:val="0"/>
                <w:szCs w:val="21"/>
              </w:rPr>
              <w:t>美育</w:t>
            </w:r>
            <w:r>
              <w:rPr>
                <w:bCs/>
                <w:kern w:val="0"/>
                <w:szCs w:val="21"/>
              </w:rPr>
              <w:t>课程以及参与学校组织的艺术实践活动情况纳入学业要求。全面实施中小学生艺术素质测评，测评结果作为学生综合素质评价的重要内容并纳入学生综合素质档案。</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restart"/>
            <w:noWrap w:val="0"/>
            <w:vAlign w:val="center"/>
          </w:tcPr>
          <w:p>
            <w:pPr>
              <w:widowControl/>
              <w:snapToGrid w:val="0"/>
              <w:jc w:val="center"/>
              <w:rPr>
                <w:bCs/>
                <w:szCs w:val="21"/>
              </w:rPr>
            </w:pPr>
            <w:r>
              <w:rPr>
                <w:bCs/>
                <w:kern w:val="0"/>
                <w:szCs w:val="21"/>
              </w:rPr>
              <w:t>六、</w:t>
            </w:r>
          </w:p>
          <w:p>
            <w:pPr>
              <w:widowControl/>
              <w:snapToGrid w:val="0"/>
              <w:jc w:val="center"/>
              <w:rPr>
                <w:bCs/>
                <w:szCs w:val="21"/>
              </w:rPr>
            </w:pPr>
            <w:r>
              <w:rPr>
                <w:bCs/>
                <w:kern w:val="0"/>
                <w:szCs w:val="21"/>
              </w:rPr>
              <w:t>课</w:t>
            </w:r>
          </w:p>
          <w:p>
            <w:pPr>
              <w:widowControl/>
              <w:snapToGrid w:val="0"/>
              <w:jc w:val="center"/>
              <w:rPr>
                <w:bCs/>
                <w:szCs w:val="21"/>
              </w:rPr>
            </w:pPr>
            <w:r>
              <w:rPr>
                <w:bCs/>
                <w:kern w:val="0"/>
                <w:szCs w:val="21"/>
              </w:rPr>
              <w:t>外</w:t>
            </w:r>
          </w:p>
          <w:p>
            <w:pPr>
              <w:widowControl/>
              <w:snapToGrid w:val="0"/>
              <w:jc w:val="center"/>
              <w:rPr>
                <w:bCs/>
                <w:szCs w:val="21"/>
              </w:rPr>
            </w:pPr>
            <w:r>
              <w:rPr>
                <w:bCs/>
                <w:kern w:val="0"/>
                <w:szCs w:val="21"/>
              </w:rPr>
              <w:t>艺</w:t>
            </w:r>
          </w:p>
          <w:p>
            <w:pPr>
              <w:widowControl/>
              <w:snapToGrid w:val="0"/>
              <w:jc w:val="center"/>
              <w:rPr>
                <w:bCs/>
                <w:szCs w:val="21"/>
              </w:rPr>
            </w:pPr>
            <w:r>
              <w:rPr>
                <w:bCs/>
                <w:kern w:val="0"/>
                <w:szCs w:val="21"/>
              </w:rPr>
              <w:t>术</w:t>
            </w:r>
          </w:p>
          <w:p>
            <w:pPr>
              <w:widowControl/>
              <w:snapToGrid w:val="0"/>
              <w:jc w:val="center"/>
              <w:rPr>
                <w:bCs/>
                <w:szCs w:val="21"/>
              </w:rPr>
            </w:pPr>
            <w:r>
              <w:rPr>
                <w:bCs/>
                <w:kern w:val="0"/>
                <w:szCs w:val="21"/>
              </w:rPr>
              <w:t>教</w:t>
            </w:r>
          </w:p>
          <w:p>
            <w:pPr>
              <w:snapToGrid w:val="0"/>
              <w:jc w:val="center"/>
              <w:rPr>
                <w:szCs w:val="21"/>
              </w:rPr>
            </w:pPr>
            <w:r>
              <w:rPr>
                <w:bCs/>
                <w:kern w:val="0"/>
                <w:szCs w:val="21"/>
              </w:rPr>
              <w:t>育</w:t>
            </w:r>
          </w:p>
        </w:tc>
        <w:tc>
          <w:tcPr>
            <w:tcW w:w="336" w:type="pct"/>
            <w:noWrap w:val="0"/>
            <w:vAlign w:val="center"/>
          </w:tcPr>
          <w:p>
            <w:pPr>
              <w:widowControl/>
              <w:snapToGrid w:val="0"/>
              <w:jc w:val="center"/>
              <w:rPr>
                <w:bCs/>
                <w:kern w:val="0"/>
                <w:szCs w:val="21"/>
              </w:rPr>
            </w:pPr>
            <w:r>
              <w:rPr>
                <w:bCs/>
                <w:kern w:val="0"/>
                <w:szCs w:val="21"/>
              </w:rPr>
              <w:t>6-1</w:t>
            </w:r>
          </w:p>
        </w:tc>
        <w:tc>
          <w:tcPr>
            <w:tcW w:w="3217" w:type="pct"/>
            <w:noWrap w:val="0"/>
            <w:vAlign w:val="center"/>
          </w:tcPr>
          <w:p>
            <w:pPr>
              <w:widowControl/>
              <w:snapToGrid w:val="0"/>
              <w:ind w:firstLine="420" w:firstLineChars="200"/>
              <w:jc w:val="both"/>
              <w:rPr>
                <w:bCs/>
                <w:kern w:val="0"/>
                <w:szCs w:val="21"/>
              </w:rPr>
            </w:pPr>
            <w:r>
              <w:rPr>
                <w:bCs/>
                <w:kern w:val="0"/>
                <w:szCs w:val="21"/>
              </w:rPr>
              <w:t>实施艺术实践活动课程化管理，纳入学校教学计划，实施课程化管理。建立学生课外艺术活动记录制度。艺术实践活动要作为学校艺术素质测评内容。</w:t>
            </w:r>
          </w:p>
        </w:tc>
        <w:tc>
          <w:tcPr>
            <w:tcW w:w="293" w:type="pct"/>
            <w:noWrap w:val="0"/>
            <w:vAlign w:val="center"/>
          </w:tcPr>
          <w:p>
            <w:pPr>
              <w:widowControl/>
              <w:snapToGrid w:val="0"/>
              <w:jc w:val="center"/>
              <w:textAlignment w:val="center"/>
              <w:rPr>
                <w:kern w:val="0"/>
                <w:szCs w:val="21"/>
                <w:lang w:bidi="ar"/>
              </w:rPr>
            </w:pPr>
            <w:r>
              <w:rPr>
                <w:kern w:val="0"/>
                <w:szCs w:val="21"/>
                <w:lang w:bidi="ar"/>
              </w:rPr>
              <w:t>1</w:t>
            </w:r>
          </w:p>
        </w:tc>
        <w:tc>
          <w:tcPr>
            <w:tcW w:w="801" w:type="pct"/>
            <w:vMerge w:val="restart"/>
            <w:noWrap w:val="0"/>
            <w:vAlign w:val="center"/>
          </w:tcPr>
          <w:p>
            <w:pPr>
              <w:widowControl/>
              <w:snapToGrid w:val="0"/>
              <w:ind w:left="-99" w:leftChars="-47" w:right="-113" w:rightChars="-54"/>
              <w:jc w:val="center"/>
              <w:rPr>
                <w:bCs/>
                <w:szCs w:val="21"/>
              </w:rPr>
            </w:pPr>
            <w:r>
              <w:rPr>
                <w:rFonts w:hint="eastAsia"/>
                <w:bCs/>
                <w:kern w:val="0"/>
                <w:szCs w:val="21"/>
              </w:rPr>
              <w:t>查</w:t>
            </w:r>
            <w:r>
              <w:rPr>
                <w:bCs/>
                <w:kern w:val="0"/>
                <w:szCs w:val="21"/>
              </w:rPr>
              <w:t>看艺术活动现场</w:t>
            </w:r>
          </w:p>
          <w:p>
            <w:pPr>
              <w:widowControl/>
              <w:snapToGrid w:val="0"/>
              <w:ind w:left="-99" w:leftChars="-47" w:right="-113" w:rightChars="-54"/>
              <w:jc w:val="center"/>
              <w:rPr>
                <w:bCs/>
                <w:szCs w:val="21"/>
              </w:rPr>
            </w:pPr>
            <w:r>
              <w:rPr>
                <w:bCs/>
                <w:kern w:val="0"/>
                <w:szCs w:val="21"/>
              </w:rPr>
              <w:t>观看学生艺术团演出</w:t>
            </w:r>
          </w:p>
          <w:p>
            <w:pPr>
              <w:snapToGrid w:val="0"/>
              <w:ind w:left="-99" w:leftChars="-47" w:right="-113" w:rightChars="-54"/>
              <w:jc w:val="center"/>
              <w:rPr>
                <w:szCs w:val="21"/>
              </w:rPr>
            </w:pPr>
            <w:r>
              <w:rPr>
                <w:bCs/>
                <w:kern w:val="0"/>
                <w:szCs w:val="21"/>
              </w:rPr>
              <w:t>查看校园环境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6-2</w:t>
            </w:r>
          </w:p>
        </w:tc>
        <w:tc>
          <w:tcPr>
            <w:tcW w:w="3217" w:type="pct"/>
            <w:noWrap w:val="0"/>
            <w:vAlign w:val="center"/>
          </w:tcPr>
          <w:p>
            <w:pPr>
              <w:widowControl/>
              <w:snapToGrid w:val="0"/>
              <w:ind w:firstLine="420" w:firstLineChars="200"/>
              <w:jc w:val="both"/>
              <w:rPr>
                <w:bCs/>
                <w:kern w:val="0"/>
                <w:szCs w:val="21"/>
              </w:rPr>
            </w:pPr>
            <w:r>
              <w:rPr>
                <w:bCs/>
                <w:kern w:val="0"/>
                <w:szCs w:val="21"/>
              </w:rPr>
              <w:t>积极落实“双减”政策，把美育社团活动与课后服务有效结合，课外艺术教育有计划、有安排，组织健全，有专人指导，能正常有序地开展活动</w:t>
            </w:r>
          </w:p>
        </w:tc>
        <w:tc>
          <w:tcPr>
            <w:tcW w:w="293" w:type="pct"/>
            <w:noWrap w:val="0"/>
            <w:vAlign w:val="center"/>
          </w:tcPr>
          <w:p>
            <w:pPr>
              <w:widowControl/>
              <w:snapToGrid w:val="0"/>
              <w:jc w:val="center"/>
              <w:textAlignment w:val="center"/>
              <w:rPr>
                <w:kern w:val="0"/>
                <w:szCs w:val="21"/>
                <w:lang w:bidi="ar"/>
              </w:rPr>
            </w:pPr>
            <w:r>
              <w:rPr>
                <w:kern w:val="0"/>
                <w:szCs w:val="21"/>
                <w:lang w:bidi="ar"/>
              </w:rPr>
              <w:t>1</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6-3</w:t>
            </w:r>
          </w:p>
        </w:tc>
        <w:tc>
          <w:tcPr>
            <w:tcW w:w="3217" w:type="pct"/>
            <w:noWrap w:val="0"/>
            <w:vAlign w:val="center"/>
          </w:tcPr>
          <w:p>
            <w:pPr>
              <w:widowControl/>
              <w:snapToGrid w:val="0"/>
              <w:ind w:firstLine="420" w:firstLineChars="200"/>
              <w:jc w:val="both"/>
              <w:rPr>
                <w:bCs/>
                <w:kern w:val="0"/>
                <w:szCs w:val="21"/>
              </w:rPr>
            </w:pPr>
            <w:r>
              <w:rPr>
                <w:bCs/>
                <w:kern w:val="0"/>
                <w:szCs w:val="21"/>
              </w:rPr>
              <w:t>落实“体育艺术2+1”有关规定，根据学生需要和当地实际建立课外艺术活动组织，确保每个学生都能够参加一项自己喜欢的课外艺术活动。</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6-4</w:t>
            </w:r>
          </w:p>
        </w:tc>
        <w:tc>
          <w:tcPr>
            <w:tcW w:w="3217" w:type="pct"/>
            <w:noWrap w:val="0"/>
            <w:vAlign w:val="center"/>
          </w:tcPr>
          <w:p>
            <w:pPr>
              <w:widowControl/>
              <w:snapToGrid w:val="0"/>
              <w:ind w:firstLine="420" w:firstLineChars="200"/>
              <w:jc w:val="both"/>
              <w:rPr>
                <w:bCs/>
                <w:kern w:val="0"/>
                <w:szCs w:val="21"/>
              </w:rPr>
            </w:pPr>
            <w:r>
              <w:rPr>
                <w:bCs/>
                <w:kern w:val="0"/>
                <w:szCs w:val="21"/>
              </w:rPr>
              <w:t>每年定期举办校园艺术节，活动内容丰富多彩，学生喜闻乐见，取得较好的育人效果。</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6-5</w:t>
            </w:r>
          </w:p>
        </w:tc>
        <w:tc>
          <w:tcPr>
            <w:tcW w:w="3217" w:type="pct"/>
            <w:noWrap w:val="0"/>
            <w:vAlign w:val="center"/>
          </w:tcPr>
          <w:p>
            <w:pPr>
              <w:widowControl/>
              <w:snapToGrid w:val="0"/>
              <w:ind w:firstLine="420" w:firstLineChars="200"/>
              <w:jc w:val="both"/>
              <w:rPr>
                <w:bCs/>
                <w:kern w:val="0"/>
                <w:szCs w:val="21"/>
              </w:rPr>
            </w:pPr>
            <w:r>
              <w:rPr>
                <w:bCs/>
                <w:kern w:val="0"/>
                <w:szCs w:val="21"/>
              </w:rPr>
              <w:t>在普及基础上建立有较高水平的学生艺术团，每年能推出具有一定水平、富有创意的艺术表演类节目。</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6-6</w:t>
            </w:r>
          </w:p>
        </w:tc>
        <w:tc>
          <w:tcPr>
            <w:tcW w:w="3217" w:type="pct"/>
            <w:noWrap w:val="0"/>
            <w:vAlign w:val="center"/>
          </w:tcPr>
          <w:p>
            <w:pPr>
              <w:widowControl/>
              <w:snapToGrid w:val="0"/>
              <w:ind w:firstLine="420" w:firstLineChars="200"/>
              <w:jc w:val="both"/>
              <w:rPr>
                <w:bCs/>
                <w:kern w:val="0"/>
                <w:szCs w:val="21"/>
              </w:rPr>
            </w:pPr>
            <w:r>
              <w:rPr>
                <w:bCs/>
                <w:kern w:val="0"/>
                <w:szCs w:val="21"/>
              </w:rPr>
              <w:t>鼓励整合利用社会资源，每年组织学生现场参观1次美术馆、书法馆、博物馆及艺术家进校园活动</w:t>
            </w:r>
            <w:r>
              <w:rPr>
                <w:bCs/>
                <w:kern w:val="0"/>
                <w:szCs w:val="21"/>
              </w:rPr>
              <w:t>等。</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6-7</w:t>
            </w:r>
          </w:p>
        </w:tc>
        <w:tc>
          <w:tcPr>
            <w:tcW w:w="3217" w:type="pct"/>
            <w:noWrap w:val="0"/>
            <w:vAlign w:val="center"/>
          </w:tcPr>
          <w:p>
            <w:pPr>
              <w:widowControl/>
              <w:snapToGrid w:val="0"/>
              <w:ind w:firstLine="420" w:firstLineChars="200"/>
              <w:jc w:val="both"/>
              <w:rPr>
                <w:bCs/>
                <w:kern w:val="0"/>
                <w:szCs w:val="21"/>
              </w:rPr>
            </w:pPr>
            <w:r>
              <w:rPr>
                <w:bCs/>
                <w:kern w:val="0"/>
                <w:szCs w:val="21"/>
              </w:rPr>
              <w:t>积极推进高雅艺术和选择适合学生学习的非物质文化遗产等传统文化艺术进校园活动。能有效地开发、利用校外艺术教育资源，聘请有影响的艺术专家对学生进行讲座、辅导。</w:t>
            </w:r>
          </w:p>
        </w:tc>
        <w:tc>
          <w:tcPr>
            <w:tcW w:w="293" w:type="pct"/>
            <w:noWrap w:val="0"/>
            <w:vAlign w:val="center"/>
          </w:tcPr>
          <w:p>
            <w:pPr>
              <w:widowControl/>
              <w:snapToGrid w:val="0"/>
              <w:jc w:val="center"/>
              <w:textAlignment w:val="center"/>
              <w:rPr>
                <w:kern w:val="0"/>
                <w:szCs w:val="21"/>
                <w:lang w:bidi="ar"/>
              </w:rPr>
            </w:pPr>
            <w:r>
              <w:rPr>
                <w:kern w:val="0"/>
                <w:szCs w:val="21"/>
                <w:lang w:bidi="ar"/>
              </w:rPr>
              <w:t>2</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restart"/>
            <w:noWrap w:val="0"/>
            <w:vAlign w:val="center"/>
          </w:tcPr>
          <w:p>
            <w:pPr>
              <w:widowControl/>
              <w:snapToGrid w:val="0"/>
              <w:jc w:val="center"/>
              <w:rPr>
                <w:bCs/>
                <w:szCs w:val="21"/>
              </w:rPr>
            </w:pPr>
            <w:r>
              <w:rPr>
                <w:bCs/>
                <w:kern w:val="0"/>
                <w:szCs w:val="21"/>
              </w:rPr>
              <w:t>七、</w:t>
            </w:r>
          </w:p>
          <w:p>
            <w:pPr>
              <w:widowControl/>
              <w:snapToGrid w:val="0"/>
              <w:jc w:val="center"/>
              <w:rPr>
                <w:bCs/>
                <w:szCs w:val="21"/>
              </w:rPr>
            </w:pPr>
            <w:r>
              <w:rPr>
                <w:bCs/>
                <w:kern w:val="0"/>
                <w:szCs w:val="21"/>
              </w:rPr>
              <w:t>艺</w:t>
            </w:r>
          </w:p>
          <w:p>
            <w:pPr>
              <w:widowControl/>
              <w:snapToGrid w:val="0"/>
              <w:jc w:val="center"/>
              <w:rPr>
                <w:bCs/>
                <w:szCs w:val="21"/>
              </w:rPr>
            </w:pPr>
            <w:r>
              <w:rPr>
                <w:bCs/>
                <w:kern w:val="0"/>
                <w:szCs w:val="21"/>
              </w:rPr>
              <w:t>术</w:t>
            </w:r>
          </w:p>
          <w:p>
            <w:pPr>
              <w:widowControl/>
              <w:snapToGrid w:val="0"/>
              <w:jc w:val="center"/>
              <w:rPr>
                <w:bCs/>
                <w:szCs w:val="21"/>
              </w:rPr>
            </w:pPr>
            <w:r>
              <w:rPr>
                <w:bCs/>
                <w:kern w:val="0"/>
                <w:szCs w:val="21"/>
              </w:rPr>
              <w:t>教</w:t>
            </w:r>
          </w:p>
          <w:p>
            <w:pPr>
              <w:widowControl/>
              <w:snapToGrid w:val="0"/>
              <w:jc w:val="center"/>
              <w:rPr>
                <w:bCs/>
                <w:szCs w:val="21"/>
              </w:rPr>
            </w:pPr>
            <w:r>
              <w:rPr>
                <w:bCs/>
                <w:kern w:val="0"/>
                <w:szCs w:val="21"/>
              </w:rPr>
              <w:t>育</w:t>
            </w:r>
          </w:p>
          <w:p>
            <w:pPr>
              <w:widowControl/>
              <w:snapToGrid w:val="0"/>
              <w:jc w:val="center"/>
              <w:rPr>
                <w:bCs/>
                <w:szCs w:val="21"/>
              </w:rPr>
            </w:pPr>
            <w:r>
              <w:rPr>
                <w:bCs/>
                <w:kern w:val="0"/>
                <w:szCs w:val="21"/>
              </w:rPr>
              <w:t>特</w:t>
            </w:r>
          </w:p>
          <w:p>
            <w:pPr>
              <w:snapToGrid w:val="0"/>
              <w:jc w:val="center"/>
              <w:rPr>
                <w:szCs w:val="21"/>
              </w:rPr>
            </w:pPr>
            <w:r>
              <w:rPr>
                <w:bCs/>
                <w:kern w:val="0"/>
                <w:szCs w:val="21"/>
              </w:rPr>
              <w:t>色</w:t>
            </w:r>
          </w:p>
        </w:tc>
        <w:tc>
          <w:tcPr>
            <w:tcW w:w="336" w:type="pct"/>
            <w:noWrap w:val="0"/>
            <w:vAlign w:val="center"/>
          </w:tcPr>
          <w:p>
            <w:pPr>
              <w:widowControl/>
              <w:snapToGrid w:val="0"/>
              <w:jc w:val="center"/>
              <w:rPr>
                <w:bCs/>
                <w:kern w:val="0"/>
                <w:szCs w:val="21"/>
              </w:rPr>
            </w:pPr>
            <w:r>
              <w:rPr>
                <w:bCs/>
                <w:kern w:val="0"/>
                <w:szCs w:val="21"/>
              </w:rPr>
              <w:t>7-1</w:t>
            </w:r>
          </w:p>
        </w:tc>
        <w:tc>
          <w:tcPr>
            <w:tcW w:w="3217" w:type="pct"/>
            <w:noWrap w:val="0"/>
            <w:vAlign w:val="center"/>
          </w:tcPr>
          <w:p>
            <w:pPr>
              <w:widowControl/>
              <w:snapToGrid w:val="0"/>
              <w:ind w:firstLine="420" w:firstLineChars="200"/>
              <w:jc w:val="both"/>
              <w:rPr>
                <w:bCs/>
                <w:kern w:val="0"/>
                <w:szCs w:val="21"/>
              </w:rPr>
            </w:pPr>
            <w:r>
              <w:rPr>
                <w:bCs/>
                <w:kern w:val="0"/>
                <w:szCs w:val="21"/>
              </w:rPr>
              <w:t>学校领导带头参与艺术教育教学活动，参与艺术教育课题研究，对艺术教育有自己的学术见解。</w:t>
            </w:r>
          </w:p>
        </w:tc>
        <w:tc>
          <w:tcPr>
            <w:tcW w:w="293" w:type="pct"/>
            <w:noWrap w:val="0"/>
            <w:vAlign w:val="center"/>
          </w:tcPr>
          <w:p>
            <w:pPr>
              <w:widowControl/>
              <w:snapToGrid w:val="0"/>
              <w:jc w:val="center"/>
              <w:textAlignment w:val="center"/>
              <w:rPr>
                <w:kern w:val="0"/>
                <w:szCs w:val="21"/>
                <w:lang w:bidi="ar"/>
              </w:rPr>
            </w:pPr>
            <w:r>
              <w:rPr>
                <w:kern w:val="0"/>
                <w:szCs w:val="21"/>
                <w:lang w:bidi="ar"/>
              </w:rPr>
              <w:t>3</w:t>
            </w:r>
          </w:p>
        </w:tc>
        <w:tc>
          <w:tcPr>
            <w:tcW w:w="801" w:type="pct"/>
            <w:vMerge w:val="restart"/>
            <w:noWrap w:val="0"/>
            <w:vAlign w:val="center"/>
          </w:tcPr>
          <w:p>
            <w:pPr>
              <w:widowControl/>
              <w:snapToGrid w:val="0"/>
              <w:jc w:val="center"/>
              <w:rPr>
                <w:bCs/>
                <w:szCs w:val="21"/>
              </w:rPr>
            </w:pPr>
            <w:r>
              <w:rPr>
                <w:bCs/>
                <w:kern w:val="0"/>
                <w:szCs w:val="21"/>
              </w:rPr>
              <w:t>查看获奖证书</w:t>
            </w:r>
          </w:p>
          <w:p>
            <w:pPr>
              <w:snapToGrid w:val="0"/>
              <w:jc w:val="center"/>
              <w:rPr>
                <w:szCs w:val="21"/>
              </w:rPr>
            </w:pPr>
            <w:r>
              <w:rPr>
                <w:bCs/>
                <w:kern w:val="0"/>
                <w:szCs w:val="21"/>
              </w:rPr>
              <w:t>个别访谈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7-2</w:t>
            </w:r>
          </w:p>
        </w:tc>
        <w:tc>
          <w:tcPr>
            <w:tcW w:w="3217" w:type="pct"/>
            <w:noWrap w:val="0"/>
            <w:vAlign w:val="center"/>
          </w:tcPr>
          <w:p>
            <w:pPr>
              <w:widowControl/>
              <w:snapToGrid w:val="0"/>
              <w:ind w:firstLine="420" w:firstLineChars="200"/>
              <w:jc w:val="both"/>
              <w:rPr>
                <w:bCs/>
                <w:kern w:val="0"/>
                <w:szCs w:val="21"/>
              </w:rPr>
            </w:pPr>
            <w:r>
              <w:rPr>
                <w:bCs/>
                <w:kern w:val="0"/>
                <w:szCs w:val="21"/>
              </w:rPr>
              <w:t>学校形成符合自身发展需要的艺术教育特色项目，有必要的条件保证和良好的传统，在当地有一定的影响力和示范性。</w:t>
            </w:r>
          </w:p>
        </w:tc>
        <w:tc>
          <w:tcPr>
            <w:tcW w:w="293" w:type="pct"/>
            <w:noWrap w:val="0"/>
            <w:vAlign w:val="center"/>
          </w:tcPr>
          <w:p>
            <w:pPr>
              <w:widowControl/>
              <w:snapToGrid w:val="0"/>
              <w:jc w:val="center"/>
              <w:textAlignment w:val="center"/>
              <w:rPr>
                <w:kern w:val="0"/>
                <w:szCs w:val="21"/>
                <w:lang w:bidi="ar"/>
              </w:rPr>
            </w:pPr>
            <w:r>
              <w:rPr>
                <w:kern w:val="0"/>
                <w:szCs w:val="21"/>
                <w:lang w:bidi="ar"/>
              </w:rPr>
              <w:t>3</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7-3</w:t>
            </w:r>
          </w:p>
        </w:tc>
        <w:tc>
          <w:tcPr>
            <w:tcW w:w="3217" w:type="pct"/>
            <w:noWrap w:val="0"/>
            <w:vAlign w:val="center"/>
          </w:tcPr>
          <w:p>
            <w:pPr>
              <w:widowControl/>
              <w:snapToGrid w:val="0"/>
              <w:ind w:firstLine="420" w:firstLineChars="200"/>
              <w:jc w:val="both"/>
              <w:rPr>
                <w:bCs/>
                <w:kern w:val="0"/>
                <w:szCs w:val="21"/>
              </w:rPr>
            </w:pPr>
            <w:r>
              <w:rPr>
                <w:bCs/>
                <w:kern w:val="0"/>
                <w:szCs w:val="21"/>
              </w:rPr>
              <w:t>在学生掌握“艺术基础知识基本技能+艺术审美体验+艺术专项特长”的基础上，形成“教会、勤练、常展”的美育教学模式。积极组织学生参加国家和省、市、县各级教育部门组织的艺术活动、展演活动，成绩优异。</w:t>
            </w:r>
          </w:p>
        </w:tc>
        <w:tc>
          <w:tcPr>
            <w:tcW w:w="293" w:type="pct"/>
            <w:noWrap w:val="0"/>
            <w:vAlign w:val="center"/>
          </w:tcPr>
          <w:p>
            <w:pPr>
              <w:widowControl/>
              <w:snapToGrid w:val="0"/>
              <w:jc w:val="center"/>
              <w:textAlignment w:val="center"/>
              <w:rPr>
                <w:kern w:val="0"/>
                <w:szCs w:val="21"/>
                <w:lang w:bidi="ar"/>
              </w:rPr>
            </w:pPr>
            <w:r>
              <w:rPr>
                <w:kern w:val="0"/>
                <w:szCs w:val="21"/>
                <w:lang w:bidi="ar"/>
              </w:rPr>
              <w:t>3</w:t>
            </w:r>
          </w:p>
        </w:tc>
        <w:tc>
          <w:tcPr>
            <w:tcW w:w="801" w:type="pct"/>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1" w:type="pct"/>
            <w:vMerge w:val="continue"/>
            <w:noWrap w:val="0"/>
            <w:vAlign w:val="center"/>
          </w:tcPr>
          <w:p>
            <w:pPr>
              <w:snapToGrid w:val="0"/>
              <w:jc w:val="center"/>
              <w:rPr>
                <w:szCs w:val="21"/>
              </w:rPr>
            </w:pPr>
          </w:p>
        </w:tc>
        <w:tc>
          <w:tcPr>
            <w:tcW w:w="336" w:type="pct"/>
            <w:noWrap w:val="0"/>
            <w:vAlign w:val="center"/>
          </w:tcPr>
          <w:p>
            <w:pPr>
              <w:widowControl/>
              <w:snapToGrid w:val="0"/>
              <w:jc w:val="center"/>
              <w:rPr>
                <w:bCs/>
                <w:kern w:val="0"/>
                <w:szCs w:val="21"/>
              </w:rPr>
            </w:pPr>
            <w:r>
              <w:rPr>
                <w:bCs/>
                <w:kern w:val="0"/>
                <w:szCs w:val="21"/>
              </w:rPr>
              <w:t>7-4</w:t>
            </w:r>
          </w:p>
        </w:tc>
        <w:tc>
          <w:tcPr>
            <w:tcW w:w="3217" w:type="pct"/>
            <w:noWrap w:val="0"/>
            <w:vAlign w:val="center"/>
          </w:tcPr>
          <w:p>
            <w:pPr>
              <w:widowControl/>
              <w:snapToGrid w:val="0"/>
              <w:ind w:firstLine="420" w:firstLineChars="200"/>
              <w:jc w:val="both"/>
              <w:rPr>
                <w:bCs/>
                <w:kern w:val="0"/>
                <w:szCs w:val="21"/>
              </w:rPr>
            </w:pPr>
            <w:r>
              <w:rPr>
                <w:bCs/>
                <w:kern w:val="0"/>
                <w:szCs w:val="21"/>
              </w:rPr>
              <w:t>学校在艺术教育领域（包括艺术人才培养、艺术教师队伍建设、学生文艺社团建设以及艺术教育成果展示等方面）有突出成绩，在省（区、市）有一定的知名度。</w:t>
            </w:r>
          </w:p>
        </w:tc>
        <w:tc>
          <w:tcPr>
            <w:tcW w:w="293" w:type="pct"/>
            <w:noWrap w:val="0"/>
            <w:vAlign w:val="center"/>
          </w:tcPr>
          <w:p>
            <w:pPr>
              <w:widowControl/>
              <w:snapToGrid w:val="0"/>
              <w:jc w:val="center"/>
              <w:textAlignment w:val="center"/>
              <w:rPr>
                <w:kern w:val="0"/>
                <w:szCs w:val="21"/>
                <w:lang w:bidi="ar"/>
              </w:rPr>
            </w:pPr>
            <w:r>
              <w:rPr>
                <w:kern w:val="0"/>
                <w:szCs w:val="21"/>
                <w:lang w:bidi="ar"/>
              </w:rPr>
              <w:t>3</w:t>
            </w:r>
          </w:p>
        </w:tc>
        <w:tc>
          <w:tcPr>
            <w:tcW w:w="801" w:type="pct"/>
            <w:vMerge w:val="continue"/>
            <w:noWrap w:val="0"/>
            <w:vAlign w:val="center"/>
          </w:tcPr>
          <w:p>
            <w:pPr>
              <w:snapToGrid w:val="0"/>
              <w:jc w:val="center"/>
              <w:rPr>
                <w:szCs w:val="21"/>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color w:val="333333"/>
          <w:sz w:val="21"/>
          <w:szCs w:val="21"/>
          <w:shd w:val="clear" w:color="auto"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jIwMWYyNjAwNTI0NGVkNThkN2M5YTRjNjZiZGMifQ=="/>
  </w:docVars>
  <w:rsids>
    <w:rsidRoot w:val="00172A27"/>
    <w:rsid w:val="000E26AB"/>
    <w:rsid w:val="00153BF6"/>
    <w:rsid w:val="00172A27"/>
    <w:rsid w:val="002A0647"/>
    <w:rsid w:val="003A7E78"/>
    <w:rsid w:val="004B5A4B"/>
    <w:rsid w:val="00513E7D"/>
    <w:rsid w:val="005165F8"/>
    <w:rsid w:val="00577718"/>
    <w:rsid w:val="005E6437"/>
    <w:rsid w:val="005F061D"/>
    <w:rsid w:val="00764AD9"/>
    <w:rsid w:val="008C06EA"/>
    <w:rsid w:val="0093077F"/>
    <w:rsid w:val="00B77A8B"/>
    <w:rsid w:val="00BA6CFF"/>
    <w:rsid w:val="00D115BA"/>
    <w:rsid w:val="00D449F6"/>
    <w:rsid w:val="00E0345E"/>
    <w:rsid w:val="00E736FC"/>
    <w:rsid w:val="00F62050"/>
    <w:rsid w:val="019E71BD"/>
    <w:rsid w:val="01AD6BD8"/>
    <w:rsid w:val="02B26E88"/>
    <w:rsid w:val="04B679C3"/>
    <w:rsid w:val="080F63D8"/>
    <w:rsid w:val="09341458"/>
    <w:rsid w:val="09442803"/>
    <w:rsid w:val="09C735AB"/>
    <w:rsid w:val="0B0912D7"/>
    <w:rsid w:val="10FF2456"/>
    <w:rsid w:val="11D24E50"/>
    <w:rsid w:val="122C63A6"/>
    <w:rsid w:val="12E110C3"/>
    <w:rsid w:val="152D2DCA"/>
    <w:rsid w:val="194F6D87"/>
    <w:rsid w:val="1DEC284C"/>
    <w:rsid w:val="1E6523AC"/>
    <w:rsid w:val="20692E24"/>
    <w:rsid w:val="20C04A0E"/>
    <w:rsid w:val="22440422"/>
    <w:rsid w:val="2A15053B"/>
    <w:rsid w:val="2C771A65"/>
    <w:rsid w:val="2F5450F9"/>
    <w:rsid w:val="31A15F24"/>
    <w:rsid w:val="31F05F1D"/>
    <w:rsid w:val="38966328"/>
    <w:rsid w:val="395347B5"/>
    <w:rsid w:val="39A232A0"/>
    <w:rsid w:val="39E745AA"/>
    <w:rsid w:val="3B5A6BBB"/>
    <w:rsid w:val="3EDA13A6"/>
    <w:rsid w:val="3F8E7D59"/>
    <w:rsid w:val="42F058B7"/>
    <w:rsid w:val="436109F6"/>
    <w:rsid w:val="43E617AB"/>
    <w:rsid w:val="441A38D4"/>
    <w:rsid w:val="4B0C287B"/>
    <w:rsid w:val="4BC77339"/>
    <w:rsid w:val="4C9236C5"/>
    <w:rsid w:val="505C172E"/>
    <w:rsid w:val="514951D3"/>
    <w:rsid w:val="52F46F0B"/>
    <w:rsid w:val="53D8014D"/>
    <w:rsid w:val="54322F51"/>
    <w:rsid w:val="55E064E0"/>
    <w:rsid w:val="572C6D10"/>
    <w:rsid w:val="5A0A227A"/>
    <w:rsid w:val="5DC34279"/>
    <w:rsid w:val="608816D1"/>
    <w:rsid w:val="60EF4E7F"/>
    <w:rsid w:val="637F7835"/>
    <w:rsid w:val="649B244D"/>
    <w:rsid w:val="665233C1"/>
    <w:rsid w:val="66EA1469"/>
    <w:rsid w:val="673A3B10"/>
    <w:rsid w:val="6AD9688B"/>
    <w:rsid w:val="6D0E3F22"/>
    <w:rsid w:val="74A54C22"/>
    <w:rsid w:val="7722255A"/>
    <w:rsid w:val="7834079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5">
    <w:name w:val="日期 字符"/>
    <w:basedOn w:val="11"/>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character" w:customStyle="1" w:styleId="1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3687</Words>
  <Characters>3739</Characters>
  <Lines>17</Lines>
  <Paragraphs>5</Paragraphs>
  <TotalTime>6</TotalTime>
  <ScaleCrop>false</ScaleCrop>
  <LinksUpToDate>false</LinksUpToDate>
  <CharactersWithSpaces>3778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2022-09-05T04:20:29Z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