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AB5C" w14:textId="77777777" w:rsidR="00305FA3" w:rsidRDefault="00305FA3" w:rsidP="00305FA3">
      <w:pPr>
        <w:widowControl/>
        <w:spacing w:line="360" w:lineRule="atLeast"/>
        <w:jc w:val="center"/>
        <w:rPr>
          <w:rFonts w:ascii="宋体" w:hAnsi="宋体" w:cs="Arial"/>
          <w:color w:val="000000"/>
          <w:kern w:val="0"/>
          <w:sz w:val="44"/>
          <w:szCs w:val="44"/>
        </w:rPr>
      </w:pPr>
    </w:p>
    <w:p w14:paraId="4E93F583" w14:textId="77777777" w:rsidR="00305FA3" w:rsidRDefault="00305FA3" w:rsidP="00305FA3">
      <w:pPr>
        <w:widowControl/>
        <w:spacing w:line="360" w:lineRule="atLeast"/>
        <w:jc w:val="center"/>
        <w:rPr>
          <w:rFonts w:ascii="宋体" w:hAnsi="宋体" w:cs="Arial"/>
          <w:color w:val="000000"/>
          <w:kern w:val="0"/>
          <w:sz w:val="44"/>
          <w:szCs w:val="44"/>
        </w:rPr>
      </w:pPr>
    </w:p>
    <w:p w14:paraId="619CD145" w14:textId="30C69D79" w:rsidR="00305FA3" w:rsidRPr="00305FA3" w:rsidRDefault="00305FA3" w:rsidP="00305FA3">
      <w:pPr>
        <w:widowControl/>
        <w:spacing w:line="360" w:lineRule="atLeast"/>
        <w:jc w:val="center"/>
        <w:rPr>
          <w:rFonts w:ascii="Arial" w:hAnsi="Arial" w:cs="Arial"/>
          <w:color w:val="000000"/>
          <w:kern w:val="0"/>
          <w:sz w:val="27"/>
          <w:szCs w:val="27"/>
        </w:rPr>
      </w:pPr>
      <w:r w:rsidRPr="00305FA3">
        <w:rPr>
          <w:rFonts w:ascii="宋体" w:hAnsi="宋体" w:cs="Arial" w:hint="eastAsia"/>
          <w:color w:val="000000"/>
          <w:kern w:val="0"/>
          <w:sz w:val="44"/>
          <w:szCs w:val="44"/>
        </w:rPr>
        <w:t>陕西省信访局</w:t>
      </w:r>
    </w:p>
    <w:p w14:paraId="58152EFD" w14:textId="77777777" w:rsidR="00305FA3" w:rsidRPr="00305FA3" w:rsidRDefault="00305FA3" w:rsidP="00305FA3">
      <w:pPr>
        <w:widowControl/>
        <w:spacing w:line="600" w:lineRule="atLeast"/>
        <w:jc w:val="center"/>
        <w:rPr>
          <w:rFonts w:ascii="Arial" w:hAnsi="Arial" w:cs="Arial"/>
          <w:color w:val="000000"/>
          <w:kern w:val="0"/>
          <w:sz w:val="27"/>
          <w:szCs w:val="27"/>
        </w:rPr>
      </w:pPr>
      <w:r w:rsidRPr="00305FA3">
        <w:rPr>
          <w:rFonts w:ascii="宋体" w:hAnsi="宋体" w:cs="Arial" w:hint="eastAsia"/>
          <w:color w:val="000000"/>
          <w:kern w:val="0"/>
          <w:sz w:val="44"/>
          <w:szCs w:val="44"/>
        </w:rPr>
        <w:t>关于印发</w:t>
      </w:r>
      <w:proofErr w:type="gramStart"/>
      <w:r w:rsidRPr="00305FA3">
        <w:rPr>
          <w:rFonts w:ascii="宋体" w:hAnsi="宋体" w:cs="Arial" w:hint="eastAsia"/>
          <w:color w:val="000000"/>
          <w:kern w:val="0"/>
          <w:sz w:val="44"/>
          <w:szCs w:val="44"/>
        </w:rPr>
        <w:t>《</w:t>
      </w:r>
      <w:proofErr w:type="gramEnd"/>
      <w:r w:rsidRPr="00305FA3">
        <w:rPr>
          <w:rFonts w:ascii="宋体" w:hAnsi="宋体" w:cs="Arial" w:hint="eastAsia"/>
          <w:color w:val="000000"/>
          <w:kern w:val="0"/>
          <w:sz w:val="44"/>
          <w:szCs w:val="44"/>
        </w:rPr>
        <w:t>陕西省群众来访接待工作规则</w:t>
      </w:r>
    </w:p>
    <w:p w14:paraId="3FB88178" w14:textId="77777777" w:rsidR="00305FA3" w:rsidRPr="00305FA3" w:rsidRDefault="00305FA3" w:rsidP="00305FA3">
      <w:pPr>
        <w:widowControl/>
        <w:spacing w:line="600" w:lineRule="atLeast"/>
        <w:jc w:val="center"/>
        <w:rPr>
          <w:rFonts w:ascii="Arial" w:hAnsi="Arial" w:cs="Arial"/>
          <w:color w:val="000000"/>
          <w:kern w:val="0"/>
          <w:sz w:val="27"/>
          <w:szCs w:val="27"/>
        </w:rPr>
      </w:pPr>
      <w:r w:rsidRPr="00305FA3">
        <w:rPr>
          <w:rFonts w:ascii="宋体" w:hAnsi="宋体" w:cs="Arial" w:hint="eastAsia"/>
          <w:color w:val="000000"/>
          <w:kern w:val="0"/>
          <w:sz w:val="44"/>
          <w:szCs w:val="44"/>
        </w:rPr>
        <w:t>（试行）</w:t>
      </w:r>
      <w:proofErr w:type="gramStart"/>
      <w:r w:rsidRPr="00305FA3">
        <w:rPr>
          <w:rFonts w:ascii="宋体" w:hAnsi="宋体" w:cs="Arial" w:hint="eastAsia"/>
          <w:color w:val="000000"/>
          <w:kern w:val="0"/>
          <w:sz w:val="44"/>
          <w:szCs w:val="44"/>
        </w:rPr>
        <w:t>》</w:t>
      </w:r>
      <w:proofErr w:type="gramEnd"/>
      <w:r w:rsidRPr="00305FA3">
        <w:rPr>
          <w:rFonts w:ascii="宋体" w:hAnsi="宋体" w:cs="Arial" w:hint="eastAsia"/>
          <w:color w:val="000000"/>
          <w:kern w:val="0"/>
          <w:sz w:val="44"/>
          <w:szCs w:val="44"/>
        </w:rPr>
        <w:t>的通知</w:t>
      </w:r>
    </w:p>
    <w:p w14:paraId="244B9F1A" w14:textId="77777777" w:rsidR="00305FA3" w:rsidRPr="00305FA3" w:rsidRDefault="00305FA3" w:rsidP="00305FA3">
      <w:pPr>
        <w:widowControl/>
        <w:spacing w:line="360" w:lineRule="atLeast"/>
        <w:jc w:val="center"/>
        <w:rPr>
          <w:rFonts w:ascii="Arial" w:hAnsi="Arial" w:cs="Arial"/>
          <w:color w:val="000000"/>
          <w:kern w:val="0"/>
          <w:sz w:val="27"/>
          <w:szCs w:val="27"/>
        </w:rPr>
      </w:pPr>
      <w:proofErr w:type="gramStart"/>
      <w:r w:rsidRPr="00305FA3">
        <w:rPr>
          <w:rFonts w:ascii="楷体_GB2312" w:eastAsia="楷体_GB2312" w:hAnsi="Arial" w:cs="Arial" w:hint="eastAsia"/>
          <w:color w:val="000000"/>
          <w:kern w:val="0"/>
          <w:sz w:val="32"/>
          <w:szCs w:val="32"/>
        </w:rPr>
        <w:t>陕信发</w:t>
      </w:r>
      <w:proofErr w:type="gramEnd"/>
      <w:r w:rsidRPr="00305FA3">
        <w:rPr>
          <w:rFonts w:ascii="楷体_GB2312" w:eastAsia="楷体_GB2312" w:hAnsi="Arial" w:cs="Arial" w:hint="eastAsia"/>
          <w:color w:val="000000"/>
          <w:kern w:val="0"/>
          <w:sz w:val="32"/>
          <w:szCs w:val="32"/>
        </w:rPr>
        <w:t>〔2022〕8号</w:t>
      </w:r>
    </w:p>
    <w:p w14:paraId="04237F5E" w14:textId="77777777" w:rsidR="00305FA3" w:rsidRPr="00305FA3" w:rsidRDefault="00305FA3" w:rsidP="00305FA3">
      <w:pPr>
        <w:widowControl/>
        <w:spacing w:line="600" w:lineRule="atLeast"/>
        <w:jc w:val="center"/>
        <w:rPr>
          <w:rFonts w:ascii="Arial" w:hAnsi="Arial" w:cs="Arial"/>
          <w:color w:val="000000"/>
          <w:kern w:val="0"/>
          <w:sz w:val="27"/>
          <w:szCs w:val="27"/>
        </w:rPr>
      </w:pPr>
    </w:p>
    <w:p w14:paraId="60D9E13C" w14:textId="77777777" w:rsidR="00305FA3" w:rsidRPr="00305FA3" w:rsidRDefault="00305FA3" w:rsidP="00305FA3">
      <w:pPr>
        <w:widowControl/>
        <w:spacing w:line="600" w:lineRule="atLeast"/>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各设区市、杨凌示范区、韩城市信访局，省直有关部门、中央驻陕有关单位和省属国有重点企业信访办(室)：</w:t>
      </w:r>
    </w:p>
    <w:p w14:paraId="7632971D" w14:textId="77551C7D"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为维护来访群众的合法权益，规范来访接待工作，提升来访接待服务水平，根据《</w:t>
      </w:r>
      <w:r w:rsidRPr="00305FA3">
        <w:rPr>
          <w:rFonts w:ascii="仿宋_GB2312" w:eastAsia="仿宋_GB2312" w:hAnsi="Arial" w:cs="Arial" w:hint="eastAsia"/>
          <w:kern w:val="0"/>
          <w:sz w:val="32"/>
          <w:szCs w:val="32"/>
        </w:rPr>
        <w:t>信访条例</w:t>
      </w:r>
      <w:r w:rsidRPr="00305FA3">
        <w:rPr>
          <w:rFonts w:ascii="仿宋_GB2312" w:eastAsia="仿宋_GB2312" w:hAnsi="Arial" w:cs="Arial" w:hint="eastAsia"/>
          <w:color w:val="000000"/>
          <w:kern w:val="0"/>
          <w:sz w:val="32"/>
          <w:szCs w:val="32"/>
        </w:rPr>
        <w:t>》和国家信访</w:t>
      </w:r>
      <w:proofErr w:type="gramStart"/>
      <w:r w:rsidRPr="00305FA3">
        <w:rPr>
          <w:rFonts w:ascii="仿宋_GB2312" w:eastAsia="仿宋_GB2312" w:hAnsi="Arial" w:cs="Arial" w:hint="eastAsia"/>
          <w:color w:val="000000"/>
          <w:kern w:val="0"/>
          <w:sz w:val="32"/>
          <w:szCs w:val="32"/>
        </w:rPr>
        <w:t>局相关</w:t>
      </w:r>
      <w:proofErr w:type="gramEnd"/>
      <w:r w:rsidRPr="00305FA3">
        <w:rPr>
          <w:rFonts w:ascii="仿宋_GB2312" w:eastAsia="仿宋_GB2312" w:hAnsi="Arial" w:cs="Arial" w:hint="eastAsia"/>
          <w:color w:val="000000"/>
          <w:kern w:val="0"/>
          <w:sz w:val="32"/>
          <w:szCs w:val="32"/>
        </w:rPr>
        <w:t>制度规定，结合我省信访工作实际，制定了《陕西省群众来访接待工作规则（试行）》，现予印发，请遵照执行。</w:t>
      </w:r>
    </w:p>
    <w:p w14:paraId="269D0323" w14:textId="77777777" w:rsidR="00305FA3" w:rsidRDefault="00305FA3" w:rsidP="00305FA3">
      <w:pPr>
        <w:widowControl/>
        <w:spacing w:line="600" w:lineRule="atLeast"/>
        <w:jc w:val="left"/>
        <w:rPr>
          <w:rFonts w:ascii="仿宋_GB2312" w:eastAsia="仿宋_GB2312" w:hAnsi="Arial" w:cs="Arial"/>
          <w:color w:val="000000"/>
          <w:kern w:val="0"/>
          <w:sz w:val="32"/>
          <w:szCs w:val="32"/>
        </w:rPr>
      </w:pP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p>
    <w:p w14:paraId="18281EC1" w14:textId="77777777" w:rsidR="00305FA3" w:rsidRDefault="00305FA3" w:rsidP="00305FA3">
      <w:pPr>
        <w:widowControl/>
        <w:spacing w:line="600" w:lineRule="atLeast"/>
        <w:jc w:val="left"/>
        <w:rPr>
          <w:rFonts w:ascii="仿宋_GB2312" w:eastAsia="仿宋_GB2312" w:hAnsi="Arial" w:cs="Arial"/>
          <w:color w:val="000000"/>
          <w:kern w:val="0"/>
          <w:sz w:val="32"/>
          <w:szCs w:val="32"/>
        </w:rPr>
      </w:pPr>
    </w:p>
    <w:p w14:paraId="0DDC3BE8" w14:textId="708E24D6" w:rsidR="00305FA3" w:rsidRPr="00305FA3" w:rsidRDefault="00305FA3" w:rsidP="00305FA3">
      <w:pPr>
        <w:widowControl/>
        <w:spacing w:line="600" w:lineRule="atLeast"/>
        <w:ind w:firstLineChars="1900" w:firstLine="6080"/>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陕西省信访局</w:t>
      </w:r>
    </w:p>
    <w:p w14:paraId="54F2FD3C" w14:textId="77777777" w:rsidR="00305FA3" w:rsidRPr="00305FA3" w:rsidRDefault="00305FA3" w:rsidP="00305FA3">
      <w:pPr>
        <w:widowControl/>
        <w:spacing w:line="600" w:lineRule="atLeast"/>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xml:space="preserve">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 </w:t>
      </w:r>
      <w:r w:rsidRPr="00305FA3">
        <w:rPr>
          <w:rFonts w:ascii="仿宋_GB2312" w:eastAsia="仿宋_GB2312" w:hAnsi="Arial" w:cs="Arial" w:hint="eastAsia"/>
          <w:color w:val="000000"/>
          <w:kern w:val="0"/>
          <w:sz w:val="32"/>
          <w:szCs w:val="32"/>
        </w:rPr>
        <w:t>2022年6月21日</w:t>
      </w:r>
    </w:p>
    <w:p w14:paraId="20872C40" w14:textId="77777777" w:rsidR="00305FA3" w:rsidRDefault="00305FA3" w:rsidP="00305FA3">
      <w:pPr>
        <w:widowControl/>
        <w:spacing w:line="600" w:lineRule="atLeast"/>
        <w:jc w:val="center"/>
        <w:rPr>
          <w:rFonts w:ascii="黑体" w:eastAsia="黑体" w:hAnsi="黑体" w:cs="Arial"/>
          <w:color w:val="000000"/>
          <w:kern w:val="0"/>
          <w:sz w:val="32"/>
          <w:szCs w:val="32"/>
        </w:rPr>
      </w:pPr>
    </w:p>
    <w:p w14:paraId="6A874A38" w14:textId="56309313" w:rsidR="00305FA3" w:rsidRPr="00305FA3" w:rsidRDefault="00305FA3" w:rsidP="00305FA3">
      <w:pPr>
        <w:widowControl/>
        <w:spacing w:line="600" w:lineRule="atLeast"/>
        <w:jc w:val="center"/>
        <w:rPr>
          <w:rFonts w:ascii="Arial" w:hAnsi="Arial" w:cs="Arial"/>
          <w:color w:val="000000"/>
          <w:kern w:val="0"/>
          <w:sz w:val="32"/>
          <w:szCs w:val="32"/>
        </w:rPr>
      </w:pPr>
      <w:r w:rsidRPr="00305FA3">
        <w:rPr>
          <w:rFonts w:ascii="黑体" w:eastAsia="黑体" w:hAnsi="黑体" w:cs="Arial" w:hint="eastAsia"/>
          <w:color w:val="000000"/>
          <w:kern w:val="0"/>
          <w:sz w:val="32"/>
          <w:szCs w:val="32"/>
        </w:rPr>
        <w:t>陕西省群众来访接待工作规则(试行)</w:t>
      </w:r>
    </w:p>
    <w:p w14:paraId="633723C7" w14:textId="77777777" w:rsidR="00305FA3" w:rsidRPr="00305FA3" w:rsidRDefault="00305FA3" w:rsidP="00305FA3">
      <w:pPr>
        <w:widowControl/>
        <w:shd w:val="clear" w:color="auto" w:fill="FFFFFF"/>
        <w:spacing w:line="360" w:lineRule="atLeast"/>
        <w:ind w:firstLine="1320"/>
        <w:jc w:val="left"/>
        <w:rPr>
          <w:rFonts w:ascii="Arial" w:hAnsi="Arial" w:cs="Arial"/>
          <w:color w:val="000000"/>
          <w:kern w:val="0"/>
          <w:sz w:val="27"/>
          <w:szCs w:val="27"/>
        </w:rPr>
      </w:pPr>
      <w:r w:rsidRPr="00305FA3">
        <w:rPr>
          <w:rFonts w:ascii="宋体" w:hAnsi="宋体" w:cs="Arial" w:hint="eastAsia"/>
          <w:b/>
          <w:bCs/>
          <w:color w:val="333333"/>
          <w:kern w:val="0"/>
          <w:sz w:val="44"/>
          <w:szCs w:val="44"/>
        </w:rPr>
        <w:t> </w:t>
      </w:r>
    </w:p>
    <w:p w14:paraId="5564768A" w14:textId="77777777" w:rsidR="00305FA3" w:rsidRPr="00305FA3" w:rsidRDefault="00305FA3" w:rsidP="00305FA3">
      <w:pPr>
        <w:widowControl/>
        <w:spacing w:line="600" w:lineRule="atLeast"/>
        <w:jc w:val="center"/>
        <w:rPr>
          <w:rFonts w:ascii="Arial" w:hAnsi="Arial" w:cs="Arial"/>
          <w:color w:val="000000"/>
          <w:kern w:val="0"/>
          <w:sz w:val="27"/>
          <w:szCs w:val="27"/>
        </w:rPr>
      </w:pPr>
      <w:r w:rsidRPr="00305FA3">
        <w:rPr>
          <w:rFonts w:ascii="黑体" w:eastAsia="黑体" w:hAnsi="黑体" w:cs="Arial" w:hint="eastAsia"/>
          <w:color w:val="000000"/>
          <w:kern w:val="0"/>
          <w:sz w:val="32"/>
          <w:szCs w:val="32"/>
        </w:rPr>
        <w:lastRenderedPageBreak/>
        <w:t>第一章</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xml:space="preserve"> 总</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xml:space="preserve"> 则</w:t>
      </w:r>
    </w:p>
    <w:p w14:paraId="0A245F88"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第一条 为进一步深化依法逐级走访工作，提升来访接待工作规范化、专业化、精准化水平，依据《信访条例》和《陕西省关于进一步规范来访事项受理办理程序，引导来访人依法逐级走访的办法》《国家信访局信访事项网上办理工作规则（试行）》《国家信访局信访事项办理群众满意度评价工作办法》《国家信访局依法分类处理信访事项工作规则》《国家信访局关于概况要素及录入规则等八项业务规则的通知》等有关规定，特制定本规则。</w:t>
      </w:r>
    </w:p>
    <w:p w14:paraId="30719E41"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第二条 本规则适用于陕西省信访接待部门接谈、登记、疏导、办理、督查督办、信息综合等业务。</w:t>
      </w:r>
    </w:p>
    <w:p w14:paraId="11D0DFC9"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第三条 工作原则：坚持逐级走访、</w:t>
      </w:r>
      <w:proofErr w:type="gramStart"/>
      <w:r w:rsidRPr="00305FA3">
        <w:rPr>
          <w:rFonts w:ascii="仿宋_GB2312" w:eastAsia="仿宋_GB2312" w:hAnsi="Arial" w:cs="Arial" w:hint="eastAsia"/>
          <w:color w:val="000000"/>
          <w:kern w:val="0"/>
          <w:sz w:val="32"/>
          <w:szCs w:val="32"/>
        </w:rPr>
        <w:t>坚持诉访分离</w:t>
      </w:r>
      <w:proofErr w:type="gramEnd"/>
      <w:r w:rsidRPr="00305FA3">
        <w:rPr>
          <w:rFonts w:ascii="仿宋_GB2312" w:eastAsia="仿宋_GB2312" w:hAnsi="Arial" w:cs="Arial" w:hint="eastAsia"/>
          <w:color w:val="000000"/>
          <w:kern w:val="0"/>
          <w:sz w:val="32"/>
          <w:szCs w:val="32"/>
        </w:rPr>
        <w:t>、坚持依法分类、坚持服务群众。</w:t>
      </w:r>
    </w:p>
    <w:p w14:paraId="1525D007" w14:textId="77777777" w:rsidR="00305FA3" w:rsidRPr="00305FA3" w:rsidRDefault="00305FA3" w:rsidP="00305FA3">
      <w:pPr>
        <w:widowControl/>
        <w:spacing w:line="600" w:lineRule="atLeast"/>
        <w:jc w:val="center"/>
        <w:rPr>
          <w:rFonts w:ascii="Arial" w:hAnsi="Arial" w:cs="Arial"/>
          <w:color w:val="000000"/>
          <w:kern w:val="0"/>
          <w:sz w:val="27"/>
          <w:szCs w:val="27"/>
        </w:rPr>
      </w:pPr>
      <w:r w:rsidRPr="00305FA3">
        <w:rPr>
          <w:rFonts w:ascii="黑体" w:eastAsia="黑体" w:hAnsi="黑体" w:cs="Arial" w:hint="eastAsia"/>
          <w:color w:val="000000"/>
          <w:kern w:val="0"/>
          <w:sz w:val="32"/>
          <w:szCs w:val="32"/>
        </w:rPr>
        <w:t>第二章</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xml:space="preserve"> 接</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xml:space="preserve"> 谈</w:t>
      </w:r>
    </w:p>
    <w:p w14:paraId="66AA643F"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第四条 认真负责地做好接谈工作。群众来访时，要热情文明接待、使用文明用语，要耐心细致地听取群众反映的问题。切实做到热情周到、用语文明、接谈认真、办理规范，为网上登记录入、转送交办、受理办理、核查督办、信息综合等工作打好基础。接谈时要做好以下工作：</w:t>
      </w:r>
    </w:p>
    <w:p w14:paraId="31D4BE92"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lastRenderedPageBreak/>
        <w:t>（一）来访群众进入</w:t>
      </w:r>
      <w:proofErr w:type="gramStart"/>
      <w:r w:rsidRPr="00305FA3">
        <w:rPr>
          <w:rFonts w:ascii="仿宋_GB2312" w:eastAsia="仿宋_GB2312" w:hAnsi="Arial" w:cs="Arial" w:hint="eastAsia"/>
          <w:color w:val="000000"/>
          <w:kern w:val="0"/>
          <w:sz w:val="32"/>
          <w:szCs w:val="32"/>
        </w:rPr>
        <w:t>接谈室</w:t>
      </w:r>
      <w:proofErr w:type="gramEnd"/>
      <w:r w:rsidRPr="00305FA3">
        <w:rPr>
          <w:rFonts w:ascii="仿宋_GB2312" w:eastAsia="仿宋_GB2312" w:hAnsi="Arial" w:cs="Arial" w:hint="eastAsia"/>
          <w:color w:val="000000"/>
          <w:kern w:val="0"/>
          <w:sz w:val="32"/>
          <w:szCs w:val="32"/>
        </w:rPr>
        <w:t>时，接待人员要主动问好，请群众就座。</w:t>
      </w:r>
    </w:p>
    <w:p w14:paraId="499FC047"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（二）认真核对来访群众的姓名、住址、问题发生地等基本信息，确保准确无误。</w:t>
      </w:r>
    </w:p>
    <w:p w14:paraId="10A04A73"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（三）耐心听取诉求、查阅来访材料，通过针对性地询问，引导来访群众讲清问题和诉求，重点了解其信访事项程序性、实体性受理办理情况。</w:t>
      </w:r>
    </w:p>
    <w:p w14:paraId="7054CB68"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（四）准确甄别群众反映的诉求。要根据来访群众反映的情况，在做好思想疏导和情绪</w:t>
      </w:r>
      <w:proofErr w:type="gramStart"/>
      <w:r w:rsidRPr="00305FA3">
        <w:rPr>
          <w:rFonts w:ascii="仿宋_GB2312" w:eastAsia="仿宋_GB2312" w:hAnsi="Arial" w:cs="Arial" w:hint="eastAsia"/>
          <w:color w:val="000000"/>
          <w:kern w:val="0"/>
          <w:sz w:val="32"/>
          <w:szCs w:val="32"/>
        </w:rPr>
        <w:t>纾</w:t>
      </w:r>
      <w:proofErr w:type="gramEnd"/>
      <w:r w:rsidRPr="00305FA3">
        <w:rPr>
          <w:rFonts w:ascii="仿宋_GB2312" w:eastAsia="仿宋_GB2312" w:hAnsi="Arial" w:cs="Arial" w:hint="eastAsia"/>
          <w:color w:val="000000"/>
          <w:kern w:val="0"/>
          <w:sz w:val="32"/>
          <w:szCs w:val="32"/>
        </w:rPr>
        <w:t>解的基础上，重点做好信访诉求的甄别工作。同时要宣传《信访条例》，告知信访事项受理的范围、途径、时限以及应该向谁提出。</w:t>
      </w:r>
    </w:p>
    <w:p w14:paraId="000C4660"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五）全面详细记录来访情况。主要包括：①来访事项基本情况。包括时间、地点、人物、原因、过程和结果；来访群众的具体诉求；来访群众提出诉求的依据（有来访材料的，要及时收集并扫描到陕西省网上信访信息系统）。②来访群众信访情况。包括来访群众信访的过程；有关责任主体受理、办理、答复的情况；有关责任主体在受理办理中存在的问题。③本次接待处理的情况。包括选择办理的方式及选择的依据；告</w:t>
      </w:r>
      <w:r w:rsidRPr="00305FA3">
        <w:rPr>
          <w:rFonts w:ascii="仿宋_GB2312" w:eastAsia="仿宋_GB2312" w:hAnsi="Arial" w:cs="Arial" w:hint="eastAsia"/>
          <w:color w:val="000000"/>
          <w:kern w:val="0"/>
          <w:sz w:val="32"/>
          <w:szCs w:val="32"/>
        </w:rPr>
        <w:lastRenderedPageBreak/>
        <w:t>知来访群众的内容；对有关责任主体后续工作提出的具体要求。</w:t>
      </w:r>
    </w:p>
    <w:p w14:paraId="71F4926F"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（六）接谈结束后，</w:t>
      </w:r>
      <w:proofErr w:type="gramStart"/>
      <w:r w:rsidRPr="00305FA3">
        <w:rPr>
          <w:rFonts w:ascii="仿宋_GB2312" w:eastAsia="仿宋_GB2312" w:hAnsi="Arial" w:cs="Arial" w:hint="eastAsia"/>
          <w:color w:val="000000"/>
          <w:kern w:val="0"/>
          <w:sz w:val="32"/>
          <w:szCs w:val="32"/>
        </w:rPr>
        <w:t>接谈员</w:t>
      </w:r>
      <w:proofErr w:type="gramEnd"/>
      <w:r w:rsidRPr="00305FA3">
        <w:rPr>
          <w:rFonts w:ascii="仿宋_GB2312" w:eastAsia="仿宋_GB2312" w:hAnsi="Arial" w:cs="Arial" w:hint="eastAsia"/>
          <w:color w:val="000000"/>
          <w:kern w:val="0"/>
          <w:sz w:val="32"/>
          <w:szCs w:val="32"/>
        </w:rPr>
        <w:t>应根据《国家信访局信访事项办理群众满意度评价工作办法》规定，对符合满意度评价的来访件，主动邀请来访群众对接待工作进行满意度评价。</w:t>
      </w:r>
    </w:p>
    <w:p w14:paraId="4EA2AA0E" w14:textId="77777777" w:rsidR="00305FA3" w:rsidRPr="00305FA3" w:rsidRDefault="00305FA3" w:rsidP="00305FA3">
      <w:pPr>
        <w:widowControl/>
        <w:spacing w:line="600" w:lineRule="atLeast"/>
        <w:jc w:val="center"/>
        <w:rPr>
          <w:rFonts w:ascii="Arial" w:hAnsi="Arial" w:cs="Arial"/>
          <w:color w:val="000000"/>
          <w:kern w:val="0"/>
          <w:sz w:val="27"/>
          <w:szCs w:val="27"/>
        </w:rPr>
      </w:pPr>
      <w:r w:rsidRPr="00305FA3">
        <w:rPr>
          <w:rFonts w:ascii="黑体" w:eastAsia="黑体" w:hAnsi="黑体" w:cs="Arial" w:hint="eastAsia"/>
          <w:color w:val="000000"/>
          <w:kern w:val="0"/>
          <w:sz w:val="32"/>
          <w:szCs w:val="32"/>
        </w:rPr>
        <w:t>第三章</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xml:space="preserve"> 登</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xml:space="preserve"> 记</w:t>
      </w:r>
    </w:p>
    <w:p w14:paraId="5162BAC5"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第五条 来访事项应及时、全面、客观、准确登记录入到陕西省网上信访信息系统，做到关联准确、填写规范、记录详实。</w:t>
      </w:r>
    </w:p>
    <w:p w14:paraId="53A3EFAE"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第六条 判重。在登记录入来访事项时，应根据来访群众的基本信息和提出的诉求进行判重。</w:t>
      </w:r>
    </w:p>
    <w:p w14:paraId="532ED76D"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（一）来访群众的基本信息和提出的诉求与系统中已登记</w:t>
      </w:r>
      <w:proofErr w:type="gramStart"/>
      <w:r w:rsidRPr="00305FA3">
        <w:rPr>
          <w:rFonts w:ascii="仿宋_GB2312" w:eastAsia="仿宋_GB2312" w:hAnsi="Arial" w:cs="Arial" w:hint="eastAsia"/>
          <w:color w:val="000000"/>
          <w:kern w:val="0"/>
          <w:sz w:val="32"/>
          <w:szCs w:val="32"/>
        </w:rPr>
        <w:t>件相同</w:t>
      </w:r>
      <w:proofErr w:type="gramEnd"/>
      <w:r w:rsidRPr="00305FA3">
        <w:rPr>
          <w:rFonts w:ascii="仿宋_GB2312" w:eastAsia="仿宋_GB2312" w:hAnsi="Arial" w:cs="Arial" w:hint="eastAsia"/>
          <w:color w:val="000000"/>
          <w:kern w:val="0"/>
          <w:sz w:val="32"/>
          <w:szCs w:val="32"/>
        </w:rPr>
        <w:t>的，应判定为相同信访事项，并与已登记件进行关联，后进行补充完善。</w:t>
      </w:r>
    </w:p>
    <w:p w14:paraId="470B5C0B"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若系统中有多条已登记件，应按以下顺序优先关联:①有司法文书的；②有处理（复查、复核）意见的；③有行政处理决定文书的；④有不予（不再）受理告知书的；⑤有责任主体或信访部门汇报件的。</w:t>
      </w:r>
    </w:p>
    <w:p w14:paraId="19D6FDF8"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lastRenderedPageBreak/>
        <w:t>若均未有录入以上材料的，应按照以下顺序优先关联：①省、市、县来访接待部门最近一次接待登记的；②省、市、</w:t>
      </w:r>
      <w:proofErr w:type="gramStart"/>
      <w:r w:rsidRPr="00305FA3">
        <w:rPr>
          <w:rFonts w:ascii="仿宋_GB2312" w:eastAsia="仿宋_GB2312" w:hAnsi="Arial" w:cs="Arial" w:hint="eastAsia"/>
          <w:color w:val="000000"/>
          <w:kern w:val="0"/>
          <w:sz w:val="32"/>
          <w:szCs w:val="32"/>
        </w:rPr>
        <w:t>县业务</w:t>
      </w:r>
      <w:proofErr w:type="gramEnd"/>
      <w:r w:rsidRPr="00305FA3">
        <w:rPr>
          <w:rFonts w:ascii="仿宋_GB2312" w:eastAsia="仿宋_GB2312" w:hAnsi="Arial" w:cs="Arial" w:hint="eastAsia"/>
          <w:color w:val="000000"/>
          <w:kern w:val="0"/>
          <w:sz w:val="32"/>
          <w:szCs w:val="32"/>
        </w:rPr>
        <w:t>处、科、室最近一次登记的；③各级行政部门最近一次登记的。</w:t>
      </w:r>
    </w:p>
    <w:p w14:paraId="67D9E31D"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（二）对60日内重复来访反映相同信访事项的，在系统中直</w:t>
      </w:r>
      <w:proofErr w:type="gramStart"/>
      <w:r w:rsidRPr="00305FA3">
        <w:rPr>
          <w:rFonts w:ascii="仿宋_GB2312" w:eastAsia="仿宋_GB2312" w:hAnsi="Arial" w:cs="Arial" w:hint="eastAsia"/>
          <w:color w:val="000000"/>
          <w:kern w:val="0"/>
          <w:sz w:val="32"/>
          <w:szCs w:val="32"/>
        </w:rPr>
        <w:t>接选择</w:t>
      </w:r>
      <w:proofErr w:type="gramEnd"/>
      <w:r w:rsidRPr="00305FA3">
        <w:rPr>
          <w:rFonts w:ascii="仿宋_GB2312" w:eastAsia="仿宋_GB2312" w:hAnsi="Arial" w:cs="Arial" w:hint="eastAsia"/>
          <w:color w:val="000000"/>
          <w:kern w:val="0"/>
          <w:sz w:val="32"/>
          <w:szCs w:val="32"/>
        </w:rPr>
        <w:t>“相同信访事项”点击确定；反映不同信访事项的，应重新登记录入。</w:t>
      </w:r>
    </w:p>
    <w:p w14:paraId="2CEACF70"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第七条 初次信访事项的录入。</w:t>
      </w:r>
      <w:proofErr w:type="gramStart"/>
      <w:r w:rsidRPr="00305FA3">
        <w:rPr>
          <w:rFonts w:ascii="仿宋_GB2312" w:eastAsia="仿宋_GB2312" w:hAnsi="Arial" w:cs="Arial" w:hint="eastAsia"/>
          <w:color w:val="000000"/>
          <w:kern w:val="0"/>
          <w:sz w:val="32"/>
          <w:szCs w:val="32"/>
        </w:rPr>
        <w:t>经判重</w:t>
      </w:r>
      <w:proofErr w:type="gramEnd"/>
      <w:r w:rsidRPr="00305FA3">
        <w:rPr>
          <w:rFonts w:ascii="仿宋_GB2312" w:eastAsia="仿宋_GB2312" w:hAnsi="Arial" w:cs="Arial" w:hint="eastAsia"/>
          <w:color w:val="000000"/>
          <w:kern w:val="0"/>
          <w:sz w:val="32"/>
          <w:szCs w:val="32"/>
        </w:rPr>
        <w:t>后，无信访记录或提出的诉求与已登记件不相同的，应作为初次信访事项准确进行录入。</w:t>
      </w:r>
    </w:p>
    <w:p w14:paraId="4724D7D9"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（一）信访人的信息。应根据来访群众提供的有效信息准确录入姓名、证件类型、证件号码、住址、手机号码。其中，住址应根据有效证件详细录入，来访人数多于1人的，要添加随访人信息。</w:t>
      </w:r>
    </w:p>
    <w:p w14:paraId="6B7989B4"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（二）内容分类。根据来访事项的主要内容选择相应的内容分类项，能归入具体分类的</w:t>
      </w:r>
      <w:proofErr w:type="gramStart"/>
      <w:r w:rsidRPr="00305FA3">
        <w:rPr>
          <w:rFonts w:ascii="仿宋_GB2312" w:eastAsia="仿宋_GB2312" w:hAnsi="Arial" w:cs="Arial" w:hint="eastAsia"/>
          <w:color w:val="000000"/>
          <w:kern w:val="0"/>
          <w:sz w:val="32"/>
          <w:szCs w:val="32"/>
        </w:rPr>
        <w:t>不</w:t>
      </w:r>
      <w:proofErr w:type="gramEnd"/>
      <w:r w:rsidRPr="00305FA3">
        <w:rPr>
          <w:rFonts w:ascii="仿宋_GB2312" w:eastAsia="仿宋_GB2312" w:hAnsi="Arial" w:cs="Arial" w:hint="eastAsia"/>
          <w:color w:val="000000"/>
          <w:kern w:val="0"/>
          <w:sz w:val="32"/>
          <w:szCs w:val="32"/>
        </w:rPr>
        <w:t>应选择“其他”。</w:t>
      </w:r>
    </w:p>
    <w:p w14:paraId="30A4B17B"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（三）信访目的。包括意见建议、申诉、求决、揭发控告和其他。①意见建议，适用于对党和国家方针政策提出的主张和意见，对国家政治、经济、文化、社会、生态文明等表达的</w:t>
      </w:r>
      <w:r w:rsidRPr="00305FA3">
        <w:rPr>
          <w:rFonts w:ascii="仿宋_GB2312" w:eastAsia="仿宋_GB2312" w:hAnsi="Arial" w:cs="Arial" w:hint="eastAsia"/>
          <w:color w:val="000000"/>
          <w:kern w:val="0"/>
          <w:sz w:val="32"/>
          <w:szCs w:val="32"/>
        </w:rPr>
        <w:lastRenderedPageBreak/>
        <w:t>意见、建议。②申诉，适用于不服各级法院判决、裁定及公检法司机</w:t>
      </w:r>
      <w:proofErr w:type="gramStart"/>
      <w:r w:rsidRPr="00305FA3">
        <w:rPr>
          <w:rFonts w:ascii="仿宋_GB2312" w:eastAsia="仿宋_GB2312" w:hAnsi="Arial" w:cs="Arial" w:hint="eastAsia"/>
          <w:color w:val="000000"/>
          <w:kern w:val="0"/>
          <w:sz w:val="32"/>
          <w:szCs w:val="32"/>
        </w:rPr>
        <w:t>关做出</w:t>
      </w:r>
      <w:proofErr w:type="gramEnd"/>
      <w:r w:rsidRPr="00305FA3">
        <w:rPr>
          <w:rFonts w:ascii="仿宋_GB2312" w:eastAsia="仿宋_GB2312" w:hAnsi="Arial" w:cs="Arial" w:hint="eastAsia"/>
          <w:color w:val="000000"/>
          <w:kern w:val="0"/>
          <w:sz w:val="32"/>
          <w:szCs w:val="32"/>
        </w:rPr>
        <w:t>的决定，行政复议、仲裁，党纪政纪处分等，提出改变或纠正的要求。③求决，适用于依照法定职责属于各级人民政府或者其工作部门处理决定的来访事项。④揭发控告，适用于对各级党政机关、具有管理公共事务职能的组织、提供公共服务的企事业单位、社会团体、村（居）两委等组织及其工作人员违法违纪行为的举报，选择后会弹出“被反映人或单位”信息表，需填写级别、职务、住址等信息。⑤其他，适用于无法按上述内容进行归类的情况，如咨询、表扬等。</w:t>
      </w:r>
    </w:p>
    <w:p w14:paraId="39399586"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四）问题属地。指来访人反映问题的发生地或有权处理来访事项的部门（单位）。①属于中央国家机关、军队（武警）、中央垂直管理单位、中央管理的大型国有企业有权处理的来访事项，问题属地登记为具体部门（单位）名称。系统中没有该具体部门（单位）名称的，选择其上级部门（单位）名称。②属于省级有权处理的，问题属地登记为该省行政区划名称。③属于市（区）级有权处理的，问题属地登记为该省、市（区）行政区划名称。④属于县（市、区）一级及以下有权处理的，问题属地登记为该省、市（区）、县（市、区）行政区划名称。⑤系统中没有的问题发生地，应认真核实后手工录</w:t>
      </w:r>
      <w:r w:rsidRPr="00305FA3">
        <w:rPr>
          <w:rFonts w:ascii="仿宋_GB2312" w:eastAsia="仿宋_GB2312" w:hAnsi="Arial" w:cs="Arial" w:hint="eastAsia"/>
          <w:color w:val="000000"/>
          <w:kern w:val="0"/>
          <w:sz w:val="32"/>
          <w:szCs w:val="32"/>
        </w:rPr>
        <w:lastRenderedPageBreak/>
        <w:t>入。⑥系统默认的问题属地为信访人住址，如问题属地与地址不一致，需手动修改。</w:t>
      </w:r>
    </w:p>
    <w:p w14:paraId="712A0759"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（五）人数。系统内人数录入时，应核对来访登记表人数与实际来访人数，以实际来访人数为准。</w:t>
      </w:r>
    </w:p>
    <w:p w14:paraId="7468E115"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六）热点问题。包括：房地产领域、金融领域、脱贫攻坚、农村土地征用、城镇房屋拆迁、国有企业改制、农民工工资、环境保护、民办教师、退役军人、涉众性经济案件利益受损。如来访人反映的信访事项不属于上述热点，可不做选择。</w:t>
      </w:r>
    </w:p>
    <w:p w14:paraId="768FD74A"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（七）信访日期。以来访当日为准录入。</w:t>
      </w:r>
    </w:p>
    <w:p w14:paraId="07432B0C"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八）概况。用于记录来访事项的主要事实、主要诉求、主要理由。一般应包含来访事项发生的时间和地点、涉及的人物、产生问题的原因、事情经过和结果，对来访事项的甄别认定，以及来访人的信访情况，来访事项的调查处理情况，包括对来访人的告知情况，选择教育疏导方式的依据，指明路径情况等。</w:t>
      </w:r>
    </w:p>
    <w:p w14:paraId="36D713E5"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（九）备注。记录需要信访部门掌握但不需要告知群众或有关责任主体的信息。</w:t>
      </w:r>
    </w:p>
    <w:p w14:paraId="74231C4B"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（十）登记录入完毕后，应与来访人核对登记内容，切实做到准确无误。</w:t>
      </w:r>
    </w:p>
    <w:p w14:paraId="02015CDD"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lastRenderedPageBreak/>
        <w:t>第八条 反映诉求一般应当本人来访。本人不能来访的，代理人需出具委托人合法的书面授权，按照委托人反映诉求进行登记处理，并将书面授权书扫描录入系统，在概况中记录代理人的情况。无书面授权委托的，一般不予登记。</w:t>
      </w:r>
    </w:p>
    <w:p w14:paraId="09544841"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第九条 对于集体来访，登录包含代表在内的不少于3个来访人身份信息，并在概况中予以说明。同时将《来访集体访登记表》扫描录入系统。对携带他人身份证登记的个体访，一般按实际到达登记窗口的来访人数登录。</w:t>
      </w:r>
    </w:p>
    <w:p w14:paraId="0164A16A"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第十条 来访人反映多个信访事项的，一般应一并登记处理；若多个信访事项问题属地不同，应填写问题发生地或有权处理部门（单位）的共同上级；若无共同上级，应作为不同信访事项，分别登记处理。</w:t>
      </w:r>
    </w:p>
    <w:p w14:paraId="0C9101AB" w14:textId="77777777" w:rsidR="00305FA3" w:rsidRPr="00305FA3" w:rsidRDefault="00305FA3" w:rsidP="00305FA3">
      <w:pPr>
        <w:widowControl/>
        <w:spacing w:line="600" w:lineRule="atLeast"/>
        <w:jc w:val="center"/>
        <w:rPr>
          <w:rFonts w:ascii="Arial" w:hAnsi="Arial" w:cs="Arial"/>
          <w:color w:val="000000"/>
          <w:kern w:val="0"/>
          <w:sz w:val="27"/>
          <w:szCs w:val="27"/>
        </w:rPr>
      </w:pPr>
      <w:r w:rsidRPr="00305FA3">
        <w:rPr>
          <w:rFonts w:ascii="黑体" w:eastAsia="黑体" w:hAnsi="黑体" w:cs="Arial" w:hint="eastAsia"/>
          <w:color w:val="000000"/>
          <w:kern w:val="0"/>
          <w:sz w:val="32"/>
          <w:szCs w:val="32"/>
        </w:rPr>
        <w:t>第四章</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xml:space="preserve"> 疏</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xml:space="preserve"> 导</w:t>
      </w:r>
    </w:p>
    <w:p w14:paraId="31F9C11D"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第十一条 来访接谈登记后，应区分情况，对来访人进行疏导分流。</w:t>
      </w:r>
    </w:p>
    <w:p w14:paraId="55723241"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（一）对以下来访事项，在认真接谈登记后，应依据《信访条例》和《依法分类处理信访诉求工作规则》的规定疏导分流。</w:t>
      </w:r>
    </w:p>
    <w:p w14:paraId="18FECDD1"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lastRenderedPageBreak/>
        <w:t>1、涉法涉诉事项。①属于人大、法院、检察院、公安、司法法定职权范围的。一般包括：对法律、法规、决议、决定和人大、法院、检察院的意见建议；对公、检、法、司等国家机关</w:t>
      </w:r>
      <w:proofErr w:type="gramStart"/>
      <w:r w:rsidRPr="00305FA3">
        <w:rPr>
          <w:rFonts w:ascii="仿宋_GB2312" w:eastAsia="仿宋_GB2312" w:hAnsi="Arial" w:cs="Arial" w:hint="eastAsia"/>
          <w:color w:val="000000"/>
          <w:kern w:val="0"/>
          <w:sz w:val="32"/>
          <w:szCs w:val="32"/>
        </w:rPr>
        <w:t>作出</w:t>
      </w:r>
      <w:proofErr w:type="gramEnd"/>
      <w:r w:rsidRPr="00305FA3">
        <w:rPr>
          <w:rFonts w:ascii="仿宋_GB2312" w:eastAsia="仿宋_GB2312" w:hAnsi="Arial" w:cs="Arial" w:hint="eastAsia"/>
          <w:color w:val="000000"/>
          <w:kern w:val="0"/>
          <w:sz w:val="32"/>
          <w:szCs w:val="32"/>
        </w:rPr>
        <w:t>的司法文书的申诉；对公、检、法、司机关工作人员执法行为的控告；对刑事犯罪的控告等。②应当通过司法诉讼、仲裁、行政复议途径解决的，一般包括：应当通过司法诉讼途径解决的民商事纠纷等；应当通过仲裁途径解决的民事、劳动、合同纠纷等；应当通过行政复议途径解决的对具体行政行为（行政决定、行政裁决、行政处罚）的申诉等。</w:t>
      </w:r>
    </w:p>
    <w:p w14:paraId="022A9B7A"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对于涉法涉诉信访事项，应告知来访人党政机关信访部门不受理、不协调、</w:t>
      </w:r>
      <w:proofErr w:type="gramStart"/>
      <w:r w:rsidRPr="00305FA3">
        <w:rPr>
          <w:rFonts w:ascii="仿宋_GB2312" w:eastAsia="仿宋_GB2312" w:hAnsi="Arial" w:cs="Arial" w:hint="eastAsia"/>
          <w:color w:val="000000"/>
          <w:kern w:val="0"/>
          <w:sz w:val="32"/>
          <w:szCs w:val="32"/>
        </w:rPr>
        <w:t>不</w:t>
      </w:r>
      <w:proofErr w:type="gramEnd"/>
      <w:r w:rsidRPr="00305FA3">
        <w:rPr>
          <w:rFonts w:ascii="仿宋_GB2312" w:eastAsia="仿宋_GB2312" w:hAnsi="Arial" w:cs="Arial" w:hint="eastAsia"/>
          <w:color w:val="000000"/>
          <w:kern w:val="0"/>
          <w:sz w:val="32"/>
          <w:szCs w:val="32"/>
        </w:rPr>
        <w:t>督办，来访人应依照有关法律规定和程序向各级人大、公检法司等国家机关提出。设有访前法律咨询中心或法律咨询服务室，应安排专业律师为来访人提供法律咨询和服务。</w:t>
      </w:r>
    </w:p>
    <w:p w14:paraId="379B54EA"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2、复查复核信访事项。①超期未申请复查（复核）的，仅指：系统中已录入处理（复查）意见、来访人承认收到，或来访材料中写明已有相应处理（复查）意见，但来访人无正当理由超过规定期限未申请复查（复核）的事项。②以省级人民政府（或省级政府复查复核机构）名义做出复查、复核意见的事</w:t>
      </w:r>
      <w:r w:rsidRPr="00305FA3">
        <w:rPr>
          <w:rFonts w:ascii="仿宋_GB2312" w:eastAsia="仿宋_GB2312" w:hAnsi="Arial" w:cs="Arial" w:hint="eastAsia"/>
          <w:color w:val="000000"/>
          <w:kern w:val="0"/>
          <w:sz w:val="32"/>
          <w:szCs w:val="32"/>
        </w:rPr>
        <w:lastRenderedPageBreak/>
        <w:t>项。③省级以下行政机关</w:t>
      </w:r>
      <w:proofErr w:type="gramStart"/>
      <w:r w:rsidRPr="00305FA3">
        <w:rPr>
          <w:rFonts w:ascii="仿宋_GB2312" w:eastAsia="仿宋_GB2312" w:hAnsi="Arial" w:cs="Arial" w:hint="eastAsia"/>
          <w:color w:val="000000"/>
          <w:kern w:val="0"/>
          <w:sz w:val="32"/>
          <w:szCs w:val="32"/>
        </w:rPr>
        <w:t>作出</w:t>
      </w:r>
      <w:proofErr w:type="gramEnd"/>
      <w:r w:rsidRPr="00305FA3">
        <w:rPr>
          <w:rFonts w:ascii="仿宋_GB2312" w:eastAsia="仿宋_GB2312" w:hAnsi="Arial" w:cs="Arial" w:hint="eastAsia"/>
          <w:color w:val="000000"/>
          <w:kern w:val="0"/>
          <w:sz w:val="32"/>
          <w:szCs w:val="32"/>
        </w:rPr>
        <w:t>复核意见的事项。④2005年5月1日以前已办结的。</w:t>
      </w:r>
    </w:p>
    <w:p w14:paraId="5D155453"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对复查复核信访事项，应告知来访人超期未申请复查复核或已复核的，不再受理。</w:t>
      </w:r>
    </w:p>
    <w:p w14:paraId="1650D14B"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3、多次重复走访的信访事项。①60日内的重复来访。②来访人重复来访且提出的信访事项正在办理期限内。③来访人重复来访且已收到处理（复查）意见并在申请复查（复核）期限内。</w:t>
      </w:r>
    </w:p>
    <w:p w14:paraId="3579D542"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对上述事项，在告知来访人有权处理的机关和办理程序的同时，应分别告知：①60日内以同一事实和理由反映问题，应不予受理并登记；②在规定期限内向指定的复查（复核）机关提出复查（复核）申请。</w:t>
      </w:r>
    </w:p>
    <w:p w14:paraId="1DF7027F"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4、对涉及揭发控告的来访事项，应按照干部管理权限，转送相关纪检监委处理。</w:t>
      </w:r>
    </w:p>
    <w:p w14:paraId="28277A7C"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（二）对于以下来访事项，应详细接待了解情况，履行好转送、交办、督办的职责。</w:t>
      </w:r>
    </w:p>
    <w:p w14:paraId="0D92B14E"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1.属于受理范围的。①对属于本级人民政府及其工作人员的职务行为反映情况，提出意见、建议，或者不服其职务行为的；②对属于下一级人民政府（组织）及其工作人员的职务行</w:t>
      </w:r>
      <w:r w:rsidRPr="00305FA3">
        <w:rPr>
          <w:rFonts w:ascii="仿宋_GB2312" w:eastAsia="仿宋_GB2312" w:hAnsi="Arial" w:cs="Arial" w:hint="eastAsia"/>
          <w:color w:val="000000"/>
          <w:kern w:val="0"/>
          <w:sz w:val="32"/>
          <w:szCs w:val="32"/>
        </w:rPr>
        <w:lastRenderedPageBreak/>
        <w:t>为反映情况，提出意见、建议，或者不服其职务行为的；③已经有权处理机关受理，但超出《信访条例》规定的办理期限，来访人称未收到，系统中也未录入处理（复查、复核）意见，或者处理（复查、复核）意见未落实的。</w:t>
      </w:r>
    </w:p>
    <w:p w14:paraId="4FA8B109"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2、因本级或下一级信访工作程序不规范造成群众重复或越级的信访事项。①未按要求登记信访事项的（来访人持有有关告知书、答复意见书等信访文书，但系统中没有相关登记）；②未按规定工作程序告知的；③未按规定工作程序办理的（未及时转送、交办、督办）；④未及时规范送达答复意见书的(系统中已录入答复意见但来访人称未收到，且系统无相关送达签收手续)；⑤未按规定期限将办理情况录入系统的。</w:t>
      </w:r>
    </w:p>
    <w:p w14:paraId="159C8CD9"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3、因本级或下一级信访工作责任不落实造成群众重复或越级的信访事项。主要包括：①对属于法定职权范围的信访事项不予受理的；②受理后无正当理由未按规定的办理期限办结的（来访人既未收到、系统中也未录入答复意见）；③未按规定程序反馈信访事项办理结果的；④办理信访事项推诿、敷衍、拖延的；⑤</w:t>
      </w:r>
      <w:proofErr w:type="gramStart"/>
      <w:r w:rsidRPr="00305FA3">
        <w:rPr>
          <w:rFonts w:ascii="仿宋_GB2312" w:eastAsia="仿宋_GB2312" w:hAnsi="Arial" w:cs="Arial" w:hint="eastAsia"/>
          <w:color w:val="000000"/>
          <w:kern w:val="0"/>
          <w:sz w:val="32"/>
          <w:szCs w:val="32"/>
        </w:rPr>
        <w:t>作出</w:t>
      </w:r>
      <w:proofErr w:type="gramEnd"/>
      <w:r w:rsidRPr="00305FA3">
        <w:rPr>
          <w:rFonts w:ascii="仿宋_GB2312" w:eastAsia="仿宋_GB2312" w:hAnsi="Arial" w:cs="Arial" w:hint="eastAsia"/>
          <w:color w:val="000000"/>
          <w:kern w:val="0"/>
          <w:sz w:val="32"/>
          <w:szCs w:val="32"/>
        </w:rPr>
        <w:t>答复意见的主体不适格，内容事实不清、避重就轻、弄虚作假，适用法律政策不当，没有确实结论或没有具体整改完成期限，未告知信访人申请复查或复核的权利及期</w:t>
      </w:r>
      <w:r w:rsidRPr="00305FA3">
        <w:rPr>
          <w:rFonts w:ascii="仿宋_GB2312" w:eastAsia="仿宋_GB2312" w:hAnsi="Arial" w:cs="Arial" w:hint="eastAsia"/>
          <w:color w:val="000000"/>
          <w:kern w:val="0"/>
          <w:sz w:val="32"/>
          <w:szCs w:val="32"/>
        </w:rPr>
        <w:lastRenderedPageBreak/>
        <w:t>限，未加盖有权处理行政机关公章等；⑥不执行信访答复意见的。</w:t>
      </w:r>
    </w:p>
    <w:p w14:paraId="31D42DDC"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4、对可能造成社会影响的重大、紧急信访事项和信访信息时，要及时报告。</w:t>
      </w:r>
    </w:p>
    <w:p w14:paraId="33F02046"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第十二条 稳妥处置异常情况。对扬言滋事、情绪激烈、不听劝阻的来访人，要及时报告情况并通知属地公安依法处理。来访人患病需要紧急治疗的，要及时拨打医疗急救电话到场救治，需要送医院治疗的要及时送医治疗。</w:t>
      </w:r>
    </w:p>
    <w:p w14:paraId="1E12DE9F" w14:textId="77777777" w:rsidR="00305FA3" w:rsidRPr="00305FA3" w:rsidRDefault="00305FA3" w:rsidP="00305FA3">
      <w:pPr>
        <w:widowControl/>
        <w:spacing w:line="600" w:lineRule="atLeast"/>
        <w:jc w:val="center"/>
        <w:rPr>
          <w:rFonts w:ascii="Arial" w:hAnsi="Arial" w:cs="Arial"/>
          <w:color w:val="000000"/>
          <w:kern w:val="0"/>
          <w:sz w:val="27"/>
          <w:szCs w:val="27"/>
        </w:rPr>
      </w:pPr>
      <w:r w:rsidRPr="00305FA3">
        <w:rPr>
          <w:rFonts w:ascii="黑体" w:eastAsia="黑体" w:hAnsi="黑体" w:cs="Arial" w:hint="eastAsia"/>
          <w:color w:val="000000"/>
          <w:kern w:val="0"/>
          <w:sz w:val="32"/>
          <w:szCs w:val="32"/>
        </w:rPr>
        <w:t>第五章</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xml:space="preserve"> 办</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xml:space="preserve"> 理</w:t>
      </w:r>
    </w:p>
    <w:p w14:paraId="54F32E49"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第十三条 群众采用走访形式提出信访事项，属于依法有权处理的本级或者下一级机关受理的来访事项，接待人员应于当日提出拟办意见，通过系统报本处（科、室）负责人审核，情况重要的报分管领导审批。经送审批准后，经办人应及时通过系统交办、转送有关机关依法处理。</w:t>
      </w:r>
    </w:p>
    <w:p w14:paraId="10438D06"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第十四条 交办的一般原则。对符合法律法规、政策规定应当解决的来访事项；带有一定普遍性、倾向性、苗头性或有可能引发群体性事件的；责任单位处理意见有明显瑕疵的来访事项应交办处理。</w:t>
      </w:r>
    </w:p>
    <w:p w14:paraId="0A85E53E"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lastRenderedPageBreak/>
        <w:t>第十五条 转送的一般原则。适用于各级行政机关依法</w:t>
      </w:r>
      <w:proofErr w:type="gramStart"/>
      <w:r w:rsidRPr="00305FA3">
        <w:rPr>
          <w:rFonts w:ascii="仿宋_GB2312" w:eastAsia="仿宋_GB2312" w:hAnsi="Arial" w:cs="Arial" w:hint="eastAsia"/>
          <w:color w:val="000000"/>
          <w:kern w:val="0"/>
          <w:sz w:val="32"/>
          <w:szCs w:val="32"/>
        </w:rPr>
        <w:t>作出</w:t>
      </w:r>
      <w:proofErr w:type="gramEnd"/>
      <w:r w:rsidRPr="00305FA3">
        <w:rPr>
          <w:rFonts w:ascii="仿宋_GB2312" w:eastAsia="仿宋_GB2312" w:hAnsi="Arial" w:cs="Arial" w:hint="eastAsia"/>
          <w:color w:val="000000"/>
          <w:kern w:val="0"/>
          <w:sz w:val="32"/>
          <w:szCs w:val="32"/>
        </w:rPr>
        <w:t>行政处理的信访诉求，应依照国家信访局下发的《依法分类处理信访诉求工作规则》转送办理，但已经、正在或者依法应当通过诉讼、仲裁、行政复议解决的除外；需要有权处理机关或相关部门掌握、了解和处理的来访事项；群众反映到有权处理机关走访但系统内无记录的来访事项应转送办理。</w:t>
      </w:r>
    </w:p>
    <w:p w14:paraId="4DB828A1"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第十六条 直接回复。对群众来访反映的政策咨询类、办理进度查询类等当面能够答复的信访事项应直接回复。</w:t>
      </w:r>
    </w:p>
    <w:p w14:paraId="2CFB8FAB"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第十七条 汇报。对督办、交办来访事项的汇报，经办人应认真审阅信访信息系统内所扫描上传的汇报材料，查看督办、交办事项与上报事项，承办单位与呈报单位是否一致，适用的法律法规、政策依据是否正确，有无来访人签字意见，送达程序是否规范等。如需继续报上级部门，应提出审阅意见经领导审核同意后上报；无需上报的信访事项，经办人审阅后存档备案。</w:t>
      </w:r>
    </w:p>
    <w:p w14:paraId="49C34B2B"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第十八条 对纳入群众满意度评价的来访事项，应告知来访人进行满意度评价。</w:t>
      </w:r>
    </w:p>
    <w:p w14:paraId="6427855D" w14:textId="77777777" w:rsidR="00305FA3" w:rsidRPr="00305FA3" w:rsidRDefault="00305FA3" w:rsidP="00305FA3">
      <w:pPr>
        <w:widowControl/>
        <w:spacing w:line="600" w:lineRule="atLeast"/>
        <w:jc w:val="center"/>
        <w:rPr>
          <w:rFonts w:ascii="Arial" w:hAnsi="Arial" w:cs="Arial"/>
          <w:color w:val="000000"/>
          <w:kern w:val="0"/>
          <w:sz w:val="27"/>
          <w:szCs w:val="27"/>
        </w:rPr>
      </w:pPr>
      <w:r w:rsidRPr="00305FA3">
        <w:rPr>
          <w:rFonts w:ascii="黑体" w:eastAsia="黑体" w:hAnsi="黑体" w:cs="Arial" w:hint="eastAsia"/>
          <w:color w:val="000000"/>
          <w:kern w:val="0"/>
          <w:sz w:val="32"/>
          <w:szCs w:val="32"/>
        </w:rPr>
        <w:t>第六章</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xml:space="preserve"> 督查督办</w:t>
      </w:r>
    </w:p>
    <w:p w14:paraId="5B342B55"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lastRenderedPageBreak/>
        <w:t>第十九条 按照《信访条例》第三十六条规定， 县级以上人民政府信访工作机构应当及时履行信访工作的督查督办责任。</w:t>
      </w:r>
    </w:p>
    <w:p w14:paraId="7B6F40F4"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第二十条 有下列情形之一的，应当及时督办，并提出改进建议：①无正当理由未按规定的办理期限办结信访事项的；②未按规定反馈信访事项办理结果的；③未按规定程序办理信访事项的；④办理信访事项推诿、敷衍、拖延的；⑤不执行信访处理意见的；⑥其他需要督办的情形。</w:t>
      </w:r>
    </w:p>
    <w:p w14:paraId="761BD21D"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第二十一条 督办分为系统督办、电话督办、发函督办、约谈督办等形式。经办人应于接谈当日提出督办意见，通过系统报处（科、室）负责人审核，情况重要的报分管领导审批。</w:t>
      </w:r>
    </w:p>
    <w:p w14:paraId="24589DF2"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第二十二条 系统督办。一般适用于：有权处理机关存在信访工作程序不规范、信访工作责任不落实的来访事项。经办人应在系统概况中明确具体存在的问题，提出具体改进的意见，经送审批准后，在系统中直</w:t>
      </w:r>
      <w:proofErr w:type="gramStart"/>
      <w:r w:rsidRPr="00305FA3">
        <w:rPr>
          <w:rFonts w:ascii="仿宋_GB2312" w:eastAsia="仿宋_GB2312" w:hAnsi="Arial" w:cs="Arial" w:hint="eastAsia"/>
          <w:color w:val="000000"/>
          <w:kern w:val="0"/>
          <w:sz w:val="32"/>
          <w:szCs w:val="32"/>
        </w:rPr>
        <w:t>接选择</w:t>
      </w:r>
      <w:proofErr w:type="gramEnd"/>
      <w:r w:rsidRPr="00305FA3">
        <w:rPr>
          <w:rFonts w:ascii="仿宋_GB2312" w:eastAsia="仿宋_GB2312" w:hAnsi="Arial" w:cs="Arial" w:hint="eastAsia"/>
          <w:color w:val="000000"/>
          <w:kern w:val="0"/>
          <w:sz w:val="32"/>
          <w:szCs w:val="32"/>
        </w:rPr>
        <w:t>督办办理方式，要求有关机关或部门30日内办结汇报。</w:t>
      </w:r>
    </w:p>
    <w:p w14:paraId="76B006AE"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第二十三条 电话督办。一般适用于：时效性较强的来访事项。送审前，经办人应先在系统中选择对应的教育疏导方式。送审后，经办人应在系统中选择督办办理方式。同时，由经办</w:t>
      </w:r>
      <w:r w:rsidRPr="00305FA3">
        <w:rPr>
          <w:rFonts w:ascii="仿宋_GB2312" w:eastAsia="仿宋_GB2312" w:hAnsi="Arial" w:cs="Arial" w:hint="eastAsia"/>
          <w:color w:val="000000"/>
          <w:kern w:val="0"/>
          <w:sz w:val="32"/>
          <w:szCs w:val="32"/>
        </w:rPr>
        <w:lastRenderedPageBreak/>
        <w:t>人电话督办下一级信访工作机构，提出工作要求并做好电话记录。</w:t>
      </w:r>
    </w:p>
    <w:p w14:paraId="59FD4323"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第二十四条 发函督办。一般适用于：①经转送、交办、系统、电话督办后，有权处理机关或部门仍未按规定程序和期限办理不到位的；②涉及社会稳定的重大信访事项；③情况复杂、敏感、重要的来访事项。经办人在接谈后，应及时拟写督办函，明确具体的督办意见，要求属地人民政府或工作部门于30日内办结汇报。</w:t>
      </w:r>
    </w:p>
    <w:p w14:paraId="64056E5A"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第二十五条 约谈督办。一般适用于：①重复来访次数较多、信访事项特殊或办理中存在问题突出、多次督办后仍未改进工作等来访事项；②涉及重大、复杂、敏感问题；③频繁发生大规模聚集上访或信访问题较为集中、突出的属地人民政府或工作部门。</w:t>
      </w:r>
    </w:p>
    <w:p w14:paraId="3F676E54"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约谈前，接待处（科、室）室应组织有关人员研究约谈工作方式、需要质询的信访事项和法律政策依据，指出存在的问题，提出工作的要求。约谈督办一般应由科、处、局的主要负责人组织实施。</w:t>
      </w:r>
    </w:p>
    <w:p w14:paraId="7E005B1D"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lastRenderedPageBreak/>
        <w:t>第二十六条 接待部门应建立督查督办案例库，对重要情况、问题突出以及具有针对性、代表性、典型性的来访事项，应由处（科、室）定期分析</w:t>
      </w:r>
      <w:proofErr w:type="gramStart"/>
      <w:r w:rsidRPr="00305FA3">
        <w:rPr>
          <w:rFonts w:ascii="仿宋_GB2312" w:eastAsia="仿宋_GB2312" w:hAnsi="Arial" w:cs="Arial" w:hint="eastAsia"/>
          <w:color w:val="000000"/>
          <w:kern w:val="0"/>
          <w:sz w:val="32"/>
          <w:szCs w:val="32"/>
        </w:rPr>
        <w:t>研判并</w:t>
      </w:r>
      <w:proofErr w:type="gramEnd"/>
      <w:r w:rsidRPr="00305FA3">
        <w:rPr>
          <w:rFonts w:ascii="仿宋_GB2312" w:eastAsia="仿宋_GB2312" w:hAnsi="Arial" w:cs="Arial" w:hint="eastAsia"/>
          <w:color w:val="000000"/>
          <w:kern w:val="0"/>
          <w:sz w:val="32"/>
          <w:szCs w:val="32"/>
        </w:rPr>
        <w:t>组织督查。</w:t>
      </w:r>
    </w:p>
    <w:p w14:paraId="6EB45620"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第二十七条 移交督查室。一般适用于：经科、处、</w:t>
      </w:r>
      <w:proofErr w:type="gramStart"/>
      <w:r w:rsidRPr="00305FA3">
        <w:rPr>
          <w:rFonts w:ascii="仿宋_GB2312" w:eastAsia="仿宋_GB2312" w:hAnsi="Arial" w:cs="Arial" w:hint="eastAsia"/>
          <w:color w:val="000000"/>
          <w:kern w:val="0"/>
          <w:sz w:val="32"/>
          <w:szCs w:val="32"/>
        </w:rPr>
        <w:t>室系统</w:t>
      </w:r>
      <w:proofErr w:type="gramEnd"/>
      <w:r w:rsidRPr="00305FA3">
        <w:rPr>
          <w:rFonts w:ascii="仿宋_GB2312" w:eastAsia="仿宋_GB2312" w:hAnsi="Arial" w:cs="Arial" w:hint="eastAsia"/>
          <w:color w:val="000000"/>
          <w:kern w:val="0"/>
          <w:sz w:val="32"/>
          <w:szCs w:val="32"/>
        </w:rPr>
        <w:t>督办、电话督办后，群众反映的实体性问题仍未解决到位、严重损害群众合法权益的，或来访人仍重复越级走访、有关人民政府信访工作责任没有落实的。</w:t>
      </w:r>
    </w:p>
    <w:p w14:paraId="17590DBA"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接待处（科、室）应每月梳理需要督查督办的典型信访事项，经送审后移交督查室予以督办（附：信访案件移交审批单）。</w:t>
      </w:r>
    </w:p>
    <w:p w14:paraId="4E705509"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第二十八条 实地督导调研。一般适用于：对依法受理办理信访事项存在问题突出的，落实依法逐级走访工作问题突出的，重复上访人数和次数较多问题突出的。督导调研要从整体上对规范来访接待工作予以指导，又要结合梳理出的具体案例指出存在的问题，提出具体的工作要求。</w:t>
      </w:r>
    </w:p>
    <w:p w14:paraId="467B2A83"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第二十九条 对于督办事项，按照“谁负责、谁督办、谁跟踪”的原则建立首接首办责任制，由经办人对督办事项的办理进度进行跟踪、督促、检查。经办人应重点督办以下五个方面：一是汇报和办理情况是否按期录入；二是办理要件是否齐</w:t>
      </w:r>
      <w:r w:rsidRPr="00305FA3">
        <w:rPr>
          <w:rFonts w:ascii="仿宋_GB2312" w:eastAsia="仿宋_GB2312" w:hAnsi="Arial" w:cs="Arial" w:hint="eastAsia"/>
          <w:color w:val="000000"/>
          <w:kern w:val="0"/>
          <w:sz w:val="32"/>
          <w:szCs w:val="32"/>
        </w:rPr>
        <w:lastRenderedPageBreak/>
        <w:t>全，告知书、处理（复查、复核）意见书、送达回执、息访协议、结案报告等相关要件是否录入信息系统等；三是办理程序是否规范，主要看受理范围是否符合规定，办理时限是否符合要求，办理主体是否适格，调查核实是否严谨细致，相关文书格式是否正确，送达是否履行签收手续；四是处理意见是否恰当，主要看事实是否清楚、定性是否准确、答复是否与群众诉求相对应、处理意见是否符合相关政策法规，调查处理意见是否得到落实，群众是否满意并参与评价等；五是审核把关是否严格，主要看信访事项的办理是否逐级履行了审核职责，是否及时进行了督查督办职责等。</w:t>
      </w:r>
    </w:p>
    <w:p w14:paraId="7E1AC12C" w14:textId="77777777" w:rsidR="00305FA3" w:rsidRPr="00305FA3" w:rsidRDefault="00305FA3" w:rsidP="00305FA3">
      <w:pPr>
        <w:widowControl/>
        <w:spacing w:line="600" w:lineRule="atLeast"/>
        <w:jc w:val="center"/>
        <w:rPr>
          <w:rFonts w:ascii="Arial" w:hAnsi="Arial" w:cs="Arial"/>
          <w:color w:val="000000"/>
          <w:kern w:val="0"/>
          <w:sz w:val="27"/>
          <w:szCs w:val="27"/>
        </w:rPr>
      </w:pPr>
      <w:r w:rsidRPr="00305FA3">
        <w:rPr>
          <w:rFonts w:ascii="黑体" w:eastAsia="黑体" w:hAnsi="黑体" w:cs="Arial" w:hint="eastAsia"/>
          <w:color w:val="000000"/>
          <w:kern w:val="0"/>
          <w:sz w:val="32"/>
          <w:szCs w:val="32"/>
        </w:rPr>
        <w:t>第七章</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xml:space="preserve"> 信息综合</w:t>
      </w:r>
    </w:p>
    <w:p w14:paraId="6371B02A"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第三十条 注重信息综合</w:t>
      </w:r>
      <w:proofErr w:type="gramStart"/>
      <w:r w:rsidRPr="00305FA3">
        <w:rPr>
          <w:rFonts w:ascii="仿宋_GB2312" w:eastAsia="仿宋_GB2312" w:hAnsi="Arial" w:cs="Arial" w:hint="eastAsia"/>
          <w:color w:val="000000"/>
          <w:kern w:val="0"/>
          <w:sz w:val="32"/>
          <w:szCs w:val="32"/>
        </w:rPr>
        <w:t>研</w:t>
      </w:r>
      <w:proofErr w:type="gramEnd"/>
      <w:r w:rsidRPr="00305FA3">
        <w:rPr>
          <w:rFonts w:ascii="仿宋_GB2312" w:eastAsia="仿宋_GB2312" w:hAnsi="Arial" w:cs="Arial" w:hint="eastAsia"/>
          <w:color w:val="000000"/>
          <w:kern w:val="0"/>
          <w:sz w:val="32"/>
          <w:szCs w:val="32"/>
        </w:rPr>
        <w:t>判。对工作中发现的重要、敏感信息和典型、突出问题，要运用信访大数据，从全面掌握来访形势、深入解剖典型案例、跟踪特殊群体动向等方面切入，进行定期或不定期的信息综合分析</w:t>
      </w:r>
      <w:proofErr w:type="gramStart"/>
      <w:r w:rsidRPr="00305FA3">
        <w:rPr>
          <w:rFonts w:ascii="仿宋_GB2312" w:eastAsia="仿宋_GB2312" w:hAnsi="Arial" w:cs="Arial" w:hint="eastAsia"/>
          <w:color w:val="000000"/>
          <w:kern w:val="0"/>
          <w:sz w:val="32"/>
          <w:szCs w:val="32"/>
        </w:rPr>
        <w:t>研</w:t>
      </w:r>
      <w:proofErr w:type="gramEnd"/>
      <w:r w:rsidRPr="00305FA3">
        <w:rPr>
          <w:rFonts w:ascii="仿宋_GB2312" w:eastAsia="仿宋_GB2312" w:hAnsi="Arial" w:cs="Arial" w:hint="eastAsia"/>
          <w:color w:val="000000"/>
          <w:kern w:val="0"/>
          <w:sz w:val="32"/>
          <w:szCs w:val="32"/>
        </w:rPr>
        <w:t>判，从中梳理、总结、归纳出带有规律性、倾向性或涉及政策性的问题，提出有针对性的建议。</w:t>
      </w:r>
    </w:p>
    <w:p w14:paraId="1B802CC7"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lastRenderedPageBreak/>
        <w:t>（一）确定关注重点。处(科、室)要定期召开来访形势和来访信息</w:t>
      </w:r>
      <w:proofErr w:type="gramStart"/>
      <w:r w:rsidRPr="00305FA3">
        <w:rPr>
          <w:rFonts w:ascii="仿宋_GB2312" w:eastAsia="仿宋_GB2312" w:hAnsi="Arial" w:cs="Arial" w:hint="eastAsia"/>
          <w:color w:val="000000"/>
          <w:kern w:val="0"/>
          <w:sz w:val="32"/>
          <w:szCs w:val="32"/>
        </w:rPr>
        <w:t>研</w:t>
      </w:r>
      <w:proofErr w:type="gramEnd"/>
      <w:r w:rsidRPr="00305FA3">
        <w:rPr>
          <w:rFonts w:ascii="仿宋_GB2312" w:eastAsia="仿宋_GB2312" w:hAnsi="Arial" w:cs="Arial" w:hint="eastAsia"/>
          <w:color w:val="000000"/>
          <w:kern w:val="0"/>
          <w:sz w:val="32"/>
          <w:szCs w:val="32"/>
        </w:rPr>
        <w:t>判会，研究提出信息综合</w:t>
      </w:r>
      <w:proofErr w:type="gramStart"/>
      <w:r w:rsidRPr="00305FA3">
        <w:rPr>
          <w:rFonts w:ascii="仿宋_GB2312" w:eastAsia="仿宋_GB2312" w:hAnsi="Arial" w:cs="Arial" w:hint="eastAsia"/>
          <w:color w:val="000000"/>
          <w:kern w:val="0"/>
          <w:sz w:val="32"/>
          <w:szCs w:val="32"/>
        </w:rPr>
        <w:t>研</w:t>
      </w:r>
      <w:proofErr w:type="gramEnd"/>
      <w:r w:rsidRPr="00305FA3">
        <w:rPr>
          <w:rFonts w:ascii="仿宋_GB2312" w:eastAsia="仿宋_GB2312" w:hAnsi="Arial" w:cs="Arial" w:hint="eastAsia"/>
          <w:color w:val="000000"/>
          <w:kern w:val="0"/>
          <w:sz w:val="32"/>
          <w:szCs w:val="32"/>
        </w:rPr>
        <w:t>判的重点，明确分工和要求。</w:t>
      </w:r>
    </w:p>
    <w:p w14:paraId="1F4288E4"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（二）注意信息收集。接待工作人员要按照工作要求，在日常接待时加强信息收集，将需要关注的信息和典型案例及时分类做好标注、记录、整理、汇总、分析等工作。</w:t>
      </w:r>
    </w:p>
    <w:p w14:paraId="568A47F4"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（三）定期专题</w:t>
      </w:r>
      <w:proofErr w:type="gramStart"/>
      <w:r w:rsidRPr="00305FA3">
        <w:rPr>
          <w:rFonts w:ascii="仿宋_GB2312" w:eastAsia="仿宋_GB2312" w:hAnsi="Arial" w:cs="Arial" w:hint="eastAsia"/>
          <w:color w:val="000000"/>
          <w:kern w:val="0"/>
          <w:sz w:val="32"/>
          <w:szCs w:val="32"/>
        </w:rPr>
        <w:t>研</w:t>
      </w:r>
      <w:proofErr w:type="gramEnd"/>
      <w:r w:rsidRPr="00305FA3">
        <w:rPr>
          <w:rFonts w:ascii="仿宋_GB2312" w:eastAsia="仿宋_GB2312" w:hAnsi="Arial" w:cs="Arial" w:hint="eastAsia"/>
          <w:color w:val="000000"/>
          <w:kern w:val="0"/>
          <w:sz w:val="32"/>
          <w:szCs w:val="32"/>
        </w:rPr>
        <w:t>判。有关人员要按照信息会商明确的要求，做好专题信访信息分析</w:t>
      </w:r>
      <w:proofErr w:type="gramStart"/>
      <w:r w:rsidRPr="00305FA3">
        <w:rPr>
          <w:rFonts w:ascii="仿宋_GB2312" w:eastAsia="仿宋_GB2312" w:hAnsi="Arial" w:cs="Arial" w:hint="eastAsia"/>
          <w:color w:val="000000"/>
          <w:kern w:val="0"/>
          <w:sz w:val="32"/>
          <w:szCs w:val="32"/>
        </w:rPr>
        <w:t>研</w:t>
      </w:r>
      <w:proofErr w:type="gramEnd"/>
      <w:r w:rsidRPr="00305FA3">
        <w:rPr>
          <w:rFonts w:ascii="仿宋_GB2312" w:eastAsia="仿宋_GB2312" w:hAnsi="Arial" w:cs="Arial" w:hint="eastAsia"/>
          <w:color w:val="000000"/>
          <w:kern w:val="0"/>
          <w:sz w:val="32"/>
          <w:szCs w:val="32"/>
        </w:rPr>
        <w:t>判。接待处（科、室）每月（季度、半年）或适时向局报告来访工作情况，提出建议。</w:t>
      </w:r>
    </w:p>
    <w:p w14:paraId="11F72D2A"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第三十一条 信息成果应用。信息分析</w:t>
      </w:r>
      <w:proofErr w:type="gramStart"/>
      <w:r w:rsidRPr="00305FA3">
        <w:rPr>
          <w:rFonts w:ascii="仿宋_GB2312" w:eastAsia="仿宋_GB2312" w:hAnsi="Arial" w:cs="Arial" w:hint="eastAsia"/>
          <w:color w:val="000000"/>
          <w:kern w:val="0"/>
          <w:sz w:val="32"/>
          <w:szCs w:val="32"/>
        </w:rPr>
        <w:t>研</w:t>
      </w:r>
      <w:proofErr w:type="gramEnd"/>
      <w:r w:rsidRPr="00305FA3">
        <w:rPr>
          <w:rFonts w:ascii="仿宋_GB2312" w:eastAsia="仿宋_GB2312" w:hAnsi="Arial" w:cs="Arial" w:hint="eastAsia"/>
          <w:color w:val="000000"/>
          <w:kern w:val="0"/>
          <w:sz w:val="32"/>
          <w:szCs w:val="32"/>
        </w:rPr>
        <w:t>判成果，通过以下形式及时上报。</w:t>
      </w:r>
    </w:p>
    <w:p w14:paraId="528C6FB6"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（一）《信访情况反映》。适用于各级党委、政府高度关注、群众反映强烈的热点、难点问题，或带有普遍性、倾向性、苗头性的问题进行综合分析，提出针对性的意见建议，供各级领导同志决策参考。</w:t>
      </w:r>
    </w:p>
    <w:p w14:paraId="70A66F95"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（二）《来访情况分析》。适用于定期综合或专题分析群众来访情况。主要是定期对来访形势、突出问题以及一些重点领域、重点群体、重点问题、重点人员进行分析</w:t>
      </w:r>
      <w:proofErr w:type="gramStart"/>
      <w:r w:rsidRPr="00305FA3">
        <w:rPr>
          <w:rFonts w:ascii="仿宋_GB2312" w:eastAsia="仿宋_GB2312" w:hAnsi="Arial" w:cs="Arial" w:hint="eastAsia"/>
          <w:color w:val="000000"/>
          <w:kern w:val="0"/>
          <w:sz w:val="32"/>
          <w:szCs w:val="32"/>
        </w:rPr>
        <w:t>研</w:t>
      </w:r>
      <w:proofErr w:type="gramEnd"/>
      <w:r w:rsidRPr="00305FA3">
        <w:rPr>
          <w:rFonts w:ascii="仿宋_GB2312" w:eastAsia="仿宋_GB2312" w:hAnsi="Arial" w:cs="Arial" w:hint="eastAsia"/>
          <w:color w:val="000000"/>
          <w:kern w:val="0"/>
          <w:sz w:val="32"/>
          <w:szCs w:val="32"/>
        </w:rPr>
        <w:t>判，提出有针对性的意见建议。</w:t>
      </w:r>
    </w:p>
    <w:p w14:paraId="3C13987F"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lastRenderedPageBreak/>
        <w:t>（三）《来访信息快报》。适用于50人以上的集体访、特殊群体来访、紧急重大来访事项、可能引发连锁反应或跨地区串联上访的问题、涉及群体</w:t>
      </w:r>
      <w:proofErr w:type="gramStart"/>
      <w:r w:rsidRPr="00305FA3">
        <w:rPr>
          <w:rFonts w:ascii="仿宋_GB2312" w:eastAsia="仿宋_GB2312" w:hAnsi="Arial" w:cs="Arial" w:hint="eastAsia"/>
          <w:color w:val="000000"/>
          <w:kern w:val="0"/>
          <w:sz w:val="32"/>
          <w:szCs w:val="32"/>
        </w:rPr>
        <w:t>性利益</w:t>
      </w:r>
      <w:proofErr w:type="gramEnd"/>
      <w:r w:rsidRPr="00305FA3">
        <w:rPr>
          <w:rFonts w:ascii="仿宋_GB2312" w:eastAsia="仿宋_GB2312" w:hAnsi="Arial" w:cs="Arial" w:hint="eastAsia"/>
          <w:color w:val="000000"/>
          <w:kern w:val="0"/>
          <w:sz w:val="32"/>
          <w:szCs w:val="32"/>
        </w:rPr>
        <w:t>以及扬言采取极端行为的情况信息。</w:t>
      </w:r>
    </w:p>
    <w:p w14:paraId="56CE133B"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（四）《来访情况通报》。适用于梳理分析一些地方或部门信访形势严峻、越级走访问题突出、群众反映问题集中、以及信访工作程序不规范、责任不落实等方面存在的问题，并提出有针对性的意见建议。</w:t>
      </w:r>
    </w:p>
    <w:p w14:paraId="3AC4A922" w14:textId="77777777" w:rsidR="00305FA3" w:rsidRPr="00305FA3" w:rsidRDefault="00305FA3" w:rsidP="00305FA3">
      <w:pPr>
        <w:widowControl/>
        <w:spacing w:line="600" w:lineRule="atLeast"/>
        <w:jc w:val="center"/>
        <w:rPr>
          <w:rFonts w:ascii="Arial" w:hAnsi="Arial" w:cs="Arial"/>
          <w:color w:val="000000"/>
          <w:kern w:val="0"/>
          <w:sz w:val="27"/>
          <w:szCs w:val="27"/>
        </w:rPr>
      </w:pPr>
      <w:r w:rsidRPr="00305FA3">
        <w:rPr>
          <w:rFonts w:ascii="黑体" w:eastAsia="黑体" w:hAnsi="黑体" w:cs="Arial" w:hint="eastAsia"/>
          <w:color w:val="000000"/>
          <w:kern w:val="0"/>
          <w:sz w:val="32"/>
          <w:szCs w:val="32"/>
        </w:rPr>
        <w:t>第八章</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xml:space="preserve"> 组织管理</w:t>
      </w:r>
    </w:p>
    <w:p w14:paraId="25994A01"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第三十二条 各级信访部门要建立接待工作情况考核通报制度，要认真落实《公务员法》的有关规定，把平时工作情况作为评选先进和年度、季度考核的重要依据。</w:t>
      </w:r>
    </w:p>
    <w:p w14:paraId="04B8DB3D"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（一）业务情况通报。每月要组织专人对来访接待工作、网上业务办理、核查督办工作进行讲评总结并考核通报。</w:t>
      </w:r>
    </w:p>
    <w:p w14:paraId="42BF6297"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（二）公文办理评判。对每月报出或发出的《信访情况反映》《信访情况分析》《来访信息快报》《来访情况通报》等文稿，进行公文业务评判。</w:t>
      </w:r>
    </w:p>
    <w:p w14:paraId="433613DF"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（三）出勤到岗通报。每月对工作人员上下班出勤、接待工作态度及业务办理工作进行考核。</w:t>
      </w:r>
    </w:p>
    <w:p w14:paraId="0CA523C3"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lastRenderedPageBreak/>
        <w:t>第三十三条 建立领导干部值班带班制度。各级接待大厅或场所要建立领导干部值班带班工作制度，主要做好接待分流、诉求甄别、日常巡查和突发情况的协调处置等工作。</w:t>
      </w:r>
    </w:p>
    <w:p w14:paraId="3659A9D6"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第三十四条 接待工作人员平时应做好业务档案和来访数据的管理工作。按照“谁办理、谁归档”和“一事一卷”的原则，及时规范整理纸质和电子档案。</w:t>
      </w:r>
    </w:p>
    <w:p w14:paraId="28D540D9"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第三十五条 接待工作人员必须严格遵守《中华人民共和国保密法》和《信访条例》中有关规定，对系统中录入的来访信息，应做好日常监管和保密工作，严禁发生篡改系统数据、泄露来访信息等问题。</w:t>
      </w:r>
    </w:p>
    <w:p w14:paraId="182590F6"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第三十六条 接待工作人员必须严格遵守来访接待工作的相关规定，要挂牌接待并按时到岗，不得擅自离开工作岗位，不得做与工作无关的事情，对来访群众要热情接待、耐心疏导，严禁冷落、刁难和歧视来访人，严禁与来访人发生争吵、激化矛盾，严禁办理有直接或间接利害关系的信访事项。</w:t>
      </w:r>
    </w:p>
    <w:p w14:paraId="7436F5D2" w14:textId="77777777" w:rsidR="00305FA3" w:rsidRPr="00305FA3" w:rsidRDefault="00305FA3" w:rsidP="00305FA3">
      <w:pPr>
        <w:widowControl/>
        <w:spacing w:line="600" w:lineRule="atLeast"/>
        <w:jc w:val="center"/>
        <w:rPr>
          <w:rFonts w:ascii="Arial" w:hAnsi="Arial" w:cs="Arial"/>
          <w:color w:val="000000"/>
          <w:kern w:val="0"/>
          <w:sz w:val="27"/>
          <w:szCs w:val="27"/>
        </w:rPr>
      </w:pPr>
      <w:r w:rsidRPr="00305FA3">
        <w:rPr>
          <w:rFonts w:ascii="黑体" w:eastAsia="黑体" w:hAnsi="黑体" w:cs="Arial" w:hint="eastAsia"/>
          <w:color w:val="000000"/>
          <w:kern w:val="0"/>
          <w:sz w:val="32"/>
          <w:szCs w:val="32"/>
        </w:rPr>
        <w:t>第九章</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xml:space="preserve"> 附</w:t>
      </w:r>
      <w:r w:rsidRPr="00305FA3">
        <w:rPr>
          <w:rFonts w:ascii="黑体" w:eastAsia="黑体" w:hAnsi="黑体" w:cs="Arial" w:hint="eastAsia"/>
          <w:color w:val="000000"/>
          <w:kern w:val="0"/>
          <w:sz w:val="32"/>
          <w:szCs w:val="32"/>
        </w:rPr>
        <w:t> </w:t>
      </w:r>
      <w:r w:rsidRPr="00305FA3">
        <w:rPr>
          <w:rFonts w:ascii="黑体" w:eastAsia="黑体" w:hAnsi="黑体" w:cs="Arial" w:hint="eastAsia"/>
          <w:color w:val="000000"/>
          <w:kern w:val="0"/>
          <w:sz w:val="32"/>
          <w:szCs w:val="32"/>
        </w:rPr>
        <w:t xml:space="preserve"> 则</w:t>
      </w:r>
    </w:p>
    <w:p w14:paraId="7B816BED"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第三十七条 本规则由陕西省信访局负责解释。</w:t>
      </w:r>
    </w:p>
    <w:p w14:paraId="086DD86A" w14:textId="6E9B340B" w:rsidR="00305FA3" w:rsidRPr="00305FA3" w:rsidRDefault="00305FA3" w:rsidP="00305FA3">
      <w:pPr>
        <w:widowControl/>
        <w:spacing w:line="600" w:lineRule="atLeast"/>
        <w:ind w:firstLine="645"/>
        <w:jc w:val="left"/>
        <w:rPr>
          <w:rFonts w:ascii="Arial" w:hAnsi="Arial" w:cs="Arial" w:hint="eastAsia"/>
          <w:color w:val="000000"/>
          <w:kern w:val="0"/>
          <w:sz w:val="27"/>
          <w:szCs w:val="27"/>
        </w:rPr>
      </w:pPr>
      <w:r w:rsidRPr="00305FA3">
        <w:rPr>
          <w:rFonts w:ascii="仿宋_GB2312" w:eastAsia="仿宋_GB2312" w:hAnsi="Arial" w:cs="Arial" w:hint="eastAsia"/>
          <w:color w:val="000000"/>
          <w:kern w:val="0"/>
          <w:sz w:val="32"/>
          <w:szCs w:val="32"/>
        </w:rPr>
        <w:t>第三十八条 本规则自下发之日起执行。</w:t>
      </w:r>
    </w:p>
    <w:p w14:paraId="79140A02" w14:textId="77777777" w:rsidR="00305FA3" w:rsidRPr="00305FA3" w:rsidRDefault="00305FA3" w:rsidP="00305FA3">
      <w:pPr>
        <w:widowControl/>
        <w:spacing w:line="600" w:lineRule="atLeast"/>
        <w:ind w:firstLine="645"/>
        <w:jc w:val="left"/>
        <w:rPr>
          <w:rFonts w:ascii="Arial" w:hAnsi="Arial" w:cs="Arial"/>
          <w:color w:val="000000"/>
          <w:kern w:val="0"/>
          <w:sz w:val="27"/>
          <w:szCs w:val="27"/>
        </w:rPr>
      </w:pPr>
      <w:r w:rsidRPr="00305FA3">
        <w:rPr>
          <w:rFonts w:ascii="仿宋_GB2312" w:eastAsia="仿宋_GB2312" w:hAnsi="Arial" w:cs="Arial" w:hint="eastAsia"/>
          <w:color w:val="000000"/>
          <w:kern w:val="0"/>
          <w:sz w:val="32"/>
          <w:szCs w:val="32"/>
        </w:rPr>
        <w:t>附件：信访事项移交审批单</w:t>
      </w:r>
    </w:p>
    <w:p w14:paraId="4C846800" w14:textId="277CCB67" w:rsidR="00305FA3" w:rsidRPr="00305FA3" w:rsidRDefault="00305FA3" w:rsidP="00305FA3">
      <w:pPr>
        <w:widowControl/>
        <w:spacing w:line="600" w:lineRule="atLeast"/>
        <w:jc w:val="left"/>
        <w:rPr>
          <w:rFonts w:ascii="Arial" w:hAnsi="Arial" w:cs="Arial" w:hint="eastAsia"/>
          <w:color w:val="000000"/>
          <w:kern w:val="0"/>
          <w:sz w:val="27"/>
          <w:szCs w:val="27"/>
        </w:rPr>
      </w:pPr>
      <w:r w:rsidRPr="00305FA3">
        <w:rPr>
          <w:rFonts w:ascii="黑体" w:eastAsia="黑体" w:hAnsi="黑体" w:cs="Arial" w:hint="eastAsia"/>
          <w:color w:val="333333"/>
          <w:kern w:val="0"/>
          <w:sz w:val="32"/>
          <w:szCs w:val="32"/>
        </w:rPr>
        <w:lastRenderedPageBreak/>
        <w:t>附件</w:t>
      </w:r>
    </w:p>
    <w:p w14:paraId="0E96A7D6" w14:textId="77777777" w:rsidR="00305FA3" w:rsidRPr="00305FA3" w:rsidRDefault="00305FA3" w:rsidP="00305FA3">
      <w:pPr>
        <w:widowControl/>
        <w:spacing w:line="600" w:lineRule="atLeast"/>
        <w:jc w:val="center"/>
        <w:rPr>
          <w:rFonts w:ascii="Arial" w:hAnsi="Arial" w:cs="Arial"/>
          <w:color w:val="000000"/>
          <w:kern w:val="0"/>
          <w:sz w:val="27"/>
          <w:szCs w:val="27"/>
        </w:rPr>
      </w:pPr>
      <w:r w:rsidRPr="00305FA3">
        <w:rPr>
          <w:rFonts w:ascii="宋体" w:hAnsi="宋体" w:cs="Arial" w:hint="eastAsia"/>
          <w:color w:val="333333"/>
          <w:kern w:val="0"/>
          <w:sz w:val="44"/>
          <w:szCs w:val="44"/>
        </w:rPr>
        <w:t>信访事项移交审批单</w:t>
      </w:r>
    </w:p>
    <w:p w14:paraId="44B17C6E" w14:textId="77777777" w:rsidR="00305FA3" w:rsidRPr="00305FA3" w:rsidRDefault="00305FA3" w:rsidP="00305FA3">
      <w:pPr>
        <w:widowControl/>
        <w:spacing w:line="600" w:lineRule="atLeast"/>
        <w:jc w:val="left"/>
        <w:rPr>
          <w:rFonts w:ascii="Arial" w:hAnsi="Arial" w:cs="Arial"/>
          <w:color w:val="000000"/>
          <w:kern w:val="0"/>
          <w:sz w:val="27"/>
          <w:szCs w:val="27"/>
        </w:rPr>
      </w:pPr>
      <w:r w:rsidRPr="00305FA3">
        <w:rPr>
          <w:rFonts w:ascii="仿宋_GB2312" w:eastAsia="仿宋_GB2312" w:hAnsi="Arial" w:cs="Arial" w:hint="eastAsia"/>
          <w:color w:val="333333"/>
          <w:kern w:val="0"/>
          <w:sz w:val="27"/>
          <w:szCs w:val="27"/>
        </w:rPr>
        <w:t>编号：</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w:t>
      </w:r>
      <w:r w:rsidRPr="00305FA3">
        <w:rPr>
          <w:rFonts w:ascii="仿宋_GB2312" w:eastAsia="仿宋_GB2312" w:hAnsi="Arial" w:cs="Arial" w:hint="eastAsia"/>
          <w:color w:val="333333"/>
          <w:kern w:val="0"/>
          <w:sz w:val="27"/>
          <w:szCs w:val="27"/>
        </w:rPr>
        <w:t xml:space="preserve"> 日期：</w:t>
      </w:r>
    </w:p>
    <w:tbl>
      <w:tblPr>
        <w:tblW w:w="0" w:type="auto"/>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1695"/>
        <w:gridCol w:w="690"/>
        <w:gridCol w:w="1110"/>
        <w:gridCol w:w="690"/>
        <w:gridCol w:w="795"/>
        <w:gridCol w:w="1215"/>
        <w:gridCol w:w="2325"/>
      </w:tblGrid>
      <w:tr w:rsidR="00305FA3" w:rsidRPr="00305FA3" w14:paraId="5CBE9183" w14:textId="77777777" w:rsidTr="00305FA3">
        <w:trPr>
          <w:trHeight w:val="885"/>
          <w:jc w:val="center"/>
        </w:trPr>
        <w:tc>
          <w:tcPr>
            <w:tcW w:w="169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7FF70EF" w14:textId="77777777" w:rsidR="00305FA3" w:rsidRPr="00305FA3" w:rsidRDefault="00305FA3" w:rsidP="00305FA3">
            <w:pPr>
              <w:widowControl/>
              <w:spacing w:line="600" w:lineRule="atLeast"/>
              <w:jc w:val="center"/>
              <w:rPr>
                <w:rFonts w:ascii="宋体" w:hAnsi="宋体" w:cs="宋体"/>
                <w:kern w:val="0"/>
                <w:sz w:val="24"/>
              </w:rPr>
            </w:pPr>
            <w:r w:rsidRPr="00305FA3">
              <w:rPr>
                <w:rFonts w:ascii="仿宋_GB2312" w:eastAsia="仿宋_GB2312" w:hAnsi="宋体" w:cs="宋体" w:hint="eastAsia"/>
                <w:color w:val="333333"/>
                <w:kern w:val="0"/>
                <w:sz w:val="23"/>
                <w:szCs w:val="23"/>
              </w:rPr>
              <w:t>信访人</w:t>
            </w:r>
          </w:p>
          <w:p w14:paraId="4D9C6D05" w14:textId="77777777" w:rsidR="00305FA3" w:rsidRPr="00305FA3" w:rsidRDefault="00305FA3" w:rsidP="00305FA3">
            <w:pPr>
              <w:widowControl/>
              <w:spacing w:line="600" w:lineRule="atLeast"/>
              <w:jc w:val="center"/>
              <w:rPr>
                <w:rFonts w:ascii="宋体" w:hAnsi="宋体" w:cs="宋体" w:hint="eastAsia"/>
                <w:kern w:val="0"/>
                <w:sz w:val="24"/>
              </w:rPr>
            </w:pPr>
            <w:r w:rsidRPr="00305FA3">
              <w:rPr>
                <w:rFonts w:ascii="仿宋_GB2312" w:eastAsia="仿宋_GB2312" w:hAnsi="宋体" w:cs="宋体" w:hint="eastAsia"/>
                <w:color w:val="333333"/>
                <w:kern w:val="0"/>
                <w:sz w:val="23"/>
                <w:szCs w:val="23"/>
              </w:rPr>
              <w:t>基本信息</w:t>
            </w:r>
          </w:p>
        </w:tc>
        <w:tc>
          <w:tcPr>
            <w:tcW w:w="690" w:type="dxa"/>
            <w:tcBorders>
              <w:top w:val="single" w:sz="6" w:space="0" w:color="000000"/>
              <w:left w:val="nil"/>
              <w:bottom w:val="single" w:sz="6" w:space="0" w:color="000000"/>
              <w:right w:val="single" w:sz="6" w:space="0" w:color="auto"/>
            </w:tcBorders>
            <w:tcMar>
              <w:top w:w="0" w:type="dxa"/>
              <w:left w:w="105" w:type="dxa"/>
              <w:bottom w:w="0" w:type="dxa"/>
              <w:right w:w="105" w:type="dxa"/>
            </w:tcMar>
            <w:vAlign w:val="center"/>
            <w:hideMark/>
          </w:tcPr>
          <w:p w14:paraId="050F3DC0" w14:textId="77777777" w:rsidR="00305FA3" w:rsidRPr="00305FA3" w:rsidRDefault="00305FA3" w:rsidP="00305FA3">
            <w:pPr>
              <w:widowControl/>
              <w:spacing w:line="600" w:lineRule="atLeast"/>
              <w:jc w:val="center"/>
              <w:rPr>
                <w:rFonts w:ascii="宋体" w:hAnsi="宋体" w:cs="宋体" w:hint="eastAsia"/>
                <w:kern w:val="0"/>
                <w:sz w:val="24"/>
              </w:rPr>
            </w:pPr>
            <w:r w:rsidRPr="00305FA3">
              <w:rPr>
                <w:rFonts w:ascii="仿宋_GB2312" w:eastAsia="仿宋_GB2312" w:hAnsi="宋体" w:cs="宋体" w:hint="eastAsia"/>
                <w:color w:val="333333"/>
                <w:kern w:val="0"/>
                <w:sz w:val="23"/>
                <w:szCs w:val="23"/>
              </w:rPr>
              <w:t>姓名</w:t>
            </w:r>
          </w:p>
        </w:tc>
        <w:tc>
          <w:tcPr>
            <w:tcW w:w="1110" w:type="dxa"/>
            <w:tcBorders>
              <w:top w:val="single" w:sz="6" w:space="0" w:color="000000"/>
              <w:left w:val="nil"/>
              <w:bottom w:val="single" w:sz="6" w:space="0" w:color="000000"/>
              <w:right w:val="single" w:sz="6" w:space="0" w:color="auto"/>
            </w:tcBorders>
            <w:tcMar>
              <w:top w:w="0" w:type="dxa"/>
              <w:left w:w="105" w:type="dxa"/>
              <w:bottom w:w="0" w:type="dxa"/>
              <w:right w:w="105" w:type="dxa"/>
            </w:tcMar>
            <w:vAlign w:val="center"/>
            <w:hideMark/>
          </w:tcPr>
          <w:p w14:paraId="34C09590" w14:textId="77777777" w:rsidR="00305FA3" w:rsidRPr="00305FA3" w:rsidRDefault="00305FA3" w:rsidP="00305FA3">
            <w:pPr>
              <w:rPr>
                <w:rFonts w:ascii="宋体" w:hAnsi="宋体" w:cs="宋体" w:hint="eastAsia"/>
                <w:kern w:val="0"/>
                <w:sz w:val="24"/>
              </w:rPr>
            </w:pPr>
          </w:p>
        </w:tc>
        <w:tc>
          <w:tcPr>
            <w:tcW w:w="690" w:type="dxa"/>
            <w:tcBorders>
              <w:top w:val="single" w:sz="6" w:space="0" w:color="000000"/>
              <w:left w:val="nil"/>
              <w:bottom w:val="single" w:sz="6" w:space="0" w:color="000000"/>
              <w:right w:val="single" w:sz="6" w:space="0" w:color="auto"/>
            </w:tcBorders>
            <w:tcMar>
              <w:top w:w="0" w:type="dxa"/>
              <w:left w:w="105" w:type="dxa"/>
              <w:bottom w:w="0" w:type="dxa"/>
              <w:right w:w="105" w:type="dxa"/>
            </w:tcMar>
            <w:vAlign w:val="center"/>
            <w:hideMark/>
          </w:tcPr>
          <w:p w14:paraId="5B369299" w14:textId="77777777" w:rsidR="00305FA3" w:rsidRPr="00305FA3" w:rsidRDefault="00305FA3" w:rsidP="00305FA3">
            <w:pPr>
              <w:widowControl/>
              <w:spacing w:line="600" w:lineRule="atLeast"/>
              <w:jc w:val="center"/>
              <w:rPr>
                <w:rFonts w:ascii="宋体" w:hAnsi="宋体" w:cs="宋体"/>
                <w:kern w:val="0"/>
                <w:sz w:val="24"/>
              </w:rPr>
            </w:pPr>
            <w:r w:rsidRPr="00305FA3">
              <w:rPr>
                <w:rFonts w:ascii="仿宋_GB2312" w:eastAsia="仿宋_GB2312" w:hAnsi="宋体" w:cs="宋体" w:hint="eastAsia"/>
                <w:color w:val="333333"/>
                <w:kern w:val="0"/>
                <w:sz w:val="23"/>
                <w:szCs w:val="23"/>
              </w:rPr>
              <w:t>性别</w:t>
            </w:r>
          </w:p>
        </w:tc>
        <w:tc>
          <w:tcPr>
            <w:tcW w:w="795" w:type="dxa"/>
            <w:tcBorders>
              <w:top w:val="single" w:sz="6" w:space="0" w:color="000000"/>
              <w:left w:val="nil"/>
              <w:bottom w:val="single" w:sz="6" w:space="0" w:color="000000"/>
              <w:right w:val="single" w:sz="6" w:space="0" w:color="auto"/>
            </w:tcBorders>
            <w:tcMar>
              <w:top w:w="0" w:type="dxa"/>
              <w:left w:w="105" w:type="dxa"/>
              <w:bottom w:w="0" w:type="dxa"/>
              <w:right w:w="105" w:type="dxa"/>
            </w:tcMar>
            <w:vAlign w:val="center"/>
            <w:hideMark/>
          </w:tcPr>
          <w:p w14:paraId="57A2D6E4" w14:textId="77777777" w:rsidR="00305FA3" w:rsidRPr="00305FA3" w:rsidRDefault="00305FA3" w:rsidP="00305FA3">
            <w:pPr>
              <w:rPr>
                <w:rFonts w:ascii="宋体" w:hAnsi="宋体" w:cs="宋体" w:hint="eastAsia"/>
                <w:kern w:val="0"/>
                <w:sz w:val="24"/>
              </w:rPr>
            </w:pPr>
          </w:p>
        </w:tc>
        <w:tc>
          <w:tcPr>
            <w:tcW w:w="1215" w:type="dxa"/>
            <w:tcBorders>
              <w:top w:val="single" w:sz="6" w:space="0" w:color="000000"/>
              <w:left w:val="nil"/>
              <w:bottom w:val="single" w:sz="6" w:space="0" w:color="000000"/>
              <w:right w:val="single" w:sz="6" w:space="0" w:color="auto"/>
            </w:tcBorders>
            <w:tcMar>
              <w:top w:w="0" w:type="dxa"/>
              <w:left w:w="105" w:type="dxa"/>
              <w:bottom w:w="0" w:type="dxa"/>
              <w:right w:w="105" w:type="dxa"/>
            </w:tcMar>
            <w:vAlign w:val="center"/>
            <w:hideMark/>
          </w:tcPr>
          <w:p w14:paraId="1D1AC478" w14:textId="77777777" w:rsidR="00305FA3" w:rsidRPr="00305FA3" w:rsidRDefault="00305FA3" w:rsidP="00305FA3">
            <w:pPr>
              <w:widowControl/>
              <w:spacing w:line="600" w:lineRule="atLeast"/>
              <w:jc w:val="center"/>
              <w:rPr>
                <w:rFonts w:ascii="宋体" w:hAnsi="宋体" w:cs="宋体"/>
                <w:kern w:val="0"/>
                <w:sz w:val="24"/>
              </w:rPr>
            </w:pPr>
            <w:r w:rsidRPr="00305FA3">
              <w:rPr>
                <w:rFonts w:ascii="仿宋_GB2312" w:eastAsia="仿宋_GB2312" w:hAnsi="宋体" w:cs="宋体" w:hint="eastAsia"/>
                <w:color w:val="333333"/>
                <w:kern w:val="0"/>
                <w:sz w:val="23"/>
                <w:szCs w:val="23"/>
              </w:rPr>
              <w:t>身份证号</w:t>
            </w:r>
          </w:p>
        </w:tc>
        <w:tc>
          <w:tcPr>
            <w:tcW w:w="231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26EFE8B1" w14:textId="77777777" w:rsidR="00305FA3" w:rsidRPr="00305FA3" w:rsidRDefault="00305FA3" w:rsidP="00305FA3">
            <w:pPr>
              <w:rPr>
                <w:rFonts w:ascii="宋体" w:hAnsi="宋体" w:cs="宋体" w:hint="eastAsia"/>
                <w:kern w:val="0"/>
                <w:sz w:val="24"/>
              </w:rPr>
            </w:pPr>
          </w:p>
        </w:tc>
      </w:tr>
      <w:tr w:rsidR="00305FA3" w:rsidRPr="00305FA3" w14:paraId="57D7B8C4" w14:textId="77777777" w:rsidTr="00305FA3">
        <w:trPr>
          <w:trHeight w:val="84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E125CF" w14:textId="77777777" w:rsidR="00305FA3" w:rsidRPr="00305FA3" w:rsidRDefault="00305FA3" w:rsidP="00305FA3">
            <w:pPr>
              <w:widowControl/>
              <w:jc w:val="left"/>
              <w:rPr>
                <w:rFonts w:ascii="宋体" w:hAnsi="宋体" w:cs="宋体"/>
                <w:kern w:val="0"/>
                <w:sz w:val="24"/>
              </w:rPr>
            </w:pPr>
          </w:p>
        </w:tc>
        <w:tc>
          <w:tcPr>
            <w:tcW w:w="690" w:type="dxa"/>
            <w:tcBorders>
              <w:top w:val="nil"/>
              <w:left w:val="nil"/>
              <w:bottom w:val="single" w:sz="6" w:space="0" w:color="000000"/>
              <w:right w:val="single" w:sz="6" w:space="0" w:color="auto"/>
            </w:tcBorders>
            <w:tcMar>
              <w:top w:w="0" w:type="dxa"/>
              <w:left w:w="105" w:type="dxa"/>
              <w:bottom w:w="0" w:type="dxa"/>
              <w:right w:w="105" w:type="dxa"/>
            </w:tcMar>
            <w:vAlign w:val="center"/>
            <w:hideMark/>
          </w:tcPr>
          <w:p w14:paraId="79743A28" w14:textId="77777777" w:rsidR="00305FA3" w:rsidRPr="00305FA3" w:rsidRDefault="00305FA3" w:rsidP="00305FA3">
            <w:pPr>
              <w:widowControl/>
              <w:spacing w:line="600" w:lineRule="atLeast"/>
              <w:jc w:val="center"/>
              <w:rPr>
                <w:rFonts w:ascii="宋体" w:hAnsi="宋体" w:cs="宋体"/>
                <w:kern w:val="0"/>
                <w:sz w:val="24"/>
              </w:rPr>
            </w:pPr>
            <w:r w:rsidRPr="00305FA3">
              <w:rPr>
                <w:rFonts w:ascii="仿宋_GB2312" w:eastAsia="仿宋_GB2312" w:hAnsi="宋体" w:cs="宋体" w:hint="eastAsia"/>
                <w:color w:val="333333"/>
                <w:kern w:val="0"/>
                <w:sz w:val="23"/>
                <w:szCs w:val="23"/>
              </w:rPr>
              <w:t>住址</w:t>
            </w:r>
          </w:p>
        </w:tc>
        <w:tc>
          <w:tcPr>
            <w:tcW w:w="2595" w:type="dxa"/>
            <w:gridSpan w:val="3"/>
            <w:tcBorders>
              <w:top w:val="nil"/>
              <w:left w:val="nil"/>
              <w:bottom w:val="single" w:sz="6" w:space="0" w:color="000000"/>
              <w:right w:val="single" w:sz="6" w:space="0" w:color="auto"/>
            </w:tcBorders>
            <w:tcMar>
              <w:top w:w="0" w:type="dxa"/>
              <w:left w:w="105" w:type="dxa"/>
              <w:bottom w:w="0" w:type="dxa"/>
              <w:right w:w="105" w:type="dxa"/>
            </w:tcMar>
            <w:vAlign w:val="center"/>
            <w:hideMark/>
          </w:tcPr>
          <w:p w14:paraId="7AE80711" w14:textId="77777777" w:rsidR="00305FA3" w:rsidRPr="00305FA3" w:rsidRDefault="00305FA3" w:rsidP="00305FA3">
            <w:pPr>
              <w:rPr>
                <w:rFonts w:ascii="宋体" w:hAnsi="宋体" w:cs="宋体" w:hint="eastAsia"/>
                <w:kern w:val="0"/>
                <w:sz w:val="24"/>
              </w:rPr>
            </w:pPr>
          </w:p>
        </w:tc>
        <w:tc>
          <w:tcPr>
            <w:tcW w:w="1215" w:type="dxa"/>
            <w:tcBorders>
              <w:top w:val="nil"/>
              <w:left w:val="nil"/>
              <w:bottom w:val="single" w:sz="6" w:space="0" w:color="000000"/>
              <w:right w:val="single" w:sz="6" w:space="0" w:color="auto"/>
            </w:tcBorders>
            <w:tcMar>
              <w:top w:w="0" w:type="dxa"/>
              <w:left w:w="105" w:type="dxa"/>
              <w:bottom w:w="0" w:type="dxa"/>
              <w:right w:w="105" w:type="dxa"/>
            </w:tcMar>
            <w:vAlign w:val="center"/>
            <w:hideMark/>
          </w:tcPr>
          <w:p w14:paraId="3263FECE" w14:textId="77777777" w:rsidR="00305FA3" w:rsidRPr="00305FA3" w:rsidRDefault="00305FA3" w:rsidP="00305FA3">
            <w:pPr>
              <w:widowControl/>
              <w:spacing w:line="600" w:lineRule="atLeast"/>
              <w:jc w:val="center"/>
              <w:rPr>
                <w:rFonts w:ascii="宋体" w:hAnsi="宋体" w:cs="宋体"/>
                <w:kern w:val="0"/>
                <w:sz w:val="24"/>
              </w:rPr>
            </w:pPr>
            <w:r w:rsidRPr="00305FA3">
              <w:rPr>
                <w:rFonts w:ascii="仿宋_GB2312" w:eastAsia="仿宋_GB2312" w:hAnsi="宋体" w:cs="宋体" w:hint="eastAsia"/>
                <w:color w:val="333333"/>
                <w:kern w:val="0"/>
                <w:sz w:val="23"/>
                <w:szCs w:val="23"/>
              </w:rPr>
              <w:t>问题属地</w:t>
            </w:r>
          </w:p>
        </w:tc>
        <w:tc>
          <w:tcPr>
            <w:tcW w:w="23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132E067" w14:textId="77777777" w:rsidR="00305FA3" w:rsidRPr="00305FA3" w:rsidRDefault="00305FA3" w:rsidP="00305FA3">
            <w:pPr>
              <w:rPr>
                <w:rFonts w:ascii="宋体" w:hAnsi="宋体" w:cs="宋体" w:hint="eastAsia"/>
                <w:kern w:val="0"/>
                <w:sz w:val="24"/>
              </w:rPr>
            </w:pPr>
          </w:p>
        </w:tc>
      </w:tr>
      <w:tr w:rsidR="00305FA3" w:rsidRPr="00305FA3" w14:paraId="4DB9F3DD" w14:textId="77777777" w:rsidTr="00305FA3">
        <w:trPr>
          <w:trHeight w:val="1575"/>
          <w:jc w:val="center"/>
        </w:trPr>
        <w:tc>
          <w:tcPr>
            <w:tcW w:w="16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9D81FE2" w14:textId="77777777" w:rsidR="00305FA3" w:rsidRPr="00305FA3" w:rsidRDefault="00305FA3" w:rsidP="00305FA3">
            <w:pPr>
              <w:widowControl/>
              <w:spacing w:line="600" w:lineRule="atLeast"/>
              <w:jc w:val="center"/>
              <w:rPr>
                <w:rFonts w:ascii="宋体" w:hAnsi="宋体" w:cs="宋体"/>
                <w:kern w:val="0"/>
                <w:sz w:val="24"/>
              </w:rPr>
            </w:pPr>
            <w:r w:rsidRPr="00305FA3">
              <w:rPr>
                <w:rFonts w:ascii="仿宋_GB2312" w:eastAsia="仿宋_GB2312" w:hAnsi="宋体" w:cs="宋体" w:hint="eastAsia"/>
                <w:color w:val="333333"/>
                <w:kern w:val="0"/>
                <w:sz w:val="23"/>
                <w:szCs w:val="23"/>
              </w:rPr>
              <w:t>信访诉求</w:t>
            </w:r>
          </w:p>
        </w:tc>
        <w:tc>
          <w:tcPr>
            <w:tcW w:w="6825" w:type="dxa"/>
            <w:gridSpan w:val="6"/>
            <w:tcBorders>
              <w:top w:val="nil"/>
              <w:left w:val="nil"/>
              <w:bottom w:val="single" w:sz="6" w:space="0" w:color="000000"/>
              <w:right w:val="single" w:sz="6" w:space="0" w:color="auto"/>
            </w:tcBorders>
            <w:tcMar>
              <w:top w:w="0" w:type="dxa"/>
              <w:left w:w="105" w:type="dxa"/>
              <w:bottom w:w="0" w:type="dxa"/>
              <w:right w:w="105" w:type="dxa"/>
            </w:tcMar>
            <w:vAlign w:val="center"/>
            <w:hideMark/>
          </w:tcPr>
          <w:p w14:paraId="434BCB10" w14:textId="77777777" w:rsidR="00305FA3" w:rsidRPr="00305FA3" w:rsidRDefault="00305FA3" w:rsidP="00305FA3">
            <w:pPr>
              <w:rPr>
                <w:rFonts w:ascii="宋体" w:hAnsi="宋体" w:cs="宋体" w:hint="eastAsia"/>
                <w:kern w:val="0"/>
                <w:sz w:val="24"/>
              </w:rPr>
            </w:pPr>
          </w:p>
        </w:tc>
      </w:tr>
      <w:tr w:rsidR="00305FA3" w:rsidRPr="00305FA3" w14:paraId="06798FBE" w14:textId="77777777" w:rsidTr="00305FA3">
        <w:trPr>
          <w:trHeight w:val="975"/>
          <w:jc w:val="center"/>
        </w:trPr>
        <w:tc>
          <w:tcPr>
            <w:tcW w:w="16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1CD30F6" w14:textId="77777777" w:rsidR="00305FA3" w:rsidRPr="00305FA3" w:rsidRDefault="00305FA3" w:rsidP="00305FA3">
            <w:pPr>
              <w:widowControl/>
              <w:spacing w:line="600" w:lineRule="atLeast"/>
              <w:jc w:val="center"/>
              <w:rPr>
                <w:rFonts w:ascii="宋体" w:hAnsi="宋体" w:cs="宋体"/>
                <w:kern w:val="0"/>
                <w:sz w:val="24"/>
              </w:rPr>
            </w:pPr>
            <w:r w:rsidRPr="00305FA3">
              <w:rPr>
                <w:rFonts w:ascii="仿宋_GB2312" w:eastAsia="仿宋_GB2312" w:hAnsi="宋体" w:cs="宋体" w:hint="eastAsia"/>
                <w:color w:val="333333"/>
                <w:kern w:val="0"/>
                <w:sz w:val="23"/>
                <w:szCs w:val="23"/>
              </w:rPr>
              <w:t>移交去向</w:t>
            </w:r>
          </w:p>
        </w:tc>
        <w:tc>
          <w:tcPr>
            <w:tcW w:w="6825" w:type="dxa"/>
            <w:gridSpan w:val="6"/>
            <w:tcBorders>
              <w:top w:val="nil"/>
              <w:left w:val="nil"/>
              <w:bottom w:val="single" w:sz="6" w:space="0" w:color="000000"/>
              <w:right w:val="single" w:sz="6" w:space="0" w:color="auto"/>
            </w:tcBorders>
            <w:tcMar>
              <w:top w:w="0" w:type="dxa"/>
              <w:left w:w="105" w:type="dxa"/>
              <w:bottom w:w="0" w:type="dxa"/>
              <w:right w:w="105" w:type="dxa"/>
            </w:tcMar>
            <w:vAlign w:val="center"/>
            <w:hideMark/>
          </w:tcPr>
          <w:p w14:paraId="67DC38BD" w14:textId="77777777" w:rsidR="00305FA3" w:rsidRPr="00305FA3" w:rsidRDefault="00305FA3" w:rsidP="00305FA3">
            <w:pPr>
              <w:rPr>
                <w:rFonts w:ascii="宋体" w:hAnsi="宋体" w:cs="宋体" w:hint="eastAsia"/>
                <w:kern w:val="0"/>
                <w:sz w:val="24"/>
              </w:rPr>
            </w:pPr>
          </w:p>
        </w:tc>
      </w:tr>
      <w:tr w:rsidR="00305FA3" w:rsidRPr="00305FA3" w14:paraId="0A47D085" w14:textId="77777777" w:rsidTr="00305FA3">
        <w:trPr>
          <w:jc w:val="center"/>
        </w:trPr>
        <w:tc>
          <w:tcPr>
            <w:tcW w:w="16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08C20C7" w14:textId="77777777" w:rsidR="00305FA3" w:rsidRPr="00305FA3" w:rsidRDefault="00305FA3" w:rsidP="00305FA3">
            <w:pPr>
              <w:widowControl/>
              <w:spacing w:line="600" w:lineRule="atLeast"/>
              <w:jc w:val="center"/>
              <w:rPr>
                <w:rFonts w:ascii="宋体" w:hAnsi="宋体" w:cs="宋体"/>
                <w:kern w:val="0"/>
                <w:sz w:val="24"/>
              </w:rPr>
            </w:pPr>
            <w:r w:rsidRPr="00305FA3">
              <w:rPr>
                <w:rFonts w:ascii="仿宋_GB2312" w:eastAsia="仿宋_GB2312" w:hAnsi="宋体" w:cs="宋体" w:hint="eastAsia"/>
                <w:color w:val="333333"/>
                <w:kern w:val="0"/>
                <w:sz w:val="23"/>
                <w:szCs w:val="23"/>
              </w:rPr>
              <w:t>移交理由</w:t>
            </w:r>
          </w:p>
        </w:tc>
        <w:tc>
          <w:tcPr>
            <w:tcW w:w="6825" w:type="dxa"/>
            <w:gridSpan w:val="6"/>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AD220FA" w14:textId="77777777" w:rsidR="00305FA3" w:rsidRPr="00305FA3" w:rsidRDefault="00305FA3" w:rsidP="00305FA3">
            <w:pPr>
              <w:rPr>
                <w:rFonts w:ascii="宋体" w:hAnsi="宋体" w:cs="宋体" w:hint="eastAsia"/>
                <w:kern w:val="0"/>
                <w:sz w:val="24"/>
              </w:rPr>
            </w:pPr>
          </w:p>
        </w:tc>
      </w:tr>
      <w:tr w:rsidR="00305FA3" w:rsidRPr="00305FA3" w14:paraId="5AAEC230" w14:textId="77777777" w:rsidTr="00305FA3">
        <w:trPr>
          <w:jc w:val="center"/>
        </w:trPr>
        <w:tc>
          <w:tcPr>
            <w:tcW w:w="16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017380E" w14:textId="77777777" w:rsidR="00305FA3" w:rsidRPr="00305FA3" w:rsidRDefault="00305FA3" w:rsidP="00305FA3">
            <w:pPr>
              <w:widowControl/>
              <w:spacing w:line="600" w:lineRule="atLeast"/>
              <w:jc w:val="center"/>
              <w:rPr>
                <w:rFonts w:ascii="宋体" w:hAnsi="宋体" w:cs="宋体"/>
                <w:kern w:val="0"/>
                <w:sz w:val="24"/>
              </w:rPr>
            </w:pPr>
            <w:r w:rsidRPr="00305FA3">
              <w:rPr>
                <w:rFonts w:ascii="仿宋_GB2312" w:eastAsia="仿宋_GB2312" w:hAnsi="宋体" w:cs="宋体" w:hint="eastAsia"/>
                <w:color w:val="333333"/>
                <w:kern w:val="0"/>
                <w:sz w:val="23"/>
                <w:szCs w:val="23"/>
              </w:rPr>
              <w:t>移交处室意见</w:t>
            </w:r>
          </w:p>
        </w:tc>
        <w:tc>
          <w:tcPr>
            <w:tcW w:w="6825" w:type="dxa"/>
            <w:gridSpan w:val="6"/>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5CE0F9F" w14:textId="77777777" w:rsidR="00305FA3" w:rsidRPr="00305FA3" w:rsidRDefault="00305FA3" w:rsidP="00305FA3">
            <w:pPr>
              <w:widowControl/>
              <w:spacing w:line="600" w:lineRule="atLeast"/>
              <w:jc w:val="center"/>
              <w:rPr>
                <w:rFonts w:ascii="宋体" w:hAnsi="宋体" w:cs="宋体" w:hint="eastAsia"/>
                <w:kern w:val="0"/>
                <w:sz w:val="24"/>
              </w:rPr>
            </w:pPr>
            <w:r w:rsidRPr="00305FA3">
              <w:rPr>
                <w:rFonts w:ascii="仿宋_GB2312" w:eastAsia="仿宋_GB2312" w:hAnsi="宋体" w:cs="宋体" w:hint="eastAsia"/>
                <w:color w:val="333333"/>
                <w:kern w:val="0"/>
                <w:sz w:val="23"/>
                <w:szCs w:val="23"/>
              </w:rPr>
              <w:t> </w:t>
            </w:r>
          </w:p>
          <w:p w14:paraId="1D3A0E22" w14:textId="77777777" w:rsidR="00305FA3" w:rsidRPr="00305FA3" w:rsidRDefault="00305FA3" w:rsidP="00305FA3">
            <w:pPr>
              <w:widowControl/>
              <w:spacing w:line="600" w:lineRule="atLeast"/>
              <w:jc w:val="center"/>
              <w:rPr>
                <w:rFonts w:ascii="宋体" w:hAnsi="宋体" w:cs="宋体" w:hint="eastAsia"/>
                <w:kern w:val="0"/>
                <w:sz w:val="24"/>
              </w:rPr>
            </w:pPr>
            <w:r w:rsidRPr="00305FA3">
              <w:rPr>
                <w:rFonts w:ascii="仿宋_GB2312" w:eastAsia="仿宋_GB2312" w:hAnsi="宋体" w:cs="宋体" w:hint="eastAsia"/>
                <w:color w:val="333333"/>
                <w:kern w:val="0"/>
                <w:sz w:val="23"/>
                <w:szCs w:val="23"/>
              </w:rPr>
              <w:t> </w:t>
            </w:r>
          </w:p>
          <w:p w14:paraId="573D0327" w14:textId="77777777" w:rsidR="00305FA3" w:rsidRPr="00305FA3" w:rsidRDefault="00305FA3" w:rsidP="00305FA3">
            <w:pPr>
              <w:widowControl/>
              <w:spacing w:line="600" w:lineRule="atLeast"/>
              <w:jc w:val="right"/>
              <w:rPr>
                <w:rFonts w:ascii="宋体" w:hAnsi="宋体" w:cs="宋体" w:hint="eastAsia"/>
                <w:kern w:val="0"/>
                <w:sz w:val="24"/>
              </w:rPr>
            </w:pPr>
            <w:r w:rsidRPr="00305FA3">
              <w:rPr>
                <w:rFonts w:ascii="仿宋_GB2312" w:eastAsia="仿宋_GB2312" w:hAnsi="宋体" w:cs="宋体" w:hint="eastAsia"/>
                <w:color w:val="333333"/>
                <w:kern w:val="0"/>
                <w:sz w:val="23"/>
                <w:szCs w:val="23"/>
              </w:rPr>
              <w:t>年</w:t>
            </w:r>
            <w:r w:rsidRPr="00305FA3">
              <w:rPr>
                <w:rFonts w:ascii="仿宋_GB2312" w:eastAsia="仿宋_GB2312" w:hAnsi="宋体" w:cs="宋体" w:hint="eastAsia"/>
                <w:color w:val="333333"/>
                <w:kern w:val="0"/>
                <w:sz w:val="23"/>
                <w:szCs w:val="23"/>
              </w:rPr>
              <w:t> </w:t>
            </w:r>
            <w:r w:rsidRPr="00305FA3">
              <w:rPr>
                <w:rFonts w:ascii="仿宋_GB2312" w:eastAsia="仿宋_GB2312" w:hAnsi="宋体" w:cs="宋体" w:hint="eastAsia"/>
                <w:color w:val="333333"/>
                <w:kern w:val="0"/>
                <w:sz w:val="23"/>
                <w:szCs w:val="23"/>
              </w:rPr>
              <w:t> </w:t>
            </w:r>
            <w:r w:rsidRPr="00305FA3">
              <w:rPr>
                <w:rFonts w:ascii="仿宋_GB2312" w:eastAsia="仿宋_GB2312" w:hAnsi="宋体" w:cs="宋体" w:hint="eastAsia"/>
                <w:color w:val="333333"/>
                <w:kern w:val="0"/>
                <w:sz w:val="23"/>
                <w:szCs w:val="23"/>
              </w:rPr>
              <w:t> </w:t>
            </w:r>
            <w:r w:rsidRPr="00305FA3">
              <w:rPr>
                <w:rFonts w:ascii="仿宋_GB2312" w:eastAsia="仿宋_GB2312" w:hAnsi="宋体" w:cs="宋体" w:hint="eastAsia"/>
                <w:color w:val="333333"/>
                <w:kern w:val="0"/>
                <w:sz w:val="23"/>
                <w:szCs w:val="23"/>
              </w:rPr>
              <w:t xml:space="preserve"> 月</w:t>
            </w:r>
            <w:r w:rsidRPr="00305FA3">
              <w:rPr>
                <w:rFonts w:ascii="仿宋_GB2312" w:eastAsia="仿宋_GB2312" w:hAnsi="宋体" w:cs="宋体" w:hint="eastAsia"/>
                <w:color w:val="333333"/>
                <w:kern w:val="0"/>
                <w:sz w:val="23"/>
                <w:szCs w:val="23"/>
              </w:rPr>
              <w:t> </w:t>
            </w:r>
            <w:r w:rsidRPr="00305FA3">
              <w:rPr>
                <w:rFonts w:ascii="仿宋_GB2312" w:eastAsia="仿宋_GB2312" w:hAnsi="宋体" w:cs="宋体" w:hint="eastAsia"/>
                <w:color w:val="333333"/>
                <w:kern w:val="0"/>
                <w:sz w:val="23"/>
                <w:szCs w:val="23"/>
              </w:rPr>
              <w:t> </w:t>
            </w:r>
            <w:r w:rsidRPr="00305FA3">
              <w:rPr>
                <w:rFonts w:ascii="仿宋_GB2312" w:eastAsia="仿宋_GB2312" w:hAnsi="宋体" w:cs="宋体" w:hint="eastAsia"/>
                <w:color w:val="333333"/>
                <w:kern w:val="0"/>
                <w:sz w:val="23"/>
                <w:szCs w:val="23"/>
              </w:rPr>
              <w:t> </w:t>
            </w:r>
            <w:r w:rsidRPr="00305FA3">
              <w:rPr>
                <w:rFonts w:ascii="仿宋_GB2312" w:eastAsia="仿宋_GB2312" w:hAnsi="宋体" w:cs="宋体" w:hint="eastAsia"/>
                <w:color w:val="333333"/>
                <w:kern w:val="0"/>
                <w:sz w:val="23"/>
                <w:szCs w:val="23"/>
              </w:rPr>
              <w:t xml:space="preserve"> 日</w:t>
            </w:r>
          </w:p>
        </w:tc>
      </w:tr>
      <w:tr w:rsidR="00305FA3" w:rsidRPr="00305FA3" w14:paraId="6E588F26" w14:textId="77777777" w:rsidTr="00305FA3">
        <w:trPr>
          <w:jc w:val="center"/>
        </w:trPr>
        <w:tc>
          <w:tcPr>
            <w:tcW w:w="16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D5C8F2A" w14:textId="77777777" w:rsidR="00305FA3" w:rsidRPr="00305FA3" w:rsidRDefault="00305FA3" w:rsidP="00305FA3">
            <w:pPr>
              <w:widowControl/>
              <w:spacing w:line="600" w:lineRule="atLeast"/>
              <w:jc w:val="center"/>
              <w:rPr>
                <w:rFonts w:ascii="宋体" w:hAnsi="宋体" w:cs="宋体" w:hint="eastAsia"/>
                <w:kern w:val="0"/>
                <w:sz w:val="24"/>
              </w:rPr>
            </w:pPr>
            <w:r w:rsidRPr="00305FA3">
              <w:rPr>
                <w:rFonts w:ascii="仿宋_GB2312" w:eastAsia="仿宋_GB2312" w:hAnsi="宋体" w:cs="宋体" w:hint="eastAsia"/>
                <w:color w:val="333333"/>
                <w:kern w:val="0"/>
                <w:sz w:val="23"/>
                <w:szCs w:val="23"/>
              </w:rPr>
              <w:t>分管领导意见</w:t>
            </w:r>
          </w:p>
        </w:tc>
        <w:tc>
          <w:tcPr>
            <w:tcW w:w="6825" w:type="dxa"/>
            <w:gridSpan w:val="6"/>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2ED3564" w14:textId="77777777" w:rsidR="00305FA3" w:rsidRPr="00305FA3" w:rsidRDefault="00305FA3" w:rsidP="00305FA3">
            <w:pPr>
              <w:widowControl/>
              <w:spacing w:line="600" w:lineRule="atLeast"/>
              <w:jc w:val="center"/>
              <w:rPr>
                <w:rFonts w:ascii="宋体" w:hAnsi="宋体" w:cs="宋体" w:hint="eastAsia"/>
                <w:kern w:val="0"/>
                <w:sz w:val="24"/>
              </w:rPr>
            </w:pPr>
            <w:r w:rsidRPr="00305FA3">
              <w:rPr>
                <w:rFonts w:ascii="仿宋_GB2312" w:eastAsia="仿宋_GB2312" w:hAnsi="宋体" w:cs="宋体" w:hint="eastAsia"/>
                <w:color w:val="333333"/>
                <w:kern w:val="0"/>
                <w:sz w:val="23"/>
                <w:szCs w:val="23"/>
              </w:rPr>
              <w:t> </w:t>
            </w:r>
          </w:p>
          <w:p w14:paraId="41263656" w14:textId="77777777" w:rsidR="00305FA3" w:rsidRPr="00305FA3" w:rsidRDefault="00305FA3" w:rsidP="00305FA3">
            <w:pPr>
              <w:widowControl/>
              <w:spacing w:line="600" w:lineRule="atLeast"/>
              <w:jc w:val="center"/>
              <w:rPr>
                <w:rFonts w:ascii="宋体" w:hAnsi="宋体" w:cs="宋体" w:hint="eastAsia"/>
                <w:kern w:val="0"/>
                <w:sz w:val="24"/>
              </w:rPr>
            </w:pPr>
            <w:r w:rsidRPr="00305FA3">
              <w:rPr>
                <w:rFonts w:ascii="仿宋_GB2312" w:eastAsia="仿宋_GB2312" w:hAnsi="宋体" w:cs="宋体" w:hint="eastAsia"/>
                <w:color w:val="333333"/>
                <w:kern w:val="0"/>
                <w:sz w:val="23"/>
                <w:szCs w:val="23"/>
              </w:rPr>
              <w:t> </w:t>
            </w:r>
          </w:p>
          <w:p w14:paraId="71FF687E" w14:textId="77777777" w:rsidR="00305FA3" w:rsidRPr="00305FA3" w:rsidRDefault="00305FA3" w:rsidP="00305FA3">
            <w:pPr>
              <w:widowControl/>
              <w:spacing w:line="600" w:lineRule="atLeast"/>
              <w:jc w:val="right"/>
              <w:rPr>
                <w:rFonts w:ascii="宋体" w:hAnsi="宋体" w:cs="宋体" w:hint="eastAsia"/>
                <w:kern w:val="0"/>
                <w:sz w:val="24"/>
              </w:rPr>
            </w:pPr>
            <w:r w:rsidRPr="00305FA3">
              <w:rPr>
                <w:rFonts w:ascii="仿宋_GB2312" w:eastAsia="仿宋_GB2312" w:hAnsi="宋体" w:cs="宋体" w:hint="eastAsia"/>
                <w:color w:val="333333"/>
                <w:kern w:val="0"/>
                <w:sz w:val="23"/>
                <w:szCs w:val="23"/>
              </w:rPr>
              <w:t>年</w:t>
            </w:r>
            <w:r w:rsidRPr="00305FA3">
              <w:rPr>
                <w:rFonts w:ascii="仿宋_GB2312" w:eastAsia="仿宋_GB2312" w:hAnsi="宋体" w:cs="宋体" w:hint="eastAsia"/>
                <w:color w:val="333333"/>
                <w:kern w:val="0"/>
                <w:sz w:val="23"/>
                <w:szCs w:val="23"/>
              </w:rPr>
              <w:t> </w:t>
            </w:r>
            <w:r w:rsidRPr="00305FA3">
              <w:rPr>
                <w:rFonts w:ascii="仿宋_GB2312" w:eastAsia="仿宋_GB2312" w:hAnsi="宋体" w:cs="宋体" w:hint="eastAsia"/>
                <w:color w:val="333333"/>
                <w:kern w:val="0"/>
                <w:sz w:val="23"/>
                <w:szCs w:val="23"/>
              </w:rPr>
              <w:t> </w:t>
            </w:r>
            <w:r w:rsidRPr="00305FA3">
              <w:rPr>
                <w:rFonts w:ascii="仿宋_GB2312" w:eastAsia="仿宋_GB2312" w:hAnsi="宋体" w:cs="宋体" w:hint="eastAsia"/>
                <w:color w:val="333333"/>
                <w:kern w:val="0"/>
                <w:sz w:val="23"/>
                <w:szCs w:val="23"/>
              </w:rPr>
              <w:t> </w:t>
            </w:r>
            <w:r w:rsidRPr="00305FA3">
              <w:rPr>
                <w:rFonts w:ascii="仿宋_GB2312" w:eastAsia="仿宋_GB2312" w:hAnsi="宋体" w:cs="宋体" w:hint="eastAsia"/>
                <w:color w:val="333333"/>
                <w:kern w:val="0"/>
                <w:sz w:val="23"/>
                <w:szCs w:val="23"/>
              </w:rPr>
              <w:t xml:space="preserve"> 月</w:t>
            </w:r>
            <w:r w:rsidRPr="00305FA3">
              <w:rPr>
                <w:rFonts w:ascii="仿宋_GB2312" w:eastAsia="仿宋_GB2312" w:hAnsi="宋体" w:cs="宋体" w:hint="eastAsia"/>
                <w:color w:val="333333"/>
                <w:kern w:val="0"/>
                <w:sz w:val="23"/>
                <w:szCs w:val="23"/>
              </w:rPr>
              <w:t> </w:t>
            </w:r>
            <w:r w:rsidRPr="00305FA3">
              <w:rPr>
                <w:rFonts w:ascii="仿宋_GB2312" w:eastAsia="仿宋_GB2312" w:hAnsi="宋体" w:cs="宋体" w:hint="eastAsia"/>
                <w:color w:val="333333"/>
                <w:kern w:val="0"/>
                <w:sz w:val="23"/>
                <w:szCs w:val="23"/>
              </w:rPr>
              <w:t> </w:t>
            </w:r>
            <w:r w:rsidRPr="00305FA3">
              <w:rPr>
                <w:rFonts w:ascii="仿宋_GB2312" w:eastAsia="仿宋_GB2312" w:hAnsi="宋体" w:cs="宋体" w:hint="eastAsia"/>
                <w:color w:val="333333"/>
                <w:kern w:val="0"/>
                <w:sz w:val="23"/>
                <w:szCs w:val="23"/>
              </w:rPr>
              <w:t> </w:t>
            </w:r>
            <w:r w:rsidRPr="00305FA3">
              <w:rPr>
                <w:rFonts w:ascii="仿宋_GB2312" w:eastAsia="仿宋_GB2312" w:hAnsi="宋体" w:cs="宋体" w:hint="eastAsia"/>
                <w:color w:val="333333"/>
                <w:kern w:val="0"/>
                <w:sz w:val="23"/>
                <w:szCs w:val="23"/>
              </w:rPr>
              <w:t xml:space="preserve"> 日</w:t>
            </w:r>
          </w:p>
        </w:tc>
      </w:tr>
      <w:tr w:rsidR="00305FA3" w:rsidRPr="00305FA3" w14:paraId="6552FEA7" w14:textId="77777777" w:rsidTr="00305FA3">
        <w:trPr>
          <w:jc w:val="center"/>
        </w:trPr>
        <w:tc>
          <w:tcPr>
            <w:tcW w:w="16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6789BDD" w14:textId="77777777" w:rsidR="00305FA3" w:rsidRPr="00305FA3" w:rsidRDefault="00305FA3" w:rsidP="00305FA3">
            <w:pPr>
              <w:widowControl/>
              <w:spacing w:line="600" w:lineRule="atLeast"/>
              <w:jc w:val="center"/>
              <w:rPr>
                <w:rFonts w:ascii="宋体" w:hAnsi="宋体" w:cs="宋体" w:hint="eastAsia"/>
                <w:kern w:val="0"/>
                <w:sz w:val="24"/>
              </w:rPr>
            </w:pPr>
            <w:r w:rsidRPr="00305FA3">
              <w:rPr>
                <w:rFonts w:ascii="仿宋_GB2312" w:eastAsia="仿宋_GB2312" w:hAnsi="宋体" w:cs="宋体" w:hint="eastAsia"/>
                <w:color w:val="333333"/>
                <w:kern w:val="0"/>
                <w:sz w:val="23"/>
                <w:szCs w:val="23"/>
              </w:rPr>
              <w:t>备注</w:t>
            </w:r>
          </w:p>
        </w:tc>
        <w:tc>
          <w:tcPr>
            <w:tcW w:w="6825" w:type="dxa"/>
            <w:gridSpan w:val="6"/>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C005F40" w14:textId="77777777" w:rsidR="00305FA3" w:rsidRPr="00305FA3" w:rsidRDefault="00305FA3" w:rsidP="00305FA3">
            <w:pPr>
              <w:rPr>
                <w:rFonts w:ascii="宋体" w:hAnsi="宋体" w:cs="宋体" w:hint="eastAsia"/>
                <w:kern w:val="0"/>
                <w:sz w:val="24"/>
              </w:rPr>
            </w:pPr>
          </w:p>
        </w:tc>
      </w:tr>
    </w:tbl>
    <w:p w14:paraId="1457EDDC" w14:textId="41BDA479" w:rsidR="001E3CE5" w:rsidRPr="00305FA3" w:rsidRDefault="00305FA3" w:rsidP="00305FA3">
      <w:pPr>
        <w:widowControl/>
        <w:spacing w:line="360" w:lineRule="atLeast"/>
        <w:jc w:val="right"/>
        <w:rPr>
          <w:rFonts w:ascii="Arial" w:hAnsi="Arial" w:cs="Arial" w:hint="eastAsia"/>
          <w:color w:val="000000"/>
          <w:kern w:val="0"/>
          <w:sz w:val="27"/>
          <w:szCs w:val="27"/>
        </w:rPr>
      </w:pPr>
      <w:r w:rsidRPr="00305FA3">
        <w:rPr>
          <w:rFonts w:ascii="仿宋" w:eastAsia="仿宋" w:hAnsi="仿宋" w:cs="Arial" w:hint="eastAsia"/>
          <w:color w:val="000000"/>
          <w:kern w:val="0"/>
          <w:sz w:val="32"/>
          <w:szCs w:val="32"/>
        </w:rPr>
        <w:t> </w:t>
      </w:r>
    </w:p>
    <w:sectPr w:rsidR="001E3CE5" w:rsidRPr="00305FA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5F40" w14:textId="77777777" w:rsidR="00AF2B2A" w:rsidRDefault="00AF2B2A">
      <w:r>
        <w:separator/>
      </w:r>
    </w:p>
  </w:endnote>
  <w:endnote w:type="continuationSeparator" w:id="0">
    <w:p w14:paraId="4613B529" w14:textId="77777777" w:rsidR="00AF2B2A" w:rsidRDefault="00AF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4B6E" w14:textId="1009C527" w:rsidR="00D34292" w:rsidRDefault="00724A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0FA66962" wp14:editId="4E543889">
              <wp:simplePos x="0" y="0"/>
              <wp:positionH relativeFrom="margin">
                <wp:align>outside</wp:align>
              </wp:positionH>
              <wp:positionV relativeFrom="paragraph">
                <wp:posOffset>0</wp:posOffset>
              </wp:positionV>
              <wp:extent cx="445135" cy="230505"/>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FA66962" id="文本框 8" o:spid="_x0000_s1026" style="position:absolute;left:0;text-align:left;margin-left:-16.15pt;margin-top:0;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" filled="f" stroked="f">
              <v:textbox style="mso-fit-shape-to-text:t" inset="0,0,0,0">
                <w:txbxContent>
                  <w:p w14:paraId="7FA0476B" w14:textId="77777777" w:rsidR="00D34292" w:rsidRDefault="0000000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45DD9938" w14:textId="69F60838" w:rsidR="00D34292" w:rsidRDefault="00724A00">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7E257FAF" wp14:editId="5A9E5EC2">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9061"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陕西省</w:t>
    </w:r>
    <w:r w:rsidR="00305FA3">
      <w:rPr>
        <w:rFonts w:ascii="宋体" w:hAnsi="宋体" w:cs="宋体" w:hint="eastAsia"/>
        <w:b/>
        <w:bCs/>
        <w:color w:val="005192"/>
        <w:sz w:val="28"/>
        <w:szCs w:val="44"/>
      </w:rPr>
      <w:t>信访局</w:t>
    </w:r>
    <w:r>
      <w:rPr>
        <w:rFonts w:ascii="宋体" w:hAnsi="宋体" w:cs="宋体" w:hint="eastAsia"/>
        <w:b/>
        <w:bCs/>
        <w:color w:val="005192"/>
        <w:sz w:val="28"/>
        <w:szCs w:val="44"/>
      </w:rPr>
      <w:t xml:space="preserve">发布     </w:t>
    </w:r>
  </w:p>
  <w:p w14:paraId="614BE683" w14:textId="77777777" w:rsidR="00D34292" w:rsidRDefault="00D34292">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B7FC" w14:textId="77777777" w:rsidR="00AF2B2A" w:rsidRDefault="00AF2B2A">
      <w:r>
        <w:separator/>
      </w:r>
    </w:p>
  </w:footnote>
  <w:footnote w:type="continuationSeparator" w:id="0">
    <w:p w14:paraId="3249BBC6" w14:textId="77777777" w:rsidR="00AF2B2A" w:rsidRDefault="00AF2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B735" w14:textId="2C3D59C3" w:rsidR="00D34292" w:rsidRDefault="00724A00">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104AE7D6" wp14:editId="40342A08">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26A9"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69E339F4" w14:textId="04939D81" w:rsidR="00D34292" w:rsidRDefault="00724A00">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24ACAE46" wp14:editId="4C244B32">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w:t>
    </w:r>
    <w:bookmarkEnd w:id="0"/>
    <w:r w:rsidR="00305FA3">
      <w:rPr>
        <w:rFonts w:ascii="宋体" w:hAnsi="宋体" w:cs="宋体" w:hint="eastAsia"/>
        <w:b/>
        <w:bCs/>
        <w:color w:val="005192"/>
        <w:sz w:val="32"/>
        <w:szCs w:val="32"/>
      </w:rPr>
      <w:t>信访局</w:t>
    </w:r>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1E3CE5"/>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05FA3"/>
    <w:rsid w:val="003151B0"/>
    <w:rsid w:val="00325FC8"/>
    <w:rsid w:val="0036697B"/>
    <w:rsid w:val="0036709C"/>
    <w:rsid w:val="0036781B"/>
    <w:rsid w:val="00370FEA"/>
    <w:rsid w:val="003A107A"/>
    <w:rsid w:val="003A2E85"/>
    <w:rsid w:val="003F2D22"/>
    <w:rsid w:val="004B05F0"/>
    <w:rsid w:val="004D5222"/>
    <w:rsid w:val="004E0B05"/>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732D4"/>
    <w:rsid w:val="006C4486"/>
    <w:rsid w:val="006E48E1"/>
    <w:rsid w:val="00721254"/>
    <w:rsid w:val="00724A00"/>
    <w:rsid w:val="00744087"/>
    <w:rsid w:val="00751763"/>
    <w:rsid w:val="00752648"/>
    <w:rsid w:val="00752757"/>
    <w:rsid w:val="00754135"/>
    <w:rsid w:val="00755671"/>
    <w:rsid w:val="0079152F"/>
    <w:rsid w:val="00794921"/>
    <w:rsid w:val="00796A26"/>
    <w:rsid w:val="007A1C76"/>
    <w:rsid w:val="007A7922"/>
    <w:rsid w:val="007B34F0"/>
    <w:rsid w:val="007C4CD9"/>
    <w:rsid w:val="007D72DC"/>
    <w:rsid w:val="008024B3"/>
    <w:rsid w:val="00825573"/>
    <w:rsid w:val="008311A0"/>
    <w:rsid w:val="008445CB"/>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9C641B"/>
    <w:rsid w:val="00A01E13"/>
    <w:rsid w:val="00A056C3"/>
    <w:rsid w:val="00A05D64"/>
    <w:rsid w:val="00A12093"/>
    <w:rsid w:val="00A13856"/>
    <w:rsid w:val="00A22BEE"/>
    <w:rsid w:val="00A35990"/>
    <w:rsid w:val="00A364A1"/>
    <w:rsid w:val="00A57232"/>
    <w:rsid w:val="00A91971"/>
    <w:rsid w:val="00AB5BC5"/>
    <w:rsid w:val="00AF2B2A"/>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3429"/>
    <w:rsid w:val="00D16E56"/>
    <w:rsid w:val="00D22822"/>
    <w:rsid w:val="00D232C0"/>
    <w:rsid w:val="00D263FD"/>
    <w:rsid w:val="00D34292"/>
    <w:rsid w:val="00D4694E"/>
    <w:rsid w:val="00D628F6"/>
    <w:rsid w:val="00D639B0"/>
    <w:rsid w:val="00D64696"/>
    <w:rsid w:val="00D76B4C"/>
    <w:rsid w:val="00D9223D"/>
    <w:rsid w:val="00D9684C"/>
    <w:rsid w:val="00DC0158"/>
    <w:rsid w:val="00DC3AD8"/>
    <w:rsid w:val="00DC6AB1"/>
    <w:rsid w:val="00DD0DA2"/>
    <w:rsid w:val="00DE2CB3"/>
    <w:rsid w:val="00E3043B"/>
    <w:rsid w:val="00EA14FF"/>
    <w:rsid w:val="00EC1320"/>
    <w:rsid w:val="00EC515C"/>
    <w:rsid w:val="00EE43AF"/>
    <w:rsid w:val="00F114E6"/>
    <w:rsid w:val="00F20289"/>
    <w:rsid w:val="00F21451"/>
    <w:rsid w:val="00F36366"/>
    <w:rsid w:val="00F47E97"/>
    <w:rsid w:val="00F503E7"/>
    <w:rsid w:val="00F644B8"/>
    <w:rsid w:val="00F67BBB"/>
    <w:rsid w:val="00F806C1"/>
    <w:rsid w:val="00F90DAF"/>
    <w:rsid w:val="00FD5B8A"/>
    <w:rsid w:val="00FD65DD"/>
    <w:rsid w:val="00FE3510"/>
    <w:rsid w:val="00FF580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FC3644C"/>
  <w15:docId w15:val="{1B7DFBBD-39D7-462A-AF52-D192973F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 w:type="paragraph" w:styleId="a9">
    <w:name w:val="Date"/>
    <w:basedOn w:val="a"/>
    <w:next w:val="a"/>
    <w:link w:val="aa"/>
    <w:rsid w:val="0036709C"/>
    <w:pPr>
      <w:ind w:leftChars="2500" w:left="100"/>
    </w:pPr>
  </w:style>
  <w:style w:type="character" w:customStyle="1" w:styleId="aa">
    <w:name w:val="日期 字符"/>
    <w:basedOn w:val="a0"/>
    <w:link w:val="a9"/>
    <w:rsid w:val="0036709C"/>
    <w:rPr>
      <w:rFonts w:ascii="Calibri" w:hAnsi="Calibri" w:cs="黑体"/>
      <w:kern w:val="2"/>
      <w:sz w:val="21"/>
      <w:szCs w:val="24"/>
    </w:rPr>
  </w:style>
  <w:style w:type="paragraph" w:styleId="ab">
    <w:name w:val="List Paragraph"/>
    <w:basedOn w:val="a"/>
    <w:uiPriority w:val="99"/>
    <w:rsid w:val="00D469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3188">
      <w:bodyDiv w:val="1"/>
      <w:marLeft w:val="0"/>
      <w:marRight w:val="0"/>
      <w:marTop w:val="0"/>
      <w:marBottom w:val="0"/>
      <w:divBdr>
        <w:top w:val="none" w:sz="0" w:space="0" w:color="auto"/>
        <w:left w:val="none" w:sz="0" w:space="0" w:color="auto"/>
        <w:bottom w:val="none" w:sz="0" w:space="0" w:color="auto"/>
        <w:right w:val="none" w:sz="0" w:space="0" w:color="auto"/>
      </w:divBdr>
    </w:div>
    <w:div w:id="121773031">
      <w:bodyDiv w:val="1"/>
      <w:marLeft w:val="0"/>
      <w:marRight w:val="0"/>
      <w:marTop w:val="0"/>
      <w:marBottom w:val="0"/>
      <w:divBdr>
        <w:top w:val="none" w:sz="0" w:space="0" w:color="auto"/>
        <w:left w:val="none" w:sz="0" w:space="0" w:color="auto"/>
        <w:bottom w:val="none" w:sz="0" w:space="0" w:color="auto"/>
        <w:right w:val="none" w:sz="0" w:space="0" w:color="auto"/>
      </w:divBdr>
    </w:div>
    <w:div w:id="193470251">
      <w:bodyDiv w:val="1"/>
      <w:marLeft w:val="0"/>
      <w:marRight w:val="0"/>
      <w:marTop w:val="0"/>
      <w:marBottom w:val="0"/>
      <w:divBdr>
        <w:top w:val="none" w:sz="0" w:space="0" w:color="auto"/>
        <w:left w:val="none" w:sz="0" w:space="0" w:color="auto"/>
        <w:bottom w:val="none" w:sz="0" w:space="0" w:color="auto"/>
        <w:right w:val="none" w:sz="0" w:space="0" w:color="auto"/>
      </w:divBdr>
    </w:div>
    <w:div w:id="415322101">
      <w:bodyDiv w:val="1"/>
      <w:marLeft w:val="0"/>
      <w:marRight w:val="0"/>
      <w:marTop w:val="0"/>
      <w:marBottom w:val="0"/>
      <w:divBdr>
        <w:top w:val="none" w:sz="0" w:space="0" w:color="auto"/>
        <w:left w:val="none" w:sz="0" w:space="0" w:color="auto"/>
        <w:bottom w:val="none" w:sz="0" w:space="0" w:color="auto"/>
        <w:right w:val="none" w:sz="0" w:space="0" w:color="auto"/>
      </w:divBdr>
    </w:div>
    <w:div w:id="443884721">
      <w:bodyDiv w:val="1"/>
      <w:marLeft w:val="0"/>
      <w:marRight w:val="0"/>
      <w:marTop w:val="0"/>
      <w:marBottom w:val="0"/>
      <w:divBdr>
        <w:top w:val="none" w:sz="0" w:space="0" w:color="auto"/>
        <w:left w:val="none" w:sz="0" w:space="0" w:color="auto"/>
        <w:bottom w:val="none" w:sz="0" w:space="0" w:color="auto"/>
        <w:right w:val="none" w:sz="0" w:space="0" w:color="auto"/>
      </w:divBdr>
    </w:div>
    <w:div w:id="592512649">
      <w:bodyDiv w:val="1"/>
      <w:marLeft w:val="0"/>
      <w:marRight w:val="0"/>
      <w:marTop w:val="0"/>
      <w:marBottom w:val="0"/>
      <w:divBdr>
        <w:top w:val="none" w:sz="0" w:space="0" w:color="auto"/>
        <w:left w:val="none" w:sz="0" w:space="0" w:color="auto"/>
        <w:bottom w:val="none" w:sz="0" w:space="0" w:color="auto"/>
        <w:right w:val="none" w:sz="0" w:space="0" w:color="auto"/>
      </w:divBdr>
    </w:div>
    <w:div w:id="688727304">
      <w:bodyDiv w:val="1"/>
      <w:marLeft w:val="0"/>
      <w:marRight w:val="0"/>
      <w:marTop w:val="0"/>
      <w:marBottom w:val="0"/>
      <w:divBdr>
        <w:top w:val="none" w:sz="0" w:space="0" w:color="auto"/>
        <w:left w:val="none" w:sz="0" w:space="0" w:color="auto"/>
        <w:bottom w:val="none" w:sz="0" w:space="0" w:color="auto"/>
        <w:right w:val="none" w:sz="0" w:space="0" w:color="auto"/>
      </w:divBdr>
    </w:div>
    <w:div w:id="733088273">
      <w:bodyDiv w:val="1"/>
      <w:marLeft w:val="0"/>
      <w:marRight w:val="0"/>
      <w:marTop w:val="0"/>
      <w:marBottom w:val="0"/>
      <w:divBdr>
        <w:top w:val="none" w:sz="0" w:space="0" w:color="auto"/>
        <w:left w:val="none" w:sz="0" w:space="0" w:color="auto"/>
        <w:bottom w:val="none" w:sz="0" w:space="0" w:color="auto"/>
        <w:right w:val="none" w:sz="0" w:space="0" w:color="auto"/>
      </w:divBdr>
    </w:div>
    <w:div w:id="755518169">
      <w:bodyDiv w:val="1"/>
      <w:marLeft w:val="0"/>
      <w:marRight w:val="0"/>
      <w:marTop w:val="0"/>
      <w:marBottom w:val="0"/>
      <w:divBdr>
        <w:top w:val="none" w:sz="0" w:space="0" w:color="auto"/>
        <w:left w:val="none" w:sz="0" w:space="0" w:color="auto"/>
        <w:bottom w:val="none" w:sz="0" w:space="0" w:color="auto"/>
        <w:right w:val="none" w:sz="0" w:space="0" w:color="auto"/>
      </w:divBdr>
    </w:div>
    <w:div w:id="904030367">
      <w:bodyDiv w:val="1"/>
      <w:marLeft w:val="0"/>
      <w:marRight w:val="0"/>
      <w:marTop w:val="0"/>
      <w:marBottom w:val="0"/>
      <w:divBdr>
        <w:top w:val="none" w:sz="0" w:space="0" w:color="auto"/>
        <w:left w:val="none" w:sz="0" w:space="0" w:color="auto"/>
        <w:bottom w:val="none" w:sz="0" w:space="0" w:color="auto"/>
        <w:right w:val="none" w:sz="0" w:space="0" w:color="auto"/>
      </w:divBdr>
    </w:div>
    <w:div w:id="978848192">
      <w:bodyDiv w:val="1"/>
      <w:marLeft w:val="0"/>
      <w:marRight w:val="0"/>
      <w:marTop w:val="0"/>
      <w:marBottom w:val="0"/>
      <w:divBdr>
        <w:top w:val="none" w:sz="0" w:space="0" w:color="auto"/>
        <w:left w:val="none" w:sz="0" w:space="0" w:color="auto"/>
        <w:bottom w:val="none" w:sz="0" w:space="0" w:color="auto"/>
        <w:right w:val="none" w:sz="0" w:space="0" w:color="auto"/>
      </w:divBdr>
    </w:div>
    <w:div w:id="1101293830">
      <w:bodyDiv w:val="1"/>
      <w:marLeft w:val="0"/>
      <w:marRight w:val="0"/>
      <w:marTop w:val="0"/>
      <w:marBottom w:val="0"/>
      <w:divBdr>
        <w:top w:val="none" w:sz="0" w:space="0" w:color="auto"/>
        <w:left w:val="none" w:sz="0" w:space="0" w:color="auto"/>
        <w:bottom w:val="none" w:sz="0" w:space="0" w:color="auto"/>
        <w:right w:val="none" w:sz="0" w:space="0" w:color="auto"/>
      </w:divBdr>
    </w:div>
    <w:div w:id="1118452297">
      <w:bodyDiv w:val="1"/>
      <w:marLeft w:val="0"/>
      <w:marRight w:val="0"/>
      <w:marTop w:val="0"/>
      <w:marBottom w:val="0"/>
      <w:divBdr>
        <w:top w:val="none" w:sz="0" w:space="0" w:color="auto"/>
        <w:left w:val="none" w:sz="0" w:space="0" w:color="auto"/>
        <w:bottom w:val="none" w:sz="0" w:space="0" w:color="auto"/>
        <w:right w:val="none" w:sz="0" w:space="0" w:color="auto"/>
      </w:divBdr>
    </w:div>
    <w:div w:id="1381130190">
      <w:bodyDiv w:val="1"/>
      <w:marLeft w:val="0"/>
      <w:marRight w:val="0"/>
      <w:marTop w:val="0"/>
      <w:marBottom w:val="0"/>
      <w:divBdr>
        <w:top w:val="none" w:sz="0" w:space="0" w:color="auto"/>
        <w:left w:val="none" w:sz="0" w:space="0" w:color="auto"/>
        <w:bottom w:val="none" w:sz="0" w:space="0" w:color="auto"/>
        <w:right w:val="none" w:sz="0" w:space="0" w:color="auto"/>
      </w:divBdr>
    </w:div>
    <w:div w:id="1425875667">
      <w:bodyDiv w:val="1"/>
      <w:marLeft w:val="0"/>
      <w:marRight w:val="0"/>
      <w:marTop w:val="0"/>
      <w:marBottom w:val="0"/>
      <w:divBdr>
        <w:top w:val="none" w:sz="0" w:space="0" w:color="auto"/>
        <w:left w:val="none" w:sz="0" w:space="0" w:color="auto"/>
        <w:bottom w:val="none" w:sz="0" w:space="0" w:color="auto"/>
        <w:right w:val="none" w:sz="0" w:space="0" w:color="auto"/>
      </w:divBdr>
    </w:div>
    <w:div w:id="1549218395">
      <w:bodyDiv w:val="1"/>
      <w:marLeft w:val="0"/>
      <w:marRight w:val="0"/>
      <w:marTop w:val="0"/>
      <w:marBottom w:val="0"/>
      <w:divBdr>
        <w:top w:val="none" w:sz="0" w:space="0" w:color="auto"/>
        <w:left w:val="none" w:sz="0" w:space="0" w:color="auto"/>
        <w:bottom w:val="none" w:sz="0" w:space="0" w:color="auto"/>
        <w:right w:val="none" w:sz="0" w:space="0" w:color="auto"/>
      </w:divBdr>
    </w:div>
    <w:div w:id="1689869038">
      <w:bodyDiv w:val="1"/>
      <w:marLeft w:val="0"/>
      <w:marRight w:val="0"/>
      <w:marTop w:val="0"/>
      <w:marBottom w:val="0"/>
      <w:divBdr>
        <w:top w:val="none" w:sz="0" w:space="0" w:color="auto"/>
        <w:left w:val="none" w:sz="0" w:space="0" w:color="auto"/>
        <w:bottom w:val="none" w:sz="0" w:space="0" w:color="auto"/>
        <w:right w:val="none" w:sz="0" w:space="0" w:color="auto"/>
      </w:divBdr>
    </w:div>
    <w:div w:id="1722897363">
      <w:bodyDiv w:val="1"/>
      <w:marLeft w:val="0"/>
      <w:marRight w:val="0"/>
      <w:marTop w:val="0"/>
      <w:marBottom w:val="0"/>
      <w:divBdr>
        <w:top w:val="none" w:sz="0" w:space="0" w:color="auto"/>
        <w:left w:val="none" w:sz="0" w:space="0" w:color="auto"/>
        <w:bottom w:val="none" w:sz="0" w:space="0" w:color="auto"/>
        <w:right w:val="none" w:sz="0" w:space="0" w:color="auto"/>
      </w:divBdr>
    </w:div>
    <w:div w:id="1776557893">
      <w:bodyDiv w:val="1"/>
      <w:marLeft w:val="0"/>
      <w:marRight w:val="0"/>
      <w:marTop w:val="0"/>
      <w:marBottom w:val="0"/>
      <w:divBdr>
        <w:top w:val="none" w:sz="0" w:space="0" w:color="auto"/>
        <w:left w:val="none" w:sz="0" w:space="0" w:color="auto"/>
        <w:bottom w:val="none" w:sz="0" w:space="0" w:color="auto"/>
        <w:right w:val="none" w:sz="0" w:space="0" w:color="auto"/>
      </w:divBdr>
    </w:div>
    <w:div w:id="1875996221">
      <w:bodyDiv w:val="1"/>
      <w:marLeft w:val="0"/>
      <w:marRight w:val="0"/>
      <w:marTop w:val="0"/>
      <w:marBottom w:val="0"/>
      <w:divBdr>
        <w:top w:val="none" w:sz="0" w:space="0" w:color="auto"/>
        <w:left w:val="none" w:sz="0" w:space="0" w:color="auto"/>
        <w:bottom w:val="none" w:sz="0" w:space="0" w:color="auto"/>
        <w:right w:val="none" w:sz="0" w:space="0" w:color="auto"/>
      </w:divBdr>
    </w:div>
    <w:div w:id="1979259000">
      <w:bodyDiv w:val="1"/>
      <w:marLeft w:val="0"/>
      <w:marRight w:val="0"/>
      <w:marTop w:val="0"/>
      <w:marBottom w:val="0"/>
      <w:divBdr>
        <w:top w:val="none" w:sz="0" w:space="0" w:color="auto"/>
        <w:left w:val="none" w:sz="0" w:space="0" w:color="auto"/>
        <w:bottom w:val="none" w:sz="0" w:space="0" w:color="auto"/>
        <w:right w:val="none" w:sz="0" w:space="0" w:color="auto"/>
      </w:divBdr>
    </w:div>
    <w:div w:id="204455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1283</Words>
  <Characters>7318</Characters>
  <Application>Microsoft Office Word</Application>
  <DocSecurity>0</DocSecurity>
  <Lines>60</Lines>
  <Paragraphs>17</Paragraphs>
  <ScaleCrop>false</ScaleCrop>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c cx</cp:lastModifiedBy>
  <cp:revision>2</cp:revision>
  <cp:lastPrinted>2021-12-28T07:02:00Z</cp:lastPrinted>
  <dcterms:created xsi:type="dcterms:W3CDTF">2022-09-22T09:25:00Z</dcterms:created>
  <dcterms:modified xsi:type="dcterms:W3CDTF">2022-09-22T09:25:00Z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