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eastAsia="zh-CN"/>
        </w:rPr>
      </w:pPr>
    </w:p>
    <w:p>
      <w:pPr>
        <w:jc w:val="center"/>
        <w:rPr>
          <w:rFonts w:hint="eastAsia" w:ascii="宋体" w:hAnsi="宋体" w:eastAsia="宋体" w:cs="宋体"/>
          <w:sz w:val="44"/>
          <w:szCs w:val="44"/>
          <w:lang w:eastAsia="zh-CN"/>
        </w:rPr>
      </w:pPr>
    </w:p>
    <w:p>
      <w:pPr>
        <w:jc w:val="center"/>
        <w:rPr>
          <w:rFonts w:hint="eastAsia" w:ascii="宋体" w:hAnsi="宋体" w:eastAsia="宋体" w:cs="宋体"/>
          <w:b/>
          <w:bCs/>
          <w:color w:val="333333"/>
          <w:sz w:val="44"/>
          <w:szCs w:val="44"/>
          <w:shd w:val="clear" w:color="auto" w:fill="FFFFFF"/>
        </w:rPr>
      </w:pPr>
      <w:bookmarkStart w:id="1" w:name="_GoBack"/>
      <w:r>
        <w:rPr>
          <w:rFonts w:hint="eastAsia" w:ascii="宋体" w:hAnsi="宋体" w:eastAsia="宋体" w:cs="宋体"/>
          <w:b/>
          <w:bCs/>
          <w:color w:val="333333"/>
          <w:sz w:val="44"/>
          <w:szCs w:val="44"/>
          <w:shd w:val="clear" w:color="auto" w:fill="FFFFFF"/>
          <w:lang w:val="en-US" w:eastAsia="zh-CN"/>
        </w:rPr>
        <w:t>陕西省商务厅关于印发《陕西省成品油零售 分销体系“十四五”发展规划编制 工作总体方案》的通知</w:t>
      </w:r>
    </w:p>
    <w:bookmarkEnd w:id="1"/>
    <w:p>
      <w:pPr>
        <w:jc w:val="center"/>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rPr>
        <w:t>陕商函〔2020〕272号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left"/>
        <w:textAlignment w:val="auto"/>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pPr>
      <w:r>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t>各设区市（区）、西咸新区、韩城市、神木市、府谷县商务主管部门：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left"/>
        <w:textAlignment w:val="auto"/>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pPr>
      <w:r>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t>      为积极适应成品油市场发展新形势新要求，进一步健全成品油零售分销体系，加强宏观调控，优化空间布局，推动成品油市场平稳健康发展，我厅制定了《陕西省成品油零售分销体系“十四五”发展规划编制工作总体方案》，现印发你们，请认真贯彻执行，按时限高质量做好成品油零售分销体系“十四五”发展规划编制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16" w:firstLineChars="200"/>
        <w:jc w:val="left"/>
        <w:textAlignment w:val="auto"/>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pPr>
      <w:r>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t>联系人：刘  旻  联系电话：029—63914089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0"/>
        <w:jc w:val="left"/>
        <w:textAlignment w:val="auto"/>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pPr>
      <w:r>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t> </w:t>
      </w:r>
    </w:p>
    <w:p>
      <w:pPr>
        <w:pStyle w:val="2"/>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308" w:firstLineChars="100"/>
        <w:jc w:val="center"/>
        <w:textAlignment w:val="auto"/>
        <w:rPr>
          <w:rFonts w:hint="default" w:ascii="仿宋_GB2312" w:hAnsi="仿宋_GB2312" w:eastAsia="仿宋_GB2312" w:cs="仿宋_GB2312"/>
          <w:b w:val="0"/>
          <w:i w:val="0"/>
          <w:smallCaps w:val="0"/>
          <w:snapToGrid/>
          <w:color w:val="auto"/>
          <w:spacing w:val="-6"/>
          <w:kern w:val="2"/>
          <w:sz w:val="32"/>
          <w:szCs w:val="32"/>
          <w:shd w:val="clear" w:color="auto" w:fill="FFFFFF"/>
          <w:lang w:val="en-US" w:eastAsia="zh-CN" w:bidi="ar-SA"/>
        </w:rPr>
      </w:pPr>
      <w:r>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t xml:space="preserve">                             陕西省商务厅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5544" w:firstLineChars="1800"/>
        <w:jc w:val="both"/>
        <w:textAlignment w:val="auto"/>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pPr>
      <w:r>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t>2020年5月18日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333333"/>
          <w:kern w:val="2"/>
          <w:sz w:val="32"/>
          <w:szCs w:val="32"/>
          <w:shd w:val="clear" w:color="auto" w:fill="FFFFFF"/>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陕西省成品油零售分销体系</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“十四五”发展规划编制工作总体方案</w:t>
      </w:r>
      <w:r>
        <w:rPr>
          <w:rFonts w:hint="eastAsia" w:ascii="黑体" w:hAnsi="黑体" w:eastAsia="黑体" w:cs="黑体"/>
          <w:kern w:val="2"/>
          <w:sz w:val="32"/>
          <w:szCs w:val="32"/>
          <w:lang w:val="en-US" w:eastAsia="zh-CN" w:bidi="ar-SA"/>
        </w:rPr>
        <w:br w:type="textWrapping"/>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16" w:firstLineChars="200"/>
        <w:jc w:val="left"/>
        <w:textAlignment w:val="auto"/>
        <w:outlineLvl w:val="9"/>
        <w:rPr>
          <w:rFonts w:hint="eastAsia" w:ascii="仿宋" w:hAnsi="仿宋" w:eastAsia="仿宋" w:cs="仿宋"/>
          <w:b w:val="0"/>
          <w:i w:val="0"/>
          <w:smallCaps w:val="0"/>
          <w:snapToGrid/>
          <w:color w:val="auto"/>
          <w:spacing w:val="-6"/>
          <w:sz w:val="32"/>
          <w:szCs w:val="32"/>
          <w:shd w:val="clear" w:color="auto" w:fill="FFFFFF"/>
          <w:lang w:val="en-US" w:eastAsia="zh-CN"/>
        </w:rPr>
      </w:pP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为积极适应成品油市场发展新形势新要求，进一步健全</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成品油</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零售</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分销体系，</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加强成品油市场监督管理，促进</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成品油市场</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平稳健康</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发展，</w:t>
      </w:r>
      <w:r>
        <w:rPr>
          <w:rFonts w:hint="eastAsia" w:ascii="仿宋_GB2312" w:hAnsi="仿宋_GB2312" w:eastAsia="仿宋_GB2312" w:cs="仿宋_GB2312"/>
          <w:color w:val="auto"/>
          <w:spacing w:val="-6"/>
          <w:kern w:val="2"/>
          <w:sz w:val="32"/>
          <w:szCs w:val="32"/>
          <w:lang w:val="en-US" w:eastAsia="zh-CN" w:bidi="ar-SA"/>
        </w:rPr>
        <w:t>更好满足人民群众日益增长的美好生活需要，</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助力</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我省经济社会</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高质量</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发展，</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现就</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做好我省成品油零售分销体系“十四五”发展规划编制工作，制定以下工作方案：</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 xml:space="preserve">            </w:t>
      </w:r>
      <w:r>
        <w:rPr>
          <w:rFonts w:hint="eastAsia" w:ascii="仿宋" w:hAnsi="仿宋" w:eastAsia="仿宋" w:cs="仿宋"/>
          <w:b w:val="0"/>
          <w:i w:val="0"/>
          <w:smallCaps w:val="0"/>
          <w:snapToGrid/>
          <w:color w:val="auto"/>
          <w:spacing w:val="-6"/>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default" w:ascii="黑体" w:hAnsi="黑体" w:eastAsia="黑体" w:cs="黑体"/>
          <w:b w:val="0"/>
          <w:i w:val="0"/>
          <w:smallCaps w:val="0"/>
          <w:snapToGrid/>
          <w:color w:val="auto"/>
          <w:spacing w:val="-6"/>
          <w:sz w:val="32"/>
          <w:szCs w:val="32"/>
          <w:shd w:val="clear" w:color="auto" w:fill="FFFFFF"/>
          <w:lang w:val="en-US" w:eastAsia="zh-CN"/>
        </w:rPr>
      </w:pPr>
      <w:r>
        <w:rPr>
          <w:rFonts w:hint="eastAsia" w:ascii="仿宋" w:hAnsi="仿宋" w:eastAsia="仿宋" w:cs="仿宋"/>
          <w:b w:val="0"/>
          <w:i w:val="0"/>
          <w:smallCaps w:val="0"/>
          <w:snapToGrid/>
          <w:color w:val="auto"/>
          <w:spacing w:val="-6"/>
          <w:sz w:val="32"/>
          <w:szCs w:val="32"/>
          <w:shd w:val="clear" w:color="auto" w:fill="FFFFFF"/>
          <w:lang w:val="en-US" w:eastAsia="zh-CN"/>
        </w:rPr>
        <w:t xml:space="preserve">    </w:t>
      </w:r>
      <w:r>
        <w:rPr>
          <w:rFonts w:hint="eastAsia" w:ascii="黑体" w:hAnsi="黑体" w:eastAsia="黑体" w:cs="黑体"/>
          <w:b w:val="0"/>
          <w:i w:val="0"/>
          <w:smallCaps w:val="0"/>
          <w:snapToGrid/>
          <w:color w:val="auto"/>
          <w:spacing w:val="-6"/>
          <w:sz w:val="32"/>
          <w:szCs w:val="32"/>
          <w:shd w:val="clear" w:color="auto" w:fill="FFFFFF"/>
          <w:lang w:val="en-US" w:eastAsia="zh-CN"/>
        </w:rPr>
        <w:t>一、指导思想</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16" w:firstLineChars="200"/>
        <w:jc w:val="left"/>
        <w:textAlignment w:val="auto"/>
        <w:outlineLvl w:val="9"/>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pP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认真贯彻习近平新时代中国特色社会主义思想，</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根据我省国民经济和社会发展规划总体要求，</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积极适应</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能源、车辆、</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道路</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发展</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形势</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按照“</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严格控制总量、优化布局结构”</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的原则</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以“完善网络、扩大消费、加强监管、促进发展”为目标，</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建立</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健全</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与我省国民经济发展相适应、布局合理、功能完善的成品油零售分销服务网络体系</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，进一步加强成品油市场监督管理，支持成品油零售新业态新模式，扩大成品油消费，推动建设15分钟便民服务圈，</w:t>
      </w:r>
      <w:r>
        <w:rPr>
          <w:rFonts w:hint="eastAsia" w:ascii="仿宋_GB2312" w:hAnsi="仿宋_GB2312" w:eastAsia="仿宋_GB2312" w:cs="仿宋_GB2312"/>
          <w:color w:val="auto"/>
          <w:spacing w:val="-6"/>
          <w:kern w:val="2"/>
          <w:sz w:val="32"/>
          <w:szCs w:val="32"/>
          <w:lang w:val="en-US" w:eastAsia="zh-CN" w:bidi="ar-SA"/>
        </w:rPr>
        <w:t>更好满足人民群众品质化、多元化、便利化消费需求，为全</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省经济社会</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高质量</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发展</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贡献成品油经营行业力量。</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val="en-US" w:eastAsia="zh-CN"/>
        </w:rPr>
        <w:t xml:space="preserve">    </w:t>
      </w:r>
      <w:r>
        <w:rPr>
          <w:rFonts w:hint="eastAsia" w:ascii="黑体" w:hAnsi="黑体" w:eastAsia="黑体" w:cs="黑体"/>
          <w:b w:val="0"/>
          <w:i w:val="0"/>
          <w:smallCaps w:val="0"/>
          <w:snapToGrid/>
          <w:color w:val="auto"/>
          <w:spacing w:val="-6"/>
          <w:sz w:val="32"/>
          <w:szCs w:val="32"/>
          <w:shd w:val="clear" w:color="auto" w:fill="FFFFFF"/>
          <w:lang w:eastAsia="zh-CN"/>
        </w:rPr>
        <w:t>二、工作任务</w:t>
      </w:r>
      <w:r>
        <w:rPr>
          <w:rFonts w:hint="eastAsia" w:ascii="黑体" w:hAnsi="黑体" w:eastAsia="黑体" w:cs="黑体"/>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陕西省成品油零售分销体系“十四五”发展规划（</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以下简称规划</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）由省商务厅指导市级商务主管部门按照“多规合一”要求编制，市级商务主管部门征求相关部门意见后报省商务厅备案核准。规划期为五年，即20</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21</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—202</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5</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年。规划内容主要包括五个部分：一是成品油市场发展的新形势;二是“十四五”规划概述（依据、范围以及指导思想、原则与目标）；三是成品油市场及分销企业需求预测；四是发展规划与空间布局；五是规划实施的保障措施。</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 xml:space="preserve">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（基本格式和主要内容见附件）</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黑体" w:hAnsi="黑体" w:eastAsia="黑体" w:cs="黑体"/>
          <w:b w:val="0"/>
          <w:i w:val="0"/>
          <w:smallCaps w:val="0"/>
          <w:snapToGrid/>
          <w:color w:val="auto"/>
          <w:spacing w:val="-6"/>
          <w:sz w:val="32"/>
          <w:szCs w:val="32"/>
          <w:shd w:val="clear" w:color="auto" w:fill="FFFFFF"/>
          <w:lang w:eastAsia="zh-CN"/>
        </w:rPr>
        <w:t>三、进度安排</w:t>
      </w:r>
      <w:r>
        <w:rPr>
          <w:rFonts w:hint="eastAsia" w:ascii="仿宋" w:hAnsi="仿宋" w:eastAsia="仿宋" w:cs="仿宋"/>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val="en-US" w:eastAsia="zh-CN"/>
        </w:rPr>
        <w:t xml:space="preserve">   </w:t>
      </w:r>
      <w:r>
        <w:rPr>
          <w:rFonts w:hint="eastAsia" w:ascii="楷体" w:hAnsi="楷体" w:eastAsia="楷体" w:cs="楷体"/>
          <w:b w:val="0"/>
          <w:i w:val="0"/>
          <w:smallCaps w:val="0"/>
          <w:snapToGrid/>
          <w:color w:val="auto"/>
          <w:spacing w:val="-6"/>
          <w:sz w:val="32"/>
          <w:szCs w:val="32"/>
          <w:shd w:val="clear" w:color="auto" w:fill="FFFFFF"/>
          <w:lang w:val="en-US" w:eastAsia="zh-CN"/>
        </w:rPr>
        <w:t xml:space="preserve"> </w:t>
      </w:r>
      <w:r>
        <w:rPr>
          <w:rFonts w:hint="eastAsia" w:ascii="楷体" w:hAnsi="楷体" w:eastAsia="楷体" w:cs="楷体"/>
          <w:b/>
          <w:bCs/>
          <w:i w:val="0"/>
          <w:smallCaps w:val="0"/>
          <w:snapToGrid/>
          <w:color w:val="auto"/>
          <w:spacing w:val="-6"/>
          <w:sz w:val="32"/>
          <w:szCs w:val="32"/>
          <w:shd w:val="clear" w:color="auto" w:fill="FFFFFF"/>
          <w:lang w:eastAsia="zh-CN"/>
        </w:rPr>
        <w:t>（一）前期调研阶段（20</w:t>
      </w:r>
      <w:r>
        <w:rPr>
          <w:rFonts w:hint="eastAsia" w:ascii="楷体" w:hAnsi="楷体" w:eastAsia="楷体" w:cs="楷体"/>
          <w:b/>
          <w:bCs/>
          <w:i w:val="0"/>
          <w:smallCaps w:val="0"/>
          <w:snapToGrid/>
          <w:color w:val="auto"/>
          <w:spacing w:val="-6"/>
          <w:sz w:val="32"/>
          <w:szCs w:val="32"/>
          <w:shd w:val="clear" w:color="auto" w:fill="FFFFFF"/>
          <w:lang w:val="en-US" w:eastAsia="zh-CN"/>
        </w:rPr>
        <w:t>20</w:t>
      </w:r>
      <w:r>
        <w:rPr>
          <w:rFonts w:hint="eastAsia" w:ascii="楷体" w:hAnsi="楷体" w:eastAsia="楷体" w:cs="楷体"/>
          <w:b/>
          <w:bCs/>
          <w:i w:val="0"/>
          <w:smallCaps w:val="0"/>
          <w:snapToGrid/>
          <w:color w:val="auto"/>
          <w:spacing w:val="-6"/>
          <w:sz w:val="32"/>
          <w:szCs w:val="32"/>
          <w:shd w:val="clear" w:color="auto" w:fill="FFFFFF"/>
          <w:lang w:eastAsia="zh-CN"/>
        </w:rPr>
        <w:t>年</w:t>
      </w:r>
      <w:r>
        <w:rPr>
          <w:rFonts w:hint="eastAsia" w:ascii="楷体" w:hAnsi="楷体" w:eastAsia="楷体" w:cs="楷体"/>
          <w:b/>
          <w:bCs/>
          <w:i w:val="0"/>
          <w:smallCaps w:val="0"/>
          <w:snapToGrid/>
          <w:color w:val="auto"/>
          <w:spacing w:val="-6"/>
          <w:sz w:val="32"/>
          <w:szCs w:val="32"/>
          <w:shd w:val="clear" w:color="auto" w:fill="FFFFFF"/>
          <w:lang w:val="en-US" w:eastAsia="zh-CN"/>
        </w:rPr>
        <w:t>5</w:t>
      </w:r>
      <w:r>
        <w:rPr>
          <w:rFonts w:hint="eastAsia" w:ascii="楷体" w:hAnsi="楷体" w:eastAsia="楷体" w:cs="楷体"/>
          <w:b/>
          <w:bCs/>
          <w:i w:val="0"/>
          <w:smallCaps w:val="0"/>
          <w:snapToGrid/>
          <w:color w:val="auto"/>
          <w:spacing w:val="-6"/>
          <w:sz w:val="32"/>
          <w:szCs w:val="32"/>
          <w:shd w:val="clear" w:color="auto" w:fill="FFFFFF"/>
          <w:lang w:eastAsia="zh-CN"/>
        </w:rPr>
        <w:t>月—</w:t>
      </w:r>
      <w:r>
        <w:rPr>
          <w:rFonts w:hint="eastAsia" w:ascii="楷体" w:hAnsi="楷体" w:eastAsia="楷体" w:cs="楷体"/>
          <w:b/>
          <w:bCs/>
          <w:i w:val="0"/>
          <w:smallCaps w:val="0"/>
          <w:snapToGrid/>
          <w:color w:val="auto"/>
          <w:spacing w:val="-6"/>
          <w:sz w:val="32"/>
          <w:szCs w:val="32"/>
          <w:shd w:val="clear" w:color="auto" w:fill="FFFFFF"/>
          <w:lang w:val="en-US" w:eastAsia="zh-CN"/>
        </w:rPr>
        <w:t>6</w:t>
      </w:r>
      <w:r>
        <w:rPr>
          <w:rFonts w:hint="eastAsia" w:ascii="楷体" w:hAnsi="楷体" w:eastAsia="楷体" w:cs="楷体"/>
          <w:b/>
          <w:bCs/>
          <w:i w:val="0"/>
          <w:smallCaps w:val="0"/>
          <w:snapToGrid/>
          <w:color w:val="auto"/>
          <w:spacing w:val="-6"/>
          <w:sz w:val="32"/>
          <w:szCs w:val="32"/>
          <w:shd w:val="clear" w:color="auto" w:fill="FFFFFF"/>
          <w:lang w:eastAsia="zh-CN"/>
        </w:rPr>
        <w:t>月）</w:t>
      </w:r>
      <w:r>
        <w:rPr>
          <w:rFonts w:hint="eastAsia" w:ascii="楷体" w:hAnsi="楷体" w:eastAsia="楷体" w:cs="楷体"/>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各级商务主管部门认真研究、周密部署规划编制工作，采取多种形式，组织开展前期调研，总结评估“十三五”时期规划执行情况，提出“十四五”规划基本框架与构想。</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楷体" w:hAnsi="楷体" w:eastAsia="楷体" w:cs="楷体"/>
          <w:b/>
          <w:bCs/>
          <w:i w:val="0"/>
          <w:smallCaps w:val="0"/>
          <w:snapToGrid/>
          <w:color w:val="auto"/>
          <w:spacing w:val="-6"/>
          <w:sz w:val="32"/>
          <w:szCs w:val="32"/>
          <w:shd w:val="clear" w:color="auto" w:fill="FFFFFF"/>
          <w:lang w:eastAsia="zh-CN"/>
        </w:rPr>
        <w:t>（二）研究起草阶段（20</w:t>
      </w:r>
      <w:r>
        <w:rPr>
          <w:rFonts w:hint="eastAsia" w:ascii="楷体" w:hAnsi="楷体" w:eastAsia="楷体" w:cs="楷体"/>
          <w:b/>
          <w:bCs/>
          <w:i w:val="0"/>
          <w:smallCaps w:val="0"/>
          <w:snapToGrid/>
          <w:color w:val="auto"/>
          <w:spacing w:val="-6"/>
          <w:sz w:val="32"/>
          <w:szCs w:val="32"/>
          <w:shd w:val="clear" w:color="auto" w:fill="FFFFFF"/>
          <w:lang w:val="en-US" w:eastAsia="zh-CN"/>
        </w:rPr>
        <w:t>20</w:t>
      </w:r>
      <w:r>
        <w:rPr>
          <w:rFonts w:hint="eastAsia" w:ascii="楷体" w:hAnsi="楷体" w:eastAsia="楷体" w:cs="楷体"/>
          <w:b/>
          <w:bCs/>
          <w:i w:val="0"/>
          <w:smallCaps w:val="0"/>
          <w:snapToGrid/>
          <w:color w:val="auto"/>
          <w:spacing w:val="-6"/>
          <w:sz w:val="32"/>
          <w:szCs w:val="32"/>
          <w:shd w:val="clear" w:color="auto" w:fill="FFFFFF"/>
          <w:lang w:eastAsia="zh-CN"/>
        </w:rPr>
        <w:t>年</w:t>
      </w:r>
      <w:r>
        <w:rPr>
          <w:rFonts w:hint="eastAsia" w:ascii="楷体" w:hAnsi="楷体" w:eastAsia="楷体" w:cs="楷体"/>
          <w:b/>
          <w:bCs/>
          <w:i w:val="0"/>
          <w:smallCaps w:val="0"/>
          <w:snapToGrid/>
          <w:color w:val="auto"/>
          <w:spacing w:val="-6"/>
          <w:sz w:val="32"/>
          <w:szCs w:val="32"/>
          <w:shd w:val="clear" w:color="auto" w:fill="FFFFFF"/>
          <w:lang w:val="en-US" w:eastAsia="zh-CN"/>
        </w:rPr>
        <w:t>7</w:t>
      </w:r>
      <w:r>
        <w:rPr>
          <w:rFonts w:hint="eastAsia" w:ascii="楷体" w:hAnsi="楷体" w:eastAsia="楷体" w:cs="楷体"/>
          <w:b/>
          <w:bCs/>
          <w:i w:val="0"/>
          <w:smallCaps w:val="0"/>
          <w:snapToGrid/>
          <w:color w:val="auto"/>
          <w:spacing w:val="-6"/>
          <w:sz w:val="32"/>
          <w:szCs w:val="32"/>
          <w:shd w:val="clear" w:color="auto" w:fill="FFFFFF"/>
          <w:lang w:eastAsia="zh-CN"/>
        </w:rPr>
        <w:t>—</w:t>
      </w:r>
      <w:r>
        <w:rPr>
          <w:rFonts w:hint="eastAsia" w:ascii="楷体" w:hAnsi="楷体" w:eastAsia="楷体" w:cs="楷体"/>
          <w:b/>
          <w:bCs/>
          <w:i w:val="0"/>
          <w:smallCaps w:val="0"/>
          <w:snapToGrid/>
          <w:color w:val="auto"/>
          <w:spacing w:val="-6"/>
          <w:sz w:val="32"/>
          <w:szCs w:val="32"/>
          <w:shd w:val="clear" w:color="auto" w:fill="FFFFFF"/>
          <w:lang w:val="en-US" w:eastAsia="zh-CN"/>
        </w:rPr>
        <w:t>8</w:t>
      </w:r>
      <w:r>
        <w:rPr>
          <w:rFonts w:hint="eastAsia" w:ascii="楷体" w:hAnsi="楷体" w:eastAsia="楷体" w:cs="楷体"/>
          <w:b/>
          <w:bCs/>
          <w:i w:val="0"/>
          <w:smallCaps w:val="0"/>
          <w:snapToGrid/>
          <w:color w:val="auto"/>
          <w:spacing w:val="-6"/>
          <w:sz w:val="32"/>
          <w:szCs w:val="32"/>
          <w:shd w:val="clear" w:color="auto" w:fill="FFFFFF"/>
          <w:lang w:eastAsia="zh-CN"/>
        </w:rPr>
        <w:t>月）</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　在前期总结调研的基础上，开始规划起草工作。规划草拟稿形成后，邀请相关部门、专家学者、行业协会对规划初稿进行讨论研究，在综合整理各方面意见的基础上，对草拟稿进行修改和完善，于20</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20</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年</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8</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月</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31</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日前完成本地成品油零售分销体系“十四五”发展规划初稿（附加油站现状、规划布点图纸和电子材料）。</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楷体" w:hAnsi="楷体" w:eastAsia="楷体" w:cs="楷体"/>
          <w:b/>
          <w:bCs/>
          <w:i w:val="0"/>
          <w:smallCaps w:val="0"/>
          <w:snapToGrid/>
          <w:color w:val="auto"/>
          <w:spacing w:val="-6"/>
          <w:sz w:val="32"/>
          <w:szCs w:val="32"/>
          <w:shd w:val="clear" w:color="auto" w:fill="FFFFFF"/>
          <w:lang w:eastAsia="zh-CN"/>
        </w:rPr>
        <w:t>　（三）公开征求意见及完善阶段（20</w:t>
      </w:r>
      <w:r>
        <w:rPr>
          <w:rFonts w:hint="eastAsia" w:ascii="楷体" w:hAnsi="楷体" w:eastAsia="楷体" w:cs="楷体"/>
          <w:b/>
          <w:bCs/>
          <w:i w:val="0"/>
          <w:smallCaps w:val="0"/>
          <w:snapToGrid/>
          <w:color w:val="auto"/>
          <w:spacing w:val="-6"/>
          <w:sz w:val="32"/>
          <w:szCs w:val="32"/>
          <w:shd w:val="clear" w:color="auto" w:fill="FFFFFF"/>
          <w:lang w:val="en-US" w:eastAsia="zh-CN"/>
        </w:rPr>
        <w:t>20</w:t>
      </w:r>
      <w:r>
        <w:rPr>
          <w:rFonts w:hint="eastAsia" w:ascii="楷体" w:hAnsi="楷体" w:eastAsia="楷体" w:cs="楷体"/>
          <w:b/>
          <w:bCs/>
          <w:i w:val="0"/>
          <w:smallCaps w:val="0"/>
          <w:snapToGrid/>
          <w:color w:val="auto"/>
          <w:spacing w:val="-6"/>
          <w:sz w:val="32"/>
          <w:szCs w:val="32"/>
          <w:shd w:val="clear" w:color="auto" w:fill="FFFFFF"/>
          <w:lang w:eastAsia="zh-CN"/>
        </w:rPr>
        <w:t>年</w:t>
      </w:r>
      <w:r>
        <w:rPr>
          <w:rFonts w:hint="eastAsia" w:ascii="楷体" w:hAnsi="楷体" w:eastAsia="楷体" w:cs="楷体"/>
          <w:b/>
          <w:bCs/>
          <w:i w:val="0"/>
          <w:smallCaps w:val="0"/>
          <w:snapToGrid/>
          <w:color w:val="auto"/>
          <w:spacing w:val="-6"/>
          <w:sz w:val="32"/>
          <w:szCs w:val="32"/>
          <w:shd w:val="clear" w:color="auto" w:fill="FFFFFF"/>
          <w:lang w:val="en-US" w:eastAsia="zh-CN"/>
        </w:rPr>
        <w:t>9</w:t>
      </w:r>
      <w:r>
        <w:rPr>
          <w:rFonts w:hint="eastAsia" w:ascii="楷体" w:hAnsi="楷体" w:eastAsia="楷体" w:cs="楷体"/>
          <w:b/>
          <w:bCs/>
          <w:i w:val="0"/>
          <w:smallCaps w:val="0"/>
          <w:snapToGrid/>
          <w:color w:val="auto"/>
          <w:spacing w:val="-6"/>
          <w:sz w:val="32"/>
          <w:szCs w:val="32"/>
          <w:shd w:val="clear" w:color="auto" w:fill="FFFFFF"/>
          <w:lang w:eastAsia="zh-CN"/>
        </w:rPr>
        <w:t>—10月）</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各市（区）商务主管部门会同有关部门，审核汇总本地零售规划初稿，并组织开展各项规划之间的衔接和论证分析工作，于20</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20</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年</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10</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月底前完成编制《全省成品油分销体系“十四五”发展规划》（征求意见稿），并面向社会公开征求意见。根据收集的意见，对规划进行修改完善，20</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20</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年1</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1</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月底前形成全市（区）规划的备案核准稿。</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楷体" w:hAnsi="楷体" w:eastAsia="楷体" w:cs="楷体"/>
          <w:b/>
          <w:bCs/>
          <w:i w:val="0"/>
          <w:smallCaps w:val="0"/>
          <w:snapToGrid/>
          <w:color w:val="auto"/>
          <w:spacing w:val="-6"/>
          <w:sz w:val="32"/>
          <w:szCs w:val="32"/>
          <w:shd w:val="clear" w:color="auto" w:fill="FFFFFF"/>
          <w:lang w:eastAsia="zh-CN"/>
        </w:rPr>
        <w:t>　（四）批准发布阶段（20</w:t>
      </w:r>
      <w:r>
        <w:rPr>
          <w:rFonts w:hint="eastAsia" w:ascii="楷体" w:hAnsi="楷体" w:eastAsia="楷体" w:cs="楷体"/>
          <w:b/>
          <w:bCs/>
          <w:i w:val="0"/>
          <w:smallCaps w:val="0"/>
          <w:snapToGrid/>
          <w:color w:val="auto"/>
          <w:spacing w:val="-6"/>
          <w:sz w:val="32"/>
          <w:szCs w:val="32"/>
          <w:shd w:val="clear" w:color="auto" w:fill="FFFFFF"/>
          <w:lang w:val="en-US" w:eastAsia="zh-CN"/>
        </w:rPr>
        <w:t>20</w:t>
      </w:r>
      <w:r>
        <w:rPr>
          <w:rFonts w:hint="eastAsia" w:ascii="楷体" w:hAnsi="楷体" w:eastAsia="楷体" w:cs="楷体"/>
          <w:b/>
          <w:bCs/>
          <w:i w:val="0"/>
          <w:smallCaps w:val="0"/>
          <w:snapToGrid/>
          <w:color w:val="auto"/>
          <w:spacing w:val="-6"/>
          <w:sz w:val="32"/>
          <w:szCs w:val="32"/>
          <w:shd w:val="clear" w:color="auto" w:fill="FFFFFF"/>
          <w:lang w:eastAsia="zh-CN"/>
        </w:rPr>
        <w:t>年11—12月）</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各市规划报省商务厅备案核准后，方可实施。核准后，各市要统一向社会公布，接受公众监督。规划发布实施后，要组织多种形式进行宣传贯彻，让社会各界充分认识和了解规划内容，并根据规划进一步做好相关行政许可工作。</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黑体" w:hAnsi="黑体" w:eastAsia="黑体" w:cs="黑体"/>
          <w:b w:val="0"/>
          <w:i w:val="0"/>
          <w:smallCaps w:val="0"/>
          <w:snapToGrid/>
          <w:color w:val="auto"/>
          <w:spacing w:val="-6"/>
          <w:sz w:val="32"/>
          <w:szCs w:val="32"/>
          <w:shd w:val="clear" w:color="auto" w:fill="FFFFFF"/>
          <w:lang w:eastAsia="zh-CN"/>
        </w:rPr>
        <w:t>四、工作要求</w:t>
      </w:r>
      <w:r>
        <w:rPr>
          <w:rFonts w:hint="eastAsia" w:ascii="黑体" w:hAnsi="黑体" w:eastAsia="黑体" w:cs="黑体"/>
          <w:b w:val="0"/>
          <w:i w:val="0"/>
          <w:smallCaps w:val="0"/>
          <w:snapToGrid/>
          <w:color w:val="auto"/>
          <w:spacing w:val="-6"/>
          <w:sz w:val="32"/>
          <w:szCs w:val="32"/>
          <w:shd w:val="clear" w:color="auto" w:fill="FFFFFF"/>
          <w:lang w:eastAsia="zh-CN"/>
        </w:rPr>
        <w:br w:type="textWrapping"/>
      </w:r>
      <w:r>
        <w:rPr>
          <w:rFonts w:hint="eastAsia" w:ascii="楷体" w:hAnsi="楷体" w:eastAsia="楷体" w:cs="楷体"/>
          <w:b/>
          <w:bCs/>
          <w:i w:val="0"/>
          <w:smallCaps w:val="0"/>
          <w:snapToGrid/>
          <w:color w:val="auto"/>
          <w:spacing w:val="-6"/>
          <w:sz w:val="32"/>
          <w:szCs w:val="32"/>
          <w:shd w:val="clear" w:color="auto" w:fill="FFFFFF"/>
          <w:lang w:eastAsia="zh-CN"/>
        </w:rPr>
        <w:t>　　（一）全面总结，科学前瞻</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楷体" w:hAnsi="楷体" w:eastAsia="楷体" w:cs="楷体"/>
          <w:b w:val="0"/>
          <w:i w:val="0"/>
          <w:smallCaps w:val="0"/>
          <w:snapToGrid/>
          <w:color w:val="auto"/>
          <w:spacing w:val="-6"/>
          <w:sz w:val="32"/>
          <w:szCs w:val="32"/>
          <w:shd w:val="clear" w:color="auto" w:fill="FFFFFF"/>
          <w:lang w:val="en-US" w:eastAsia="zh-CN"/>
        </w:rPr>
        <w:t xml:space="preserve">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对“十三五”规划的执行情况进行全面回顾和总结，清理“已批未建”加油站，做好新旧规划的衔接工作。深入分析“十四五”期间宏观经济形势和社会发展方向，充分考虑经济结构调整、替代能源发展和地区经济发展水平、人口城镇化水平、车流量、道路规划建设情况等因素，对成品油市场供求趋势进行科学前瞻和合理预测。各地加油站规划在编制和审查过程中应加强与国土空间规划的衔接及“一张图”的核对，</w:t>
      </w:r>
      <w:r>
        <w:rPr>
          <w:rFonts w:hint="default" w:ascii="仿宋_GB2312" w:hAnsi="宋体" w:eastAsia="仿宋_GB2312" w:cs="仿宋_GB2312"/>
          <w:caps w:val="0"/>
          <w:snapToGrid w:val="0"/>
          <w:color w:val="000000"/>
          <w:spacing w:val="-6"/>
          <w:kern w:val="0"/>
          <w:sz w:val="32"/>
          <w:szCs w:val="32"/>
          <w:vertAlign w:val="baseline"/>
          <w:lang w:val="en-US" w:eastAsia="zh-CN" w:bidi="ar-SA"/>
        </w:rPr>
        <w:t>严格落实秦岭生态环境保护工作属地管理及行业管理责任，</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确保规划的可操作性、科学性和前瞻性。</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楷体" w:hAnsi="楷体" w:eastAsia="楷体" w:cs="楷体"/>
          <w:b/>
          <w:bCs/>
          <w:i w:val="0"/>
          <w:smallCaps w:val="0"/>
          <w:snapToGrid/>
          <w:color w:val="auto"/>
          <w:spacing w:val="-6"/>
          <w:sz w:val="32"/>
          <w:szCs w:val="32"/>
          <w:shd w:val="clear" w:color="auto" w:fill="FFFFFF"/>
          <w:lang w:eastAsia="zh-CN"/>
        </w:rPr>
        <w:t>　　（二）依据充分，合理布局</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bCs/>
          <w:i w:val="0"/>
          <w:smallCaps w:val="0"/>
          <w:snapToGrid/>
          <w:color w:val="auto"/>
          <w:spacing w:val="-6"/>
          <w:sz w:val="32"/>
          <w:szCs w:val="32"/>
          <w:shd w:val="clear" w:color="auto" w:fill="FFFFFF"/>
          <w:lang w:eastAsia="zh-CN"/>
        </w:rPr>
        <w:t>1</w:t>
      </w:r>
      <w:r>
        <w:rPr>
          <w:rFonts w:hint="eastAsia" w:ascii="仿宋_GB2312" w:hAnsi="仿宋_GB2312" w:eastAsia="仿宋_GB2312" w:cs="仿宋_GB2312"/>
          <w:b/>
          <w:bCs/>
          <w:i w:val="0"/>
          <w:smallCaps w:val="0"/>
          <w:snapToGrid/>
          <w:color w:val="auto"/>
          <w:spacing w:val="-6"/>
          <w:sz w:val="32"/>
          <w:szCs w:val="32"/>
          <w:shd w:val="clear" w:color="auto" w:fill="FFFFFF"/>
          <w:lang w:val="en-US" w:eastAsia="zh-CN"/>
        </w:rPr>
        <w:t>.</w:t>
      </w:r>
      <w:r>
        <w:rPr>
          <w:rFonts w:hint="eastAsia" w:ascii="仿宋_GB2312" w:hAnsi="仿宋_GB2312" w:eastAsia="仿宋_GB2312" w:cs="仿宋_GB2312"/>
          <w:b/>
          <w:bCs/>
          <w:i w:val="0"/>
          <w:smallCaps w:val="0"/>
          <w:snapToGrid/>
          <w:color w:val="auto"/>
          <w:spacing w:val="-6"/>
          <w:sz w:val="32"/>
          <w:szCs w:val="32"/>
          <w:shd w:val="clear" w:color="auto" w:fill="FFFFFF"/>
          <w:lang w:eastAsia="zh-CN"/>
        </w:rPr>
        <w:t>加油站设置原则。</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规划编制应根据国家和地方的有关法律法规、政策文件及标准规范，执行基本指标标准。加油站的设置要严格按照商务部发布的《成品油零售企业管理技术规范》和《陕西省成品油市场管理办法实施细则》（试行）规定的间距要求。规划期新建加油站、油气合建的加油（气）站须纳入规划管理。优先考虑地市以上中心城区、新农村居民聚集区、景区及偏远地区、尚无加油站的乡镇、新增道路及县级以上政府需拆迁区块的规划布点。已有的省道、国道等道路原则上不再新增规划布点。</w:t>
      </w:r>
    </w:p>
    <w:p>
      <w:pPr>
        <w:keepNext w:val="0"/>
        <w:keepLines w:val="0"/>
        <w:pageBreakBefore w:val="0"/>
        <w:widowControl w:val="0"/>
        <w:tabs>
          <w:tab w:val="left" w:pos="7449"/>
        </w:tabs>
        <w:kinsoku/>
        <w:wordWrap/>
        <w:overflowPunct/>
        <w:topLinePunct w:val="0"/>
        <w:autoSpaceDE/>
        <w:autoSpaceDN/>
        <w:bidi w:val="0"/>
        <w:adjustRightInd/>
        <w:snapToGrid/>
        <w:spacing w:before="0" w:after="0" w:line="560" w:lineRule="exact"/>
        <w:ind w:firstLine="618" w:firstLineChars="200"/>
        <w:textAlignment w:val="auto"/>
        <w:outlineLvl w:val="9"/>
        <w:rPr>
          <w:rFonts w:hint="eastAsia" w:ascii="仿宋_GB2312" w:hAnsi="仿宋_GB2312" w:eastAsia="仿宋_GB2312" w:cs="仿宋_GB2312"/>
          <w:b w:val="0"/>
          <w:i w:val="0"/>
          <w:smallCaps w:val="0"/>
          <w:snapToGrid/>
          <w:color w:val="auto"/>
          <w:spacing w:val="-6"/>
          <w:sz w:val="32"/>
          <w:szCs w:val="32"/>
          <w:shd w:val="clear" w:color="auto" w:fill="FFFFFF"/>
          <w:lang w:eastAsia="zh-CN"/>
        </w:rPr>
      </w:pPr>
      <w:r>
        <w:rPr>
          <w:rFonts w:hint="eastAsia" w:ascii="仿宋_GB2312" w:hAnsi="仿宋_GB2312" w:eastAsia="仿宋_GB2312" w:cs="仿宋_GB2312"/>
          <w:b/>
          <w:bCs/>
          <w:i w:val="0"/>
          <w:smallCaps w:val="0"/>
          <w:snapToGrid/>
          <w:color w:val="auto"/>
          <w:spacing w:val="-6"/>
          <w:sz w:val="32"/>
          <w:szCs w:val="32"/>
          <w:shd w:val="clear" w:color="auto" w:fill="FFFFFF"/>
          <w:lang w:val="en-US" w:eastAsia="zh-CN"/>
        </w:rPr>
        <w:t>2</w:t>
      </w:r>
      <w:r>
        <w:rPr>
          <w:rFonts w:hint="eastAsia" w:ascii="仿宋_GB2312" w:hAnsi="仿宋_GB2312" w:eastAsia="仿宋_GB2312" w:cs="仿宋_GB2312"/>
          <w:b/>
          <w:bCs/>
          <w:i w:val="0"/>
          <w:smallCaps w:val="0"/>
          <w:snapToGrid/>
          <w:color w:val="auto"/>
          <w:spacing w:val="-6"/>
          <w:sz w:val="32"/>
          <w:szCs w:val="32"/>
          <w:shd w:val="clear" w:color="auto" w:fill="FFFFFF"/>
          <w:lang w:eastAsia="zh-CN"/>
        </w:rPr>
        <w:t>.布点数量。</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各设区市（区）新增加油站规划布点数量原则上与 “十三五”规划的加油站数量持平。“十三五”未实施的规划布点，经与自然资源、规划等有关部门衔接并进行合规性审核后，可列入“十四五”规划。</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18" w:firstLineChars="200"/>
        <w:jc w:val="both"/>
        <w:textAlignment w:val="auto"/>
        <w:outlineLvl w:val="9"/>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pPr>
      <w:r>
        <w:rPr>
          <w:rFonts w:hint="eastAsia" w:ascii="仿宋" w:hAnsi="仿宋" w:eastAsia="仿宋" w:cs="仿宋"/>
          <w:b/>
          <w:smallCaps w:val="0"/>
          <w:color w:val="auto"/>
          <w:spacing w:val="-6"/>
          <w:sz w:val="32"/>
          <w:szCs w:val="32"/>
          <w:lang w:val="en-US" w:eastAsia="zh-CN"/>
        </w:rPr>
        <w:t>3</w:t>
      </w:r>
      <w:r>
        <w:rPr>
          <w:rFonts w:hint="eastAsia" w:ascii="仿宋" w:hAnsi="仿宋" w:eastAsia="仿宋" w:cs="仿宋"/>
          <w:b/>
          <w:smallCaps w:val="0"/>
          <w:color w:val="auto"/>
          <w:spacing w:val="-6"/>
          <w:sz w:val="32"/>
          <w:szCs w:val="32"/>
        </w:rPr>
        <w:t>.站点</w:t>
      </w:r>
      <w:r>
        <w:rPr>
          <w:rFonts w:hint="eastAsia" w:ascii="仿宋" w:hAnsi="仿宋" w:eastAsia="仿宋" w:cs="仿宋"/>
          <w:b/>
          <w:smallCaps w:val="0"/>
          <w:color w:val="auto"/>
          <w:spacing w:val="-6"/>
          <w:kern w:val="0"/>
          <w:sz w:val="32"/>
          <w:szCs w:val="32"/>
        </w:rPr>
        <w:t>提升。</w:t>
      </w:r>
      <w:r>
        <w:rPr>
          <w:rFonts w:hint="eastAsia" w:ascii="仿宋_GB2312" w:hAnsi="仿宋_GB2312" w:eastAsia="仿宋_GB2312" w:cs="仿宋_GB2312"/>
          <w:b w:val="0"/>
          <w:i w:val="0"/>
          <w:smallCaps w:val="0"/>
          <w:snapToGrid/>
          <w:color w:val="auto"/>
          <w:spacing w:val="-6"/>
          <w:kern w:val="2"/>
          <w:sz w:val="32"/>
          <w:szCs w:val="32"/>
          <w:shd w:val="clear" w:color="auto" w:fill="FFFFFF"/>
          <w:lang w:val="en-US" w:eastAsia="zh-CN" w:bidi="ar-SA"/>
        </w:rPr>
        <w:t>各地在规划加油站增量时，要重视加油站存量提升，对辖区内加油站改扩建情况进行摸底，掌握数量和扩建内容，并在规划文本中作为市场主体结构优化内容予以体现。</w:t>
      </w:r>
    </w:p>
    <w:p>
      <w:pPr>
        <w:rPr>
          <w:rFonts w:hint="default"/>
          <w:lang w:val="en-US" w:eastAsia="zh-CN"/>
        </w:rPr>
      </w:pPr>
      <w:r>
        <w:rPr>
          <w:rFonts w:hint="eastAsia" w:ascii="仿宋" w:hAnsi="仿宋" w:eastAsia="仿宋" w:cs="仿宋"/>
          <w:b w:val="0"/>
          <w:i w:val="0"/>
          <w:smallCaps w:val="0"/>
          <w:snapToGrid/>
          <w:color w:val="auto"/>
          <w:spacing w:val="-6"/>
          <w:sz w:val="32"/>
          <w:szCs w:val="32"/>
          <w:shd w:val="clear" w:color="auto" w:fill="FFFFFF"/>
          <w:lang w:val="en-US" w:eastAsia="zh-CN"/>
        </w:rPr>
        <w:t xml:space="preserve">    </w:t>
      </w:r>
      <w:r>
        <w:rPr>
          <w:rFonts w:hint="eastAsia" w:ascii="楷体" w:hAnsi="楷体" w:eastAsia="楷体" w:cs="楷体"/>
          <w:b/>
          <w:bCs/>
          <w:i w:val="0"/>
          <w:smallCaps w:val="0"/>
          <w:snapToGrid/>
          <w:color w:val="auto"/>
          <w:spacing w:val="-6"/>
          <w:sz w:val="32"/>
          <w:szCs w:val="32"/>
          <w:shd w:val="clear" w:color="auto" w:fill="FFFFFF"/>
          <w:lang w:eastAsia="zh-CN"/>
        </w:rPr>
        <w:t>（三）目标明确，务实可行</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规划应服务于本地国民经济和社会发展全局，发展规划的目标设置既要研究提出预期性和导向性的指标（如成品油消费规模、汽车保有量等），也要提出有约束力、可评估的指标（如加油站点控制总量指标、分年度布点规划实施等）。</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 xml:space="preserve">  </w:t>
      </w:r>
      <w:r>
        <w:rPr>
          <w:rFonts w:hint="eastAsia" w:ascii="楷体" w:hAnsi="楷体" w:eastAsia="楷体" w:cs="楷体"/>
          <w:b/>
          <w:bCs/>
          <w:i w:val="0"/>
          <w:smallCaps w:val="0"/>
          <w:snapToGrid/>
          <w:color w:val="auto"/>
          <w:spacing w:val="-6"/>
          <w:sz w:val="32"/>
          <w:szCs w:val="32"/>
          <w:shd w:val="clear" w:color="auto" w:fill="FFFFFF"/>
          <w:lang w:val="en-US" w:eastAsia="zh-CN"/>
        </w:rPr>
        <w:t xml:space="preserve">  </w:t>
      </w:r>
      <w:r>
        <w:rPr>
          <w:rFonts w:hint="eastAsia" w:ascii="楷体" w:hAnsi="楷体" w:eastAsia="楷体" w:cs="楷体"/>
          <w:b/>
          <w:bCs/>
          <w:i w:val="0"/>
          <w:smallCaps w:val="0"/>
          <w:snapToGrid/>
          <w:color w:val="auto"/>
          <w:spacing w:val="-6"/>
          <w:sz w:val="32"/>
          <w:szCs w:val="32"/>
          <w:shd w:val="clear" w:color="auto" w:fill="FFFFFF"/>
          <w:lang w:eastAsia="zh-CN"/>
        </w:rPr>
        <w:t>（四）社会参与，公众监督</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要组织和动员相关部门、企业和专家参与规划编制，广泛听取各方面意见，提高规划编制过程的透明度，一经核准，即向社会公布，接受公众监督。</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黑体" w:hAnsi="黑体" w:eastAsia="黑体" w:cs="黑体"/>
          <w:b w:val="0"/>
          <w:i w:val="0"/>
          <w:smallCaps w:val="0"/>
          <w:snapToGrid/>
          <w:color w:val="auto"/>
          <w:spacing w:val="-6"/>
          <w:sz w:val="32"/>
          <w:szCs w:val="32"/>
          <w:shd w:val="clear" w:color="auto" w:fill="FFFFFF"/>
          <w:lang w:eastAsia="zh-CN"/>
        </w:rPr>
        <w:t>五、保障措施</w:t>
      </w:r>
      <w:r>
        <w:rPr>
          <w:rFonts w:hint="eastAsia" w:ascii="黑体" w:hAnsi="黑体" w:eastAsia="黑体" w:cs="黑体"/>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规划编制是一项系统工程，时间紧、任务重、涉及面广。各级商务</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主管</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部门要高度重视，建立工作机构，采取有力保障措施。</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楷体" w:hAnsi="楷体" w:eastAsia="楷体" w:cs="楷体"/>
          <w:b/>
          <w:bCs/>
          <w:i w:val="0"/>
          <w:smallCaps w:val="0"/>
          <w:snapToGrid/>
          <w:color w:val="auto"/>
          <w:spacing w:val="-6"/>
          <w:sz w:val="32"/>
          <w:szCs w:val="32"/>
          <w:shd w:val="clear" w:color="auto" w:fill="FFFFFF"/>
          <w:lang w:eastAsia="zh-CN"/>
        </w:rPr>
        <w:t>　（一）建立工作机构</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各级商务</w:t>
      </w:r>
      <w:r>
        <w:rPr>
          <w:rFonts w:hint="eastAsia" w:ascii="仿宋_GB2312" w:hAnsi="仿宋_GB2312" w:eastAsia="仿宋_GB2312" w:cs="仿宋_GB2312"/>
          <w:b w:val="0"/>
          <w:i w:val="0"/>
          <w:smallCaps w:val="0"/>
          <w:snapToGrid/>
          <w:color w:val="auto"/>
          <w:spacing w:val="-6"/>
          <w:sz w:val="32"/>
          <w:szCs w:val="32"/>
          <w:shd w:val="clear" w:color="auto" w:fill="FFFFFF"/>
          <w:lang w:val="en-US" w:eastAsia="zh-CN"/>
        </w:rPr>
        <w:t>主管</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部门要早安排、早准备，及时制订规划编制工作方案，要成立相应的规划编制工作领导小组，由分管领导任组长，邀请同级住建、自然资源、应急管理、交通等相关部门参加规划编制工作。</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楷体" w:hAnsi="楷体" w:eastAsia="楷体" w:cs="楷体"/>
          <w:b/>
          <w:bCs/>
          <w:i w:val="0"/>
          <w:smallCaps w:val="0"/>
          <w:snapToGrid/>
          <w:color w:val="auto"/>
          <w:spacing w:val="-6"/>
          <w:sz w:val="32"/>
          <w:szCs w:val="32"/>
          <w:shd w:val="clear" w:color="auto" w:fill="FFFFFF"/>
          <w:lang w:eastAsia="zh-CN"/>
        </w:rPr>
        <w:t>　（二）扩大社会参与</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采取多种形式，在规划编制的各个环节提高社会公众对规划编制的认知度和参与度，组织和动员相关部门、专家和协会参与编制，增强规划的科学性、民主性和可行性。</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br w:type="textWrapping"/>
      </w:r>
      <w:r>
        <w:rPr>
          <w:rFonts w:hint="eastAsia" w:ascii="楷体" w:hAnsi="楷体" w:eastAsia="楷体" w:cs="楷体"/>
          <w:b/>
          <w:bCs/>
          <w:i w:val="0"/>
          <w:smallCaps w:val="0"/>
          <w:snapToGrid/>
          <w:color w:val="auto"/>
          <w:spacing w:val="-6"/>
          <w:sz w:val="32"/>
          <w:szCs w:val="32"/>
          <w:shd w:val="clear" w:color="auto" w:fill="FFFFFF"/>
          <w:lang w:eastAsia="zh-CN"/>
        </w:rPr>
        <w:t>　　（三）加强监督检查</w:t>
      </w:r>
      <w:r>
        <w:rPr>
          <w:rFonts w:hint="eastAsia" w:ascii="楷体" w:hAnsi="楷体" w:eastAsia="楷体" w:cs="楷体"/>
          <w:b/>
          <w:bCs/>
          <w:i w:val="0"/>
          <w:smallCaps w:val="0"/>
          <w:snapToGrid/>
          <w:color w:val="auto"/>
          <w:spacing w:val="-6"/>
          <w:sz w:val="32"/>
          <w:szCs w:val="32"/>
          <w:shd w:val="clear" w:color="auto" w:fill="FFFFFF"/>
          <w:lang w:eastAsia="zh-CN"/>
        </w:rPr>
        <w:br w:type="textWrapping"/>
      </w:r>
      <w:r>
        <w:rPr>
          <w:rFonts w:hint="eastAsia" w:ascii="仿宋" w:hAnsi="仿宋" w:eastAsia="仿宋" w:cs="仿宋"/>
          <w:b w:val="0"/>
          <w:i w:val="0"/>
          <w:smallCaps w:val="0"/>
          <w:snapToGrid/>
          <w:color w:val="auto"/>
          <w:spacing w:val="-6"/>
          <w:sz w:val="32"/>
          <w:szCs w:val="32"/>
          <w:shd w:val="clear" w:color="auto" w:fill="FFFFFF"/>
          <w:lang w:eastAsia="zh-CN"/>
        </w:rPr>
        <w:t>　　</w:t>
      </w:r>
      <w:r>
        <w:rPr>
          <w:rFonts w:hint="eastAsia" w:ascii="仿宋_GB2312" w:hAnsi="仿宋_GB2312" w:eastAsia="仿宋_GB2312" w:cs="仿宋_GB2312"/>
          <w:b w:val="0"/>
          <w:i w:val="0"/>
          <w:smallCaps w:val="0"/>
          <w:snapToGrid/>
          <w:color w:val="auto"/>
          <w:spacing w:val="-6"/>
          <w:sz w:val="32"/>
          <w:szCs w:val="32"/>
          <w:shd w:val="clear" w:color="auto" w:fill="FFFFFF"/>
          <w:lang w:eastAsia="zh-CN"/>
        </w:rPr>
        <w:t>为确保规划编制工作顺利推进，我厅将对各市（区）规划编制工作进行监督检查，适时通报各地工作进展情况，并将检查情况作为评价各市（区）商务主管部门成品油市场管理工作成效的重要依据。各级商务主管部门在规划编制中遇到的典型和共性问题，要及时向我厅反映。</w:t>
      </w:r>
    </w:p>
    <w:sectPr>
      <w:headerReference r:id="rId3" w:type="default"/>
      <w:footerReference r:id="rId4" w:type="default"/>
      <w:pgSz w:w="11906" w:h="16838"/>
      <w:pgMar w:top="1962" w:right="1361" w:bottom="1848"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MingLiU">
    <w:altName w:val="URW Bookman"/>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Standard Symbols PS">
    <w:panose1 w:val="05050102010706020507"/>
    <w:charset w:val="00"/>
    <w:family w:val="auto"/>
    <w:pitch w:val="default"/>
    <w:sig w:usb0="00000003" w:usb1="00000000" w:usb2="00000000" w:usb3="00000000" w:csb0="00000001"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8"/>
              <wp:cNvGraphicFramePr/>
              <a:graphic xmlns:a="http://schemas.openxmlformats.org/drawingml/2006/main">
                <a:graphicData uri="http://schemas.microsoft.com/office/word/2010/wordprocessingShape">
                  <wps:wsp>
                    <wps:cNvSpPr>
                      <a:spLocks noChangeArrowheads="true"/>
                    </wps:cNvSpPr>
                    <wps:spPr bwMode="auto">
                      <a:xfrm>
                        <a:off x="0" y="0"/>
                        <a:ext cx="445135" cy="230505"/>
                      </a:xfrm>
                      <a:prstGeom prst="rect">
                        <a:avLst/>
                      </a:prstGeom>
                      <a:noFill/>
                      <a:ln>
                        <a:noFill/>
                      </a:ln>
                    </wps:spPr>
                    <wps:txbx>
                      <w:txbxContent>
                        <w:p>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false" upright="true">
                      <a:spAutoFit/>
                    </wps:bodyPr>
                  </wps:wsp>
                </a:graphicData>
              </a:graphic>
            </wp:anchor>
          </w:drawing>
        </mc:Choice>
        <mc:Fallback>
          <w:pict>
            <v:rect id="文本框 8" o:spid="_x0000_s1026" o:spt="1" style="position:absolute;left:0pt;margin-top:0pt;height:18.15pt;width:35.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slI2s0gAAAAMBAAAPAAAAAAAAAAEAIAAAADgAAABkcnMvZG93&#10;bnJldi54bWxQSwECFAAUAAAACACHTuJAgRwSDvABAAC0AwAADgAAAAAAAAABACAAAAA3AQAAZHJz&#10;L2Uyb0RvYy54bWxQSwUGAAAAAAYABgBZAQAAmQUAAAAA&#10;">
              <v:fill on="f" focussize="0,0"/>
              <v:stroke on="f"/>
              <v:imagedata o:title=""/>
              <o:lock v:ext="edit" aspectratio="f"/>
              <v:textbox inset="0mm,0mm,0mm,0mm" style="mso-fit-shape-to-text:t;">
                <w:txbxContent>
                  <w:p>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12"/>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直接连接符 5"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O/yR1fSAAAABgEA&#10;AA8AAAAAAAAAAQAgAAAAOAAAAGRycy9kb3ducmV2LnhtbFBLAQIUABQAAAAIAIdO4kCEZ37Q0QEA&#10;AGMDAAAOAAAAAAAAAAEAIAAAADcBAABkcnMvZTJvRG9jLnhtbFBLBQYAAAAABgAGAFkBAAB6BQAA&#10;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陕西省</w:t>
    </w:r>
    <w:r>
      <w:rPr>
        <w:rFonts w:hint="eastAsia" w:ascii="宋体" w:hAnsi="宋体" w:cs="宋体"/>
        <w:b/>
        <w:bCs/>
        <w:color w:val="005192"/>
        <w:sz w:val="28"/>
        <w:szCs w:val="44"/>
        <w:lang w:eastAsia="zh-CN"/>
      </w:rPr>
      <w:t>商务厅</w:t>
    </w:r>
    <w:r>
      <w:rPr>
        <w:rFonts w:hint="eastAsia" w:ascii="宋体" w:hAnsi="宋体" w:cs="宋体"/>
        <w:b/>
        <w:bCs/>
        <w:color w:val="005192"/>
        <w:sz w:val="28"/>
        <w:szCs w:val="44"/>
      </w:rPr>
      <w:t xml:space="preserve">发布     </w:t>
    </w:r>
  </w:p>
  <w:p>
    <w:pPr>
      <w:pStyle w:val="12"/>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8240;mso-width-relative:page;mso-height-relative:page;" filled="f" stroked="t" coordsize="21600,21600" o:gfxdata="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2hKwnSAAAACQEA&#10;AA8AAAAAAAAAAQAgAAAAOAAAAGRycy9kb3ducmV2LnhtbFBLAQIUABQAAAAIAIdO4kCqUxRQ0QEA&#10;AGIDAAAOAAAAAAAAAAEAIAAAADcBAABkcnMvZTJvRG9jLnhtbFBLBQYAAAAABgAGAFkBAAB6BQAA&#10;AAA=&#10;">
              <v:fill on="f" focussize="0,0"/>
              <v:stroke weight="1.75pt" color="#005192" joinstyle="round"/>
              <v:imagedata o:title=""/>
              <o:lock v:ext="edit" aspectratio="f"/>
            </v:line>
          </w:pict>
        </mc:Fallback>
      </mc:AlternateContent>
    </w:r>
  </w:p>
  <w:p>
    <w:pPr>
      <w:pStyle w:val="12"/>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11150" cy="311150"/>
          <wp:effectExtent l="0" t="0" r="0" b="0"/>
          <wp:docPr id="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true" noChangeArrowheads="true"/>
                  </pic:cNvPicPr>
                </pic:nvPicPr>
                <pic:blipFill>
                  <a:blip r:embed="rId1">
                    <a:extLst>
                      <a:ext uri="{28A0092B-C50C-407E-A947-70E740481C1C}">
                        <a14:useLocalDpi xmlns:a14="http://schemas.microsoft.com/office/drawing/2010/main" val="false"/>
                      </a:ext>
                    </a:extLst>
                  </a:blip>
                  <a:srcRect/>
                  <a:stretch>
                    <a:fillRect/>
                  </a:stretch>
                </pic:blipFill>
                <pic:spPr>
                  <a:xfrm>
                    <a:off x="0" y="0"/>
                    <a:ext cx="311150" cy="311150"/>
                  </a:xfrm>
                  <a:prstGeom prst="rect">
                    <a:avLst/>
                  </a:prstGeom>
                  <a:noFill/>
                  <a:ln>
                    <a:noFill/>
                  </a:ln>
                </pic:spPr>
              </pic:pic>
            </a:graphicData>
          </a:graphic>
        </wp:inline>
      </w:drawing>
    </w:r>
    <w:bookmarkStart w:id="0" w:name="_Hlk91518048"/>
    <w:r>
      <w:rPr>
        <w:rFonts w:hint="eastAsia" w:ascii="宋体" w:hAnsi="宋体" w:cs="宋体"/>
        <w:b/>
        <w:bCs/>
        <w:color w:val="005192"/>
        <w:sz w:val="32"/>
        <w:szCs w:val="32"/>
      </w:rPr>
      <w:t>陕西省</w:t>
    </w:r>
    <w:bookmarkEnd w:id="0"/>
    <w:r>
      <w:rPr>
        <w:rFonts w:hint="eastAsia" w:ascii="宋体" w:hAnsi="宋体" w:cs="宋体"/>
        <w:b/>
        <w:bCs/>
        <w:color w:val="005192"/>
        <w:sz w:val="32"/>
        <w:szCs w:val="32"/>
        <w:lang w:eastAsia="zh-CN"/>
      </w:rPr>
      <w:t>商务厅</w:t>
    </w:r>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C8"/>
    <w:rsid w:val="000167BC"/>
    <w:rsid w:val="000226F3"/>
    <w:rsid w:val="00045270"/>
    <w:rsid w:val="00046993"/>
    <w:rsid w:val="000674F0"/>
    <w:rsid w:val="00071571"/>
    <w:rsid w:val="00082A2B"/>
    <w:rsid w:val="00082A6A"/>
    <w:rsid w:val="000B304C"/>
    <w:rsid w:val="000C0D40"/>
    <w:rsid w:val="000C446F"/>
    <w:rsid w:val="000E01DF"/>
    <w:rsid w:val="000F0374"/>
    <w:rsid w:val="000F3B66"/>
    <w:rsid w:val="000F7E2E"/>
    <w:rsid w:val="00141111"/>
    <w:rsid w:val="00172A27"/>
    <w:rsid w:val="00181444"/>
    <w:rsid w:val="00196A77"/>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5203"/>
    <w:rsid w:val="002D4311"/>
    <w:rsid w:val="002F08DA"/>
    <w:rsid w:val="00300A70"/>
    <w:rsid w:val="0030273D"/>
    <w:rsid w:val="003151B0"/>
    <w:rsid w:val="00325FC8"/>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D54D2"/>
    <w:rsid w:val="005E2D42"/>
    <w:rsid w:val="005F08CC"/>
    <w:rsid w:val="00602F3B"/>
    <w:rsid w:val="0060702A"/>
    <w:rsid w:val="0062602D"/>
    <w:rsid w:val="00641B22"/>
    <w:rsid w:val="00641F4E"/>
    <w:rsid w:val="00647BF9"/>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3A8A"/>
    <w:rsid w:val="00854687"/>
    <w:rsid w:val="008665FE"/>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6B4C"/>
    <w:rsid w:val="00D9223D"/>
    <w:rsid w:val="00D9684C"/>
    <w:rsid w:val="00DB79BC"/>
    <w:rsid w:val="00DC0158"/>
    <w:rsid w:val="00DD0DA2"/>
    <w:rsid w:val="00DE2CB3"/>
    <w:rsid w:val="00DF199A"/>
    <w:rsid w:val="00E3043B"/>
    <w:rsid w:val="00E70787"/>
    <w:rsid w:val="00EA14FF"/>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0FF5375"/>
    <w:rsid w:val="019E71BD"/>
    <w:rsid w:val="04B679C3"/>
    <w:rsid w:val="080F63D8"/>
    <w:rsid w:val="09341458"/>
    <w:rsid w:val="0B0912D7"/>
    <w:rsid w:val="152D2DCA"/>
    <w:rsid w:val="1DEC284C"/>
    <w:rsid w:val="1E6523AC"/>
    <w:rsid w:val="22440422"/>
    <w:rsid w:val="2B792E1B"/>
    <w:rsid w:val="31A15F24"/>
    <w:rsid w:val="376FA6A3"/>
    <w:rsid w:val="37FBF728"/>
    <w:rsid w:val="395347B5"/>
    <w:rsid w:val="39A232A0"/>
    <w:rsid w:val="39E745AA"/>
    <w:rsid w:val="3B5A6BBB"/>
    <w:rsid w:val="3EDA13A6"/>
    <w:rsid w:val="42F058B7"/>
    <w:rsid w:val="436109F6"/>
    <w:rsid w:val="441A38D4"/>
    <w:rsid w:val="472072B5"/>
    <w:rsid w:val="47F5FF5C"/>
    <w:rsid w:val="4BC77339"/>
    <w:rsid w:val="4C9236C5"/>
    <w:rsid w:val="505C172E"/>
    <w:rsid w:val="52F46F0B"/>
    <w:rsid w:val="53D8014D"/>
    <w:rsid w:val="55E064E0"/>
    <w:rsid w:val="572C6D10"/>
    <w:rsid w:val="576F65AF"/>
    <w:rsid w:val="5DC34279"/>
    <w:rsid w:val="5DF27221"/>
    <w:rsid w:val="608816D1"/>
    <w:rsid w:val="60EF4E7F"/>
    <w:rsid w:val="665233C1"/>
    <w:rsid w:val="67CDC03A"/>
    <w:rsid w:val="6AD9688B"/>
    <w:rsid w:val="6D0E3F22"/>
    <w:rsid w:val="6FDC8620"/>
    <w:rsid w:val="6FFD2644"/>
    <w:rsid w:val="704AFD37"/>
    <w:rsid w:val="767E13E6"/>
    <w:rsid w:val="771445FA"/>
    <w:rsid w:val="79FF8B6D"/>
    <w:rsid w:val="7ABC0B7D"/>
    <w:rsid w:val="7C9011D9"/>
    <w:rsid w:val="7DC651C5"/>
    <w:rsid w:val="7E630178"/>
    <w:rsid w:val="7EF699AC"/>
    <w:rsid w:val="7FBF420D"/>
    <w:rsid w:val="7FCC2834"/>
    <w:rsid w:val="7FFDF7F0"/>
    <w:rsid w:val="7FFF4DCA"/>
    <w:rsid w:val="AFDBBF0A"/>
    <w:rsid w:val="B7FFCA45"/>
    <w:rsid w:val="BABD880A"/>
    <w:rsid w:val="BB5B18E2"/>
    <w:rsid w:val="BEDB37A0"/>
    <w:rsid w:val="CBBF2B47"/>
    <w:rsid w:val="DB75DBBC"/>
    <w:rsid w:val="DD7848C6"/>
    <w:rsid w:val="DFF68BA8"/>
    <w:rsid w:val="E2FDEBEE"/>
    <w:rsid w:val="F9A34E15"/>
    <w:rsid w:val="FBAF060D"/>
    <w:rsid w:val="FEDB6ED8"/>
    <w:rsid w:val="FEE319A2"/>
    <w:rsid w:val="FFAE4217"/>
    <w:rsid w:val="FFEDD240"/>
    <w:rsid w:val="FFF59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28"/>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4"/>
    <w:basedOn w:val="1"/>
    <w:next w:val="1"/>
    <w:unhideWhenUsed/>
    <w:qFormat/>
    <w:uiPriority w:val="0"/>
    <w:pPr>
      <w:keepNext/>
      <w:keepLines/>
      <w:spacing w:beforeLines="0" w:beforeAutospacing="0" w:afterLines="0" w:afterAutospacing="0" w:line="560" w:lineRule="exact"/>
      <w:jc w:val="center"/>
      <w:outlineLvl w:val="3"/>
    </w:pPr>
    <w:rPr>
      <w:rFonts w:ascii="Times New Roman" w:hAnsi="Times New Roman" w:eastAsia="方正小标宋简体"/>
      <w:sz w:val="44"/>
    </w:rPr>
  </w:style>
  <w:style w:type="paragraph" w:styleId="5">
    <w:name w:val="heading 5"/>
    <w:basedOn w:val="1"/>
    <w:next w:val="1"/>
    <w:unhideWhenUsed/>
    <w:qFormat/>
    <w:uiPriority w:val="0"/>
    <w:pPr>
      <w:keepNext/>
      <w:keepLines/>
      <w:spacing w:beforeLines="0" w:beforeAutospacing="0" w:afterLines="0" w:afterAutospacing="0" w:line="240" w:lineRule="auto"/>
      <w:ind w:firstLine="0" w:firstLineChars="0"/>
      <w:outlineLvl w:val="4"/>
    </w:pPr>
    <w:rPr>
      <w:rFonts w:ascii="Calibri" w:hAnsi="Calibri" w:eastAsia="黑体" w:cs="Times New Roma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仿宋_GB2312"/>
      <w:sz w:val="36"/>
    </w:rPr>
  </w:style>
  <w:style w:type="paragraph" w:styleId="6">
    <w:name w:val="annotation text"/>
    <w:basedOn w:val="1"/>
    <w:qFormat/>
    <w:uiPriority w:val="0"/>
    <w:pPr>
      <w:jc w:val="left"/>
    </w:pPr>
  </w:style>
  <w:style w:type="paragraph" w:styleId="7">
    <w:name w:val="Body Text Indent"/>
    <w:basedOn w:val="1"/>
    <w:next w:val="8"/>
    <w:qFormat/>
    <w:uiPriority w:val="0"/>
    <w:pPr>
      <w:autoSpaceDE w:val="0"/>
      <w:autoSpaceDN w:val="0"/>
      <w:adjustRightInd w:val="0"/>
      <w:ind w:firstLine="640" w:firstLineChars="200"/>
      <w:jc w:val="left"/>
    </w:pPr>
    <w:rPr>
      <w:rFonts w:eastAsia="仿宋_GB2312"/>
      <w:sz w:val="32"/>
    </w:rPr>
  </w:style>
  <w:style w:type="paragraph" w:styleId="8">
    <w:name w:val="Body Text First Indent 2"/>
    <w:basedOn w:val="7"/>
    <w:next w:val="1"/>
    <w:qFormat/>
    <w:uiPriority w:val="0"/>
    <w:pPr>
      <w:ind w:firstLine="420" w:firstLineChars="200"/>
    </w:pPr>
  </w:style>
  <w:style w:type="paragraph" w:styleId="9">
    <w:name w:val="toc 3"/>
    <w:basedOn w:val="1"/>
    <w:next w:val="1"/>
    <w:unhideWhenUsed/>
    <w:qFormat/>
    <w:uiPriority w:val="39"/>
    <w:pPr>
      <w:ind w:left="420"/>
    </w:pPr>
    <w:rPr>
      <w:rFonts w:ascii="等线" w:hAnsi="等线" w:eastAsia="等线"/>
      <w:b/>
      <w:sz w:val="30"/>
      <w:szCs w:val="30"/>
    </w:rPr>
  </w:style>
  <w:style w:type="paragraph" w:styleId="10">
    <w:name w:val="Date"/>
    <w:basedOn w:val="1"/>
    <w:next w:val="1"/>
    <w:link w:val="27"/>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2"/>
    <w:qFormat/>
    <w:uiPriority w:val="0"/>
    <w:pPr>
      <w:spacing w:after="120"/>
      <w:ind w:firstLine="420" w:firstLineChars="100"/>
      <w:jc w:val="both"/>
    </w:pPr>
    <w:rPr>
      <w:rFonts w:eastAsia="宋体"/>
      <w:sz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qFormat/>
    <w:uiPriority w:val="0"/>
    <w:rPr>
      <w:color w:val="0000FF"/>
      <w:u w:val="single"/>
    </w:rPr>
  </w:style>
  <w:style w:type="character" w:styleId="21">
    <w:name w:val="annotation reference"/>
    <w:basedOn w:val="17"/>
    <w:qFormat/>
    <w:uiPriority w:val="0"/>
    <w:rPr>
      <w:sz w:val="21"/>
      <w:szCs w:val="21"/>
    </w:rPr>
  </w:style>
  <w:style w:type="paragraph" w:customStyle="1" w:styleId="22">
    <w:name w:val="Normal Indent"/>
    <w:basedOn w:val="1"/>
    <w:qFormat/>
    <w:uiPriority w:val="0"/>
    <w:pPr>
      <w:ind w:firstLine="200" w:firstLineChars="200"/>
    </w:pPr>
    <w:rPr>
      <w:rFonts w:eastAsia="楷体_GB2312"/>
    </w:rPr>
  </w:style>
  <w:style w:type="paragraph" w:customStyle="1" w:styleId="23">
    <w:name w:val="正文缩进1"/>
    <w:basedOn w:val="1"/>
    <w:qFormat/>
    <w:uiPriority w:val="0"/>
    <w:pPr>
      <w:ind w:firstLine="200" w:firstLineChars="200"/>
    </w:pPr>
    <w:rPr>
      <w:rFonts w:eastAsia="楷体_GB2312"/>
    </w:rPr>
  </w:style>
  <w:style w:type="paragraph" w:customStyle="1" w:styleId="24">
    <w:name w:val="Normal Indent1"/>
    <w:basedOn w:val="1"/>
    <w:qFormat/>
    <w:uiPriority w:val="0"/>
    <w:pPr>
      <w:ind w:firstLine="200" w:firstLineChars="200"/>
    </w:pPr>
    <w:rPr>
      <w:rFonts w:eastAsia="楷体_GB2312"/>
    </w:rPr>
  </w:style>
  <w:style w:type="paragraph" w:customStyle="1" w:styleId="25">
    <w:name w:val="列表段落1"/>
    <w:basedOn w:val="1"/>
    <w:qFormat/>
    <w:uiPriority w:val="99"/>
    <w:pPr>
      <w:ind w:firstLine="420" w:firstLineChars="200"/>
    </w:pPr>
  </w:style>
  <w:style w:type="character" w:customStyle="1" w:styleId="26">
    <w:name w:val="标题 1 字符"/>
    <w:basedOn w:val="17"/>
    <w:link w:val="3"/>
    <w:qFormat/>
    <w:uiPriority w:val="0"/>
    <w:rPr>
      <w:rFonts w:ascii="宋体" w:hAnsi="宋体"/>
      <w:b/>
      <w:bCs/>
      <w:kern w:val="44"/>
      <w:sz w:val="48"/>
      <w:szCs w:val="48"/>
    </w:rPr>
  </w:style>
  <w:style w:type="character" w:customStyle="1" w:styleId="27">
    <w:name w:val="日期 字符"/>
    <w:basedOn w:val="17"/>
    <w:link w:val="10"/>
    <w:qFormat/>
    <w:uiPriority w:val="0"/>
    <w:rPr>
      <w:rFonts w:ascii="Calibri" w:hAnsi="Calibri" w:cs="黑体"/>
      <w:kern w:val="2"/>
      <w:sz w:val="21"/>
      <w:szCs w:val="24"/>
    </w:rPr>
  </w:style>
  <w:style w:type="character" w:customStyle="1" w:styleId="28">
    <w:name w:val="标题 1 Char"/>
    <w:link w:val="3"/>
    <w:qFormat/>
    <w:uiPriority w:val="0"/>
    <w:rPr>
      <w:rFonts w:eastAsia="黑体"/>
      <w:b/>
      <w:kern w:val="44"/>
    </w:rPr>
  </w:style>
  <w:style w:type="paragraph" w:customStyle="1" w:styleId="29">
    <w:name w:val=" Char Char Char Char Char Char Char Char Char"/>
    <w:basedOn w:val="1"/>
    <w:qFormat/>
    <w:uiPriority w:val="0"/>
    <w:pPr>
      <w:widowControl/>
      <w:spacing w:after="160" w:afterLines="0" w:line="240" w:lineRule="exact"/>
      <w:jc w:val="left"/>
    </w:pPr>
  </w:style>
  <w:style w:type="paragraph" w:customStyle="1" w:styleId="30">
    <w:name w:val="正文文本 (4)"/>
    <w:basedOn w:val="1"/>
    <w:qFormat/>
    <w:uiPriority w:val="0"/>
    <w:pPr>
      <w:widowControl w:val="0"/>
      <w:shd w:val="clear" w:color="auto" w:fill="FFFFFF"/>
      <w:spacing w:after="600" w:line="752" w:lineRule="exact"/>
      <w:jc w:val="center"/>
    </w:pPr>
    <w:rPr>
      <w:rFonts w:ascii="MingLiU" w:hAnsi="MingLiU" w:eastAsia="MingLiU" w:cs="MingLiU"/>
      <w:sz w:val="36"/>
      <w:szCs w:val="36"/>
      <w:u w:val="none"/>
      <w:lang w:val="zh-CN" w:eastAsia="zh-CN" w:bidi="zh-CN"/>
    </w:rPr>
  </w:style>
  <w:style w:type="paragraph" w:customStyle="1" w:styleId="31">
    <w:name w:val="正文文本1"/>
    <w:basedOn w:val="1"/>
    <w:qFormat/>
    <w:uiPriority w:val="0"/>
    <w:pPr>
      <w:widowControl w:val="0"/>
      <w:shd w:val="clear" w:color="auto" w:fill="FFFFFF"/>
      <w:spacing w:line="425" w:lineRule="auto"/>
      <w:ind w:firstLine="30"/>
    </w:pPr>
    <w:rPr>
      <w:rFonts w:ascii="MingLiU" w:hAnsi="MingLiU" w:eastAsia="MingLiU" w:cs="MingLiU"/>
      <w:sz w:val="28"/>
      <w:szCs w:val="28"/>
      <w:u w:val="none"/>
      <w:lang w:val="zh-CN" w:eastAsia="zh-CN" w:bidi="zh-CN"/>
    </w:rPr>
  </w:style>
  <w:style w:type="paragraph" w:customStyle="1" w:styleId="32">
    <w:name w:val="正文文本 (3)"/>
    <w:basedOn w:val="1"/>
    <w:qFormat/>
    <w:uiPriority w:val="0"/>
    <w:pPr>
      <w:widowControl w:val="0"/>
      <w:shd w:val="clear" w:color="auto" w:fill="FFFFFF"/>
      <w:spacing w:line="593" w:lineRule="exact"/>
      <w:ind w:left="1240"/>
    </w:pPr>
    <w:rPr>
      <w:rFonts w:ascii="Times New Roman" w:hAnsi="Times New Roman" w:eastAsia="Times New Roman" w:cs="Times New Roman"/>
      <w:sz w:val="30"/>
      <w:szCs w:val="30"/>
      <w:u w:val="none"/>
    </w:rPr>
  </w:style>
  <w:style w:type="paragraph" w:customStyle="1" w:styleId="33">
    <w:name w:val="标题 #1"/>
    <w:basedOn w:val="1"/>
    <w:qFormat/>
    <w:uiPriority w:val="0"/>
    <w:pPr>
      <w:widowControl w:val="0"/>
      <w:shd w:val="clear" w:color="auto" w:fill="FFFFFF"/>
      <w:spacing w:after="380"/>
      <w:jc w:val="center"/>
      <w:outlineLvl w:val="0"/>
    </w:pPr>
    <w:rPr>
      <w:rFonts w:ascii="MingLiU" w:hAnsi="MingLiU" w:eastAsia="MingLiU" w:cs="MingLiU"/>
      <w:sz w:val="36"/>
      <w:szCs w:val="36"/>
      <w:u w:val="none"/>
      <w:lang w:val="zh-CN" w:eastAsia="zh-CN" w:bidi="zh-CN"/>
    </w:rPr>
  </w:style>
  <w:style w:type="paragraph" w:customStyle="1" w:styleId="34">
    <w:name w:val="其他"/>
    <w:basedOn w:val="1"/>
    <w:qFormat/>
    <w:uiPriority w:val="0"/>
    <w:pPr>
      <w:widowControl w:val="0"/>
      <w:shd w:val="clear" w:color="auto" w:fill="FFFFFF"/>
      <w:spacing w:line="425" w:lineRule="auto"/>
      <w:ind w:firstLine="30"/>
    </w:pPr>
    <w:rPr>
      <w:rFonts w:ascii="MingLiU" w:hAnsi="MingLiU" w:eastAsia="MingLiU" w:cs="MingLiU"/>
      <w:sz w:val="28"/>
      <w:szCs w:val="28"/>
      <w:u w:val="none"/>
      <w:lang w:val="zh-CN" w:eastAsia="zh-CN" w:bidi="zh-CN"/>
    </w:rPr>
  </w:style>
  <w:style w:type="character" w:customStyle="1" w:styleId="35">
    <w:name w:val="NormalCharacter"/>
    <w:semiHidden/>
    <w:qFormat/>
    <w:uiPriority w:val="0"/>
    <w:rPr>
      <w:rFonts w:eastAsia="宋体"/>
      <w:kern w:val="2"/>
      <w:sz w:val="32"/>
      <w:lang w:val="en-US" w:eastAsia="zh-CN" w:bidi="ar-SA"/>
    </w:rPr>
  </w:style>
  <w:style w:type="character" w:customStyle="1" w:styleId="36">
    <w:name w:val="font181"/>
    <w:basedOn w:val="17"/>
    <w:qFormat/>
    <w:uiPriority w:val="0"/>
    <w:rPr>
      <w:rFonts w:hint="default" w:ascii="黑体" w:hAnsi="宋体" w:eastAsia="黑体" w:cs="黑体"/>
      <w:color w:val="000000"/>
      <w:sz w:val="22"/>
      <w:szCs w:val="22"/>
      <w:u w:val="none"/>
    </w:rPr>
  </w:style>
  <w:style w:type="character" w:customStyle="1" w:styleId="37">
    <w:name w:val="font51"/>
    <w:basedOn w:val="17"/>
    <w:qFormat/>
    <w:uiPriority w:val="0"/>
    <w:rPr>
      <w:rFonts w:ascii="仿宋_GB2312" w:eastAsia="仿宋_GB2312" w:cs="仿宋_GB2312"/>
      <w:color w:val="000000"/>
      <w:sz w:val="22"/>
      <w:szCs w:val="22"/>
      <w:u w:val="none"/>
    </w:rPr>
  </w:style>
  <w:style w:type="character" w:customStyle="1" w:styleId="38">
    <w:name w:val="font101"/>
    <w:basedOn w:val="17"/>
    <w:qFormat/>
    <w:uiPriority w:val="0"/>
    <w:rPr>
      <w:rFonts w:hint="default" w:ascii="Times New Roman" w:hAnsi="Times New Roman" w:cs="Times New Roman"/>
      <w:color w:val="000000"/>
      <w:sz w:val="22"/>
      <w:szCs w:val="22"/>
      <w:u w:val="none"/>
    </w:rPr>
  </w:style>
  <w:style w:type="character" w:customStyle="1" w:styleId="39">
    <w:name w:val="font41"/>
    <w:basedOn w:val="17"/>
    <w:qFormat/>
    <w:uiPriority w:val="0"/>
    <w:rPr>
      <w:rFonts w:hint="eastAsia" w:ascii="方正小标宋简体" w:hAnsi="方正小标宋简体" w:eastAsia="方正小标宋简体" w:cs="方正小标宋简体"/>
      <w:color w:val="000000"/>
      <w:sz w:val="22"/>
      <w:szCs w:val="22"/>
      <w:u w:val="none"/>
    </w:rPr>
  </w:style>
  <w:style w:type="character" w:customStyle="1" w:styleId="40">
    <w:name w:val="font171"/>
    <w:basedOn w:val="17"/>
    <w:qFormat/>
    <w:uiPriority w:val="0"/>
    <w:rPr>
      <w:rFonts w:hint="default" w:ascii="仿宋_GB2312" w:eastAsia="仿宋_GB2312" w:cs="仿宋_GB2312"/>
      <w:color w:val="000000"/>
      <w:sz w:val="22"/>
      <w:szCs w:val="22"/>
      <w:u w:val="none"/>
    </w:rPr>
  </w:style>
  <w:style w:type="character" w:customStyle="1" w:styleId="41">
    <w:name w:val="font91"/>
    <w:basedOn w:val="17"/>
    <w:qFormat/>
    <w:uiPriority w:val="0"/>
    <w:rPr>
      <w:rFonts w:hint="default" w:ascii="Times New Roman" w:hAnsi="Times New Roman" w:cs="Times New Roman"/>
      <w:color w:val="000000"/>
      <w:sz w:val="22"/>
      <w:szCs w:val="22"/>
      <w:u w:val="none"/>
    </w:rPr>
  </w:style>
  <w:style w:type="character" w:customStyle="1" w:styleId="42">
    <w:name w:val="font31"/>
    <w:basedOn w:val="17"/>
    <w:qFormat/>
    <w:uiPriority w:val="0"/>
    <w:rPr>
      <w:rFonts w:ascii="Arial" w:hAnsi="Arial" w:cs="Arial"/>
      <w:color w:val="000000"/>
      <w:sz w:val="22"/>
      <w:szCs w:val="22"/>
      <w:u w:val="none"/>
    </w:rPr>
  </w:style>
  <w:style w:type="character" w:customStyle="1" w:styleId="43">
    <w:name w:val="font21"/>
    <w:basedOn w:val="17"/>
    <w:qFormat/>
    <w:uiPriority w:val="0"/>
    <w:rPr>
      <w:rFonts w:hint="eastAsia" w:ascii="方正小标宋简体" w:hAnsi="方正小标宋简体" w:eastAsia="方正小标宋简体" w:cs="方正小标宋简体"/>
      <w:color w:val="000000"/>
      <w:sz w:val="22"/>
      <w:szCs w:val="22"/>
      <w:u w:val="none"/>
    </w:rPr>
  </w:style>
  <w:style w:type="character" w:customStyle="1" w:styleId="44">
    <w:name w:val="font13"/>
    <w:basedOn w:val="17"/>
    <w:qFormat/>
    <w:uiPriority w:val="0"/>
    <w:rPr>
      <w:rFonts w:hint="eastAsia" w:ascii="宋体" w:hAnsi="宋体" w:eastAsia="宋体" w:cs="宋体"/>
      <w:color w:val="000000"/>
      <w:sz w:val="22"/>
      <w:szCs w:val="22"/>
      <w:u w:val="none"/>
    </w:rPr>
  </w:style>
  <w:style w:type="character" w:customStyle="1" w:styleId="45">
    <w:name w:val="font01"/>
    <w:basedOn w:val="17"/>
    <w:qFormat/>
    <w:uiPriority w:val="0"/>
    <w:rPr>
      <w:rFonts w:hint="default" w:ascii="仿宋_GB2312" w:eastAsia="仿宋_GB2312" w:cs="仿宋_GB2312"/>
      <w:color w:val="000000"/>
      <w:sz w:val="22"/>
      <w:szCs w:val="22"/>
      <w:u w:val="none"/>
    </w:rPr>
  </w:style>
  <w:style w:type="character" w:customStyle="1" w:styleId="46">
    <w:name w:val="font132"/>
    <w:basedOn w:val="1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591</Words>
  <Characters>3370</Characters>
  <Lines>28</Lines>
  <Paragraphs>7</Paragraphs>
  <TotalTime>3</TotalTime>
  <ScaleCrop>false</ScaleCrop>
  <LinksUpToDate>false</LinksUpToDate>
  <CharactersWithSpaces>3954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2022-08-16T23:12:00Z</dcterms:created>
  <dc:creator>t</dc:creator>
  <cp:lastModifiedBy>user</cp:lastModifiedBy>
  <cp:lastPrinted>2022-01-03T23:02:00Z</cp:lastPrinted>
  <dcterms:modified xsi:type="dcterms:W3CDTF">2022-09-19T15:29:40Z</dcterms:modified>
  <dc:title>陕西省人民政府办公厅关于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