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val="0"/>
          <w:bCs w:val="0"/>
          <w:sz w:val="44"/>
          <w:szCs w:val="44"/>
        </w:rPr>
      </w:pPr>
    </w:p>
    <w:p>
      <w:pPr>
        <w:pStyle w:val="11"/>
        <w:keepNext w:val="0"/>
        <w:keepLines w:val="0"/>
        <w:widowControl/>
        <w:suppressLineNumbers w:val="0"/>
        <w:spacing w:before="75" w:beforeAutospacing="0" w:after="75" w:afterAutospacing="0"/>
        <w:ind w:left="0" w:right="0" w:firstLine="0"/>
        <w:jc w:val="center"/>
        <w:rPr>
          <w:rFonts w:hint="eastAsia" w:ascii="宋体" w:hAnsi="宋体" w:eastAsia="宋体" w:cs="宋体"/>
          <w:b/>
          <w:bCs/>
          <w:kern w:val="2"/>
          <w:sz w:val="44"/>
          <w:szCs w:val="44"/>
          <w:lang w:val="en-US" w:eastAsia="zh-CN" w:bidi="ar-SA"/>
        </w:rPr>
      </w:pPr>
      <w:bookmarkStart w:id="3" w:name="_GoBack"/>
      <w:r>
        <w:rPr>
          <w:rFonts w:hint="eastAsia" w:ascii="宋体" w:hAnsi="宋体" w:eastAsia="宋体" w:cs="宋体"/>
          <w:b/>
          <w:bCs/>
          <w:kern w:val="2"/>
          <w:sz w:val="44"/>
          <w:szCs w:val="44"/>
          <w:lang w:val="en-US" w:eastAsia="zh-CN" w:bidi="ar-SA"/>
        </w:rPr>
        <w:t>陕西省商务厅关于加快推进全国首批城市</w:t>
      </w:r>
    </w:p>
    <w:p>
      <w:pPr>
        <w:pStyle w:val="11"/>
        <w:keepNext w:val="0"/>
        <w:keepLines w:val="0"/>
        <w:widowControl/>
        <w:suppressLineNumbers w:val="0"/>
        <w:spacing w:before="75" w:beforeAutospacing="0" w:after="75" w:afterAutospacing="0"/>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一刻钟便民生活圈建设试点工作的通知</w:t>
      </w:r>
    </w:p>
    <w:bookmarkEnd w:id="3"/>
    <w:p>
      <w:pPr>
        <w:pStyle w:val="11"/>
        <w:keepNext w:val="0"/>
        <w:keepLines w:val="0"/>
        <w:widowControl/>
        <w:suppressLineNumbers w:val="0"/>
        <w:spacing w:before="75" w:beforeAutospacing="0" w:after="75" w:afterAutospacing="0"/>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陕商函〔2021〕575号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西安市、渭南市商务局：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2021年商务部等12部门决定在全国范围开展城市一刻钟便民生活圈建设试点工作，是坚定实施扩大内需战略，畅通国民经济循环，满足人民日益增长的美好生活需要的重大举措，是形成强大国内市场、服务保障民生、推动便利消费、扩大就业的重要平台和载体。现将《商务部办公厅等11部门关于公布全国首批城市一刻钟便民生活圈试点名单的通知（商办流通函〔2021〕327号）》转发你们，请认真抓好贯彻落实。</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一、高度重视便民生活圈建设试点工作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两市人民政府作为试点实施主体，要进一步提高思想认识，加强对城市一刻钟便民生活圈建设试点工作的组织领导，要严格按照《商务部等12部门关于推进城市一刻钟便民生活圈建设的意见》（商流通函〔2021〕176号 ）和《商务部办公厅等11部门关于城市一刻钟便民生活圈建设指南（商办流通函〔2021〕247号）》精神，以及两个城市在试点申报书和试点申报方案中做出的承诺，真正把城市一刻钟便民生活圈建设纳入政府保民生重点工程，实行市长（区长）负责制，按照“两年试点、三年推广”的步骤，对标对表，切实落实“试点方案”中的各项目标任务和具体工作，把“群众有期盼、市场有需求、媒体有关注”与人民群众日常生活最密切的工作做实、做细、做到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两市各级商务主管部门作为试点工作的具体组织者，不能有等靠思想，要积极会同相关职能部门，在地方政府的领导下，加快推进试点建设速度，真正把全面提升城市一刻钟便民生活圈便利化程度、推进标准化建设、提高智慧化水平和提升居民品质化生活落实到实际工作中，确保试点各项工作任务如期高标准完成。</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二、加快推进便民生活圈建设试点工作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城市一刻钟便民生活圈建设试点工作，涉及行业监管部门多、便民服务业态多，菜市场、社区菜店、照相文印店、家政服务点、维修点，再生资源回收点，以及社区养老、新式书店、幼儿托管等便民服务业态，属于微利薄利业态，具有一定的公益属性。试点地区商务主管部门，要在地方政府的统一领导下，积极会同住建、发改、自然和财政等部门，按照“政府引导、市场主导，以人为本、保障基本，集约建设、商居和谐，创新驱动、多元发展”的建设原则，依据“建设指南”要求，加强顶层设计，明确配置标准，就近科学选址，推动试点工作开展。要创造性开展工作，着力在政策创新、制度创新、管理创新、模式创新等方面优化营商环境，出台配送支持政策。要本着“缺什么补什么”的原则，优先配齐基本保障类业态，因地制宜发展品质提升类业态。要综合考虑社区周边商业业态发展实际、地理环境条件、人员分布情况和用房等客观因素，科学确定便民生活圈发展形态。要按照国务院提出“新建社区商业和综合服务设施面积占总建筑面积比例不低于10%”的规定，切实落实好城市一刻钟便民生活圈建设试点选址和用房等实际问题。试点工作不仅要在补齐社区商业短板上下功夫，更要在提升项目建设质量、优化消费环境、提升服务品质上出实招、见成效，让城市一刻钟便民生活圈建设成为老百姓喜闻乐见，休闲、购物、娱乐、消费的城市后花园。</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三、按时报送便民生活圈试点工作进展</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sans-serif" w:hAnsi="sans-serif" w:eastAsia="sans-serif" w:cs="sans-serif"/>
          <w:i w:val="0"/>
          <w:caps w:val="0"/>
          <w:color w:val="000000"/>
          <w:spacing w:val="0"/>
          <w:sz w:val="27"/>
          <w:szCs w:val="27"/>
        </w:rPr>
      </w:pPr>
      <w:r>
        <w:rPr>
          <w:rFonts w:hint="default" w:ascii="仿宋_GB2312" w:hAnsi="仿宋_GB2312" w:eastAsia="仿宋_GB2312" w:cs="仿宋_GB2312"/>
          <w:color w:val="333333"/>
          <w:kern w:val="2"/>
          <w:sz w:val="32"/>
          <w:szCs w:val="32"/>
          <w:shd w:val="clear" w:color="auto" w:fill="FFFFFF"/>
          <w:lang w:val="en-US" w:eastAsia="zh-CN" w:bidi="ar-SA"/>
        </w:rPr>
        <w:t>试点工作时间紧、任务重、标准高、要求严，试点地区地方政府特别是商务主管部门，要以时不我待的精神，严格按照“建设指南”的标准，既定的试点工作方案和时间节点要求，高标准按时完成试点工作。同时要及时学习借鉴国内外便民生活圈建设成功经验，因地制宜，不能搞“一刀切”。商务、住房和城乡建设部门要及时总结工作进展情况和工作中可复制可推广的做法，加大配套政策和工作成果转化的宣传报道力度，并于每季度第一个月10日前，以书面形式向省商务厅、省住房和城乡建设厅报送上季度工作进展情况。</w:t>
      </w:r>
    </w:p>
    <w:p>
      <w:pPr>
        <w:pStyle w:val="11"/>
        <w:keepNext w:val="0"/>
        <w:keepLines w:val="0"/>
        <w:widowControl/>
        <w:suppressLineNumbers w:val="0"/>
        <w:spacing w:line="315" w:lineRule="atLeast"/>
        <w:ind w:left="0" w:firstLine="420"/>
        <w:rPr>
          <w:rFonts w:hint="default" w:ascii="sans-serif" w:hAnsi="sans-serif" w:eastAsia="sans-serif" w:cs="sans-serif"/>
          <w:i w:val="0"/>
          <w:caps w:val="0"/>
          <w:color w:val="000000"/>
          <w:spacing w:val="0"/>
          <w:sz w:val="27"/>
          <w:szCs w:val="27"/>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2021年11月1日</w:t>
      </w:r>
    </w:p>
    <w:p>
      <w:pPr>
        <w:spacing w:line="570" w:lineRule="exact"/>
        <w:ind w:firstLine="640" w:firstLineChars="200"/>
        <w:rPr>
          <w:rFonts w:hint="eastAsia" w:ascii="黑体" w:hAnsi="黑体" w:eastAsia="黑体"/>
          <w:sz w:val="32"/>
          <w:szCs w:val="32"/>
          <w:lang w:val="en" w:eastAsia="zh-CN"/>
        </w:rPr>
      </w:pPr>
    </w:p>
    <w:p>
      <w:pPr>
        <w:spacing w:line="570" w:lineRule="exact"/>
        <w:ind w:firstLine="640" w:firstLineChars="200"/>
        <w:rPr>
          <w:rFonts w:hint="eastAsia" w:ascii="黑体" w:hAnsi="黑体" w:eastAsia="黑体"/>
          <w:sz w:val="32"/>
          <w:szCs w:val="32"/>
          <w:lang w:val="en" w:eastAsia="zh-CN"/>
        </w:rPr>
      </w:pPr>
      <w:r>
        <w:rPr>
          <w:rFonts w:hint="eastAsia" w:ascii="黑体" w:hAnsi="黑体" w:eastAsia="黑体"/>
          <w:sz w:val="32"/>
          <w:szCs w:val="32"/>
          <w:lang w:val="en" w:eastAsia="zh-CN"/>
        </w:rPr>
        <w:t>附件</w:t>
      </w:r>
    </w:p>
    <w:p>
      <w:pPr>
        <w:pStyle w:val="2"/>
        <w:rPr>
          <w:rFonts w:hint="eastAsia"/>
          <w:lang w:val="en" w:eastAsia="zh-CN"/>
        </w:rPr>
      </w:pPr>
    </w:p>
    <w:p>
      <w:pPr>
        <w:spacing w:line="570" w:lineRule="exact"/>
        <w:ind w:firstLine="640" w:firstLineChars="200"/>
        <w:jc w:val="center"/>
        <w:rPr>
          <w:rFonts w:hint="eastAsia" w:ascii="黑体" w:hAnsi="黑体" w:eastAsia="黑体"/>
          <w:sz w:val="32"/>
          <w:szCs w:val="32"/>
        </w:rPr>
      </w:pPr>
      <w:r>
        <w:rPr>
          <w:rFonts w:hint="eastAsia" w:ascii="黑体" w:hAnsi="黑体" w:eastAsia="黑体"/>
          <w:sz w:val="32"/>
          <w:szCs w:val="32"/>
        </w:rPr>
        <w:t>商务部办公厅等11部门关于公布全国首批城市</w:t>
      </w:r>
      <w:r>
        <w:rPr>
          <w:rFonts w:hint="eastAsia" w:ascii="黑体" w:hAnsi="黑体" w:eastAsia="黑体"/>
          <w:sz w:val="32"/>
          <w:szCs w:val="32"/>
        </w:rPr>
        <w:br w:type="textWrapping"/>
      </w:r>
      <w:r>
        <w:rPr>
          <w:rFonts w:hint="eastAsia" w:ascii="黑体" w:hAnsi="黑体" w:eastAsia="黑体"/>
          <w:sz w:val="32"/>
          <w:szCs w:val="32"/>
        </w:rPr>
        <w:t>一刻钟便民生活圈试点名单的通知</w:t>
      </w:r>
    </w:p>
    <w:p>
      <w:pPr>
        <w:pStyle w:val="2"/>
        <w:rPr>
          <w:rFonts w:hint="eastAsia"/>
        </w:rPr>
      </w:pPr>
    </w:p>
    <w:p>
      <w:pPr>
        <w:pStyle w:val="26"/>
        <w:keepNext w:val="0"/>
        <w:keepLines w:val="0"/>
        <w:widowControl w:val="0"/>
        <w:shd w:val="clear" w:color="auto" w:fill="auto"/>
        <w:bidi w:val="0"/>
        <w:spacing w:before="0" w:after="0" w:line="599" w:lineRule="exact"/>
        <w:ind w:right="0"/>
        <w:jc w:val="left"/>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en-US" w:eastAsia="zh-CN" w:bidi="ar-SA"/>
        </w:rPr>
        <w:t>各省、自治区、直辖市、计划单列市及新疆生产建设兵团商务、发展 改革、民政、财政、人力资源社会保障、自然资源、住房和城乡建设、 文化和旅游、市场监管、邮政管理部门，各银保监局：</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left"/>
        <w:textAlignment w:val="auto"/>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en-US" w:eastAsia="zh-CN" w:bidi="ar-SA"/>
        </w:rPr>
        <w:t>为深入贯彻党的十九届五中全会和中央经济工作会议精神， 坚定实施扩大内需战略，畅通国民经济循环，满足人民日益增长的美好生活需要，根据《商务部等12部门关于推进城市一刻钟便民生活圈建设的意见》（商流通函〔2021〕176号，以下简称《意见》）、 《商务部办公厅等11部门关于印发〈城市一刻钟便民生活圈建设指南〉的通知》（商办流通函〔2021〕247号，以下简称《指南》）要求, 在各地申报的基础上，经专家评审并向社会公示，商务部等部门确定了全国首批城市一刻钟便民生活圈试点地区30个（名单附后）， 现予公布并就有关事项通知如下：</w:t>
      </w:r>
    </w:p>
    <w:p>
      <w:pPr>
        <w:pStyle w:val="26"/>
        <w:keepNext w:val="0"/>
        <w:keepLines w:val="0"/>
        <w:pageBreakBefore w:val="0"/>
        <w:widowControl w:val="0"/>
        <w:shd w:val="clear" w:color="auto" w:fill="auto"/>
        <w:tabs>
          <w:tab w:val="left" w:pos="1837"/>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en-US" w:eastAsia="zh-CN" w:bidi="ar-SA"/>
        </w:rPr>
        <w:t>一、各省级相关部门要督促试点地区按照《意见》和《指南》要求，抓紧落实试点方案，将试点工作与“我为群众办实事”实践活动、扩内需促消费等重点工作相结合，加强部门协调，加大政策支持力度，在政策创新、管理创新、模式创新等方面大胆探索，形成可复制的成熟经验及可量化的工作成效。</w:t>
      </w:r>
    </w:p>
    <w:p>
      <w:pPr>
        <w:pStyle w:val="26"/>
        <w:keepNext w:val="0"/>
        <w:keepLines w:val="0"/>
        <w:pageBreakBefore w:val="0"/>
        <w:widowControl w:val="0"/>
        <w:shd w:val="clear" w:color="auto" w:fill="auto"/>
        <w:tabs>
          <w:tab w:val="left" w:pos="1837"/>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en-US" w:eastAsia="zh-CN" w:bidi="ar-SA"/>
        </w:rPr>
        <w:t>二、各省级相关部门要加强对试点地区的对口指导，加快试点进度，做好试点工作评估和经验推广，条件成熟的可积极探索开展省级试点。要加强舆论宣传，进一步凝聚共识，放大试点效应，真正把人民群众的“急难愁盼”解决好、办到位，增强人民群众的获得感、幸福感、安全感。</w:t>
      </w:r>
    </w:p>
    <w:p>
      <w:pPr>
        <w:pStyle w:val="26"/>
        <w:keepNext w:val="0"/>
        <w:keepLines w:val="0"/>
        <w:widowControl w:val="0"/>
        <w:shd w:val="clear" w:color="auto" w:fill="auto"/>
        <w:bidi w:val="0"/>
        <w:spacing w:before="0" w:after="0" w:line="593" w:lineRule="exact"/>
        <w:ind w:left="1240" w:right="0" w:firstLine="0"/>
        <w:jc w:val="left"/>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en-US" w:eastAsia="zh-CN" w:bidi="ar-SA"/>
        </w:rPr>
        <w:t>联系人：商务部流通发展司 任宏伟 白松玉</w:t>
      </w:r>
    </w:p>
    <w:p>
      <w:pPr>
        <w:pStyle w:val="27"/>
        <w:keepNext w:val="0"/>
        <w:keepLines w:val="0"/>
        <w:widowControl w:val="0"/>
        <w:shd w:val="clear" w:color="auto" w:fill="auto"/>
        <w:bidi w:val="0"/>
        <w:spacing w:before="0" w:after="0"/>
        <w:ind w:right="0" w:firstLine="0"/>
        <w:jc w:val="left"/>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zh-CN" w:eastAsia="zh-CN" w:bidi="ar-SA"/>
        </w:rPr>
        <w:t>电 话：010-85093794,</w:t>
      </w:r>
      <w:r>
        <w:rPr>
          <w:rFonts w:hint="default" w:ascii="仿宋_GB2312" w:hAnsi="仿宋_GB2312" w:eastAsia="仿宋_GB2312" w:cs="仿宋_GB2312"/>
          <w:color w:val="333333"/>
          <w:kern w:val="2"/>
          <w:sz w:val="32"/>
          <w:szCs w:val="32"/>
          <w:u w:val="none"/>
          <w:shd w:val="clear" w:color="auto" w:fill="FFFFFF"/>
          <w:lang w:val="en-US" w:eastAsia="en-US" w:bidi="ar-SA"/>
        </w:rPr>
        <w:t>010-85093777</w:t>
      </w:r>
    </w:p>
    <w:p>
      <w:pPr>
        <w:pStyle w:val="27"/>
        <w:keepNext w:val="0"/>
        <w:keepLines w:val="0"/>
        <w:widowControl w:val="0"/>
        <w:shd w:val="clear" w:color="auto" w:fill="auto"/>
        <w:bidi w:val="0"/>
        <w:spacing w:before="0" w:after="0"/>
        <w:ind w:right="0" w:firstLine="0"/>
        <w:jc w:val="left"/>
        <w:rPr>
          <w:rFonts w:hint="default" w:ascii="仿宋_GB2312" w:hAnsi="仿宋_GB2312" w:eastAsia="仿宋_GB2312" w:cs="仿宋_GB2312"/>
          <w:color w:val="333333"/>
          <w:kern w:val="2"/>
          <w:sz w:val="32"/>
          <w:szCs w:val="32"/>
          <w:u w:val="none"/>
          <w:shd w:val="clear" w:color="auto" w:fill="FFFFFF"/>
          <w:lang w:val="en-US" w:eastAsia="zh-CN" w:bidi="ar-SA"/>
        </w:rPr>
      </w:pPr>
      <w:r>
        <w:rPr>
          <w:rFonts w:hint="default" w:ascii="仿宋_GB2312" w:hAnsi="仿宋_GB2312" w:eastAsia="仿宋_GB2312" w:cs="仿宋_GB2312"/>
          <w:color w:val="333333"/>
          <w:kern w:val="2"/>
          <w:sz w:val="32"/>
          <w:szCs w:val="32"/>
          <w:u w:val="none"/>
          <w:shd w:val="clear" w:color="auto" w:fill="FFFFFF"/>
          <w:lang w:val="zh-CN" w:eastAsia="zh-CN" w:bidi="ar-SA"/>
        </w:rPr>
        <w:t>传 真：010-85093767</w:t>
      </w:r>
    </w:p>
    <w:p>
      <w:pPr>
        <w:pStyle w:val="27"/>
        <w:keepNext w:val="0"/>
        <w:keepLines w:val="0"/>
        <w:widowControl w:val="0"/>
        <w:shd w:val="clear" w:color="auto" w:fill="auto"/>
        <w:bidi w:val="0"/>
        <w:spacing w:before="0" w:after="0"/>
        <w:ind w:right="0" w:firstLine="0"/>
        <w:jc w:val="left"/>
        <w:rPr>
          <w:rFonts w:hint="default" w:ascii="仿宋_GB2312" w:hAnsi="仿宋_GB2312" w:eastAsia="仿宋_GB2312" w:cs="仿宋_GB2312"/>
          <w:color w:val="333333"/>
          <w:kern w:val="2"/>
          <w:sz w:val="32"/>
          <w:szCs w:val="32"/>
          <w:u w:val="none"/>
          <w:shd w:val="clear" w:color="auto" w:fill="FFFFFF"/>
          <w:lang w:val="en-US" w:eastAsia="en-US" w:bidi="ar-SA"/>
        </w:rPr>
      </w:pPr>
      <w:r>
        <w:rPr>
          <w:rFonts w:hint="default" w:ascii="仿宋_GB2312" w:hAnsi="仿宋_GB2312" w:eastAsia="仿宋_GB2312" w:cs="仿宋_GB2312"/>
          <w:color w:val="333333"/>
          <w:kern w:val="2"/>
          <w:sz w:val="32"/>
          <w:szCs w:val="32"/>
          <w:u w:val="none"/>
          <w:shd w:val="clear" w:color="auto" w:fill="FFFFFF"/>
          <w:lang w:val="zh-CN" w:eastAsia="zh-CN" w:bidi="ar-SA"/>
        </w:rPr>
        <w:t>邮 箱:</w:t>
      </w:r>
      <w:r>
        <w:rPr>
          <w:rFonts w:hint="default" w:ascii="仿宋_GB2312" w:hAnsi="仿宋_GB2312" w:eastAsia="仿宋_GB2312" w:cs="仿宋_GB2312"/>
          <w:color w:val="333333"/>
          <w:kern w:val="2"/>
          <w:sz w:val="32"/>
          <w:szCs w:val="32"/>
          <w:u w:val="none"/>
          <w:shd w:val="clear" w:color="auto" w:fill="FFFFFF"/>
          <w:lang w:val="en-US" w:eastAsia="en-US" w:bidi="ar-SA"/>
        </w:rPr>
        <w:t>renhongwei@mofcom. gov. cn</w:t>
      </w:r>
    </w:p>
    <w:p>
      <w:pPr>
        <w:pStyle w:val="28"/>
        <w:keepNext/>
        <w:keepLines/>
        <w:widowControl w:val="0"/>
        <w:shd w:val="clear" w:color="auto" w:fill="auto"/>
        <w:bidi w:val="0"/>
        <w:spacing w:before="0" w:line="240" w:lineRule="auto"/>
        <w:ind w:left="0" w:right="0" w:firstLine="0"/>
        <w:jc w:val="center"/>
        <w:rPr>
          <w:color w:val="000000"/>
          <w:spacing w:val="0"/>
          <w:w w:val="100"/>
          <w:position w:val="0"/>
          <w:shd w:val="clear" w:color="auto" w:fill="auto"/>
        </w:rPr>
      </w:pPr>
      <w:bookmarkStart w:id="0" w:name="bookmark1"/>
      <w:bookmarkStart w:id="1" w:name="bookmark0"/>
    </w:p>
    <w:p>
      <w:pPr>
        <w:pStyle w:val="28"/>
        <w:keepNext/>
        <w:keepLines/>
        <w:widowControl w:val="0"/>
        <w:shd w:val="clear" w:color="auto" w:fill="auto"/>
        <w:bidi w:val="0"/>
        <w:spacing w:before="0" w:line="240" w:lineRule="auto"/>
        <w:ind w:left="0" w:right="0" w:firstLine="0"/>
        <w:jc w:val="center"/>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全国首批城市一刻钟便民生活圈试点名单</w:t>
      </w:r>
      <w:bookmarkEnd w:id="0"/>
      <w:bookmarkEnd w:id="1"/>
    </w:p>
    <w:tbl>
      <w:tblPr>
        <w:tblStyle w:val="12"/>
        <w:tblW w:w="0" w:type="auto"/>
        <w:jc w:val="center"/>
        <w:tblLayout w:type="fixed"/>
        <w:tblCellMar>
          <w:top w:w="0" w:type="dxa"/>
          <w:left w:w="10" w:type="dxa"/>
          <w:bottom w:w="0" w:type="dxa"/>
          <w:right w:w="10" w:type="dxa"/>
        </w:tblCellMar>
      </w:tblPr>
      <w:tblGrid>
        <w:gridCol w:w="689"/>
        <w:gridCol w:w="2484"/>
        <w:gridCol w:w="2830"/>
        <w:gridCol w:w="1715"/>
      </w:tblGrid>
      <w:tr>
        <w:tblPrEx>
          <w:tblCellMar>
            <w:top w:w="0" w:type="dxa"/>
            <w:left w:w="10" w:type="dxa"/>
            <w:bottom w:w="0" w:type="dxa"/>
            <w:right w:w="10" w:type="dxa"/>
          </w:tblCellMar>
        </w:tblPrEx>
        <w:trPr>
          <w:trHeight w:val="29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序号</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省（区、市）、兵团</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试点地区</w:t>
            </w:r>
          </w:p>
        </w:tc>
        <w:tc>
          <w:tcPr>
            <w:tcBorders>
              <w:top w:val="single" w:color="auto" w:sz="4" w:space="0"/>
              <w:left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备注</w:t>
            </w: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北京</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东城区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石景山区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3</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天津</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滨海新区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4</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河北</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唐山市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5</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山西</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运城市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6</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辽宁</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沈阳市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7</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大连市</w:t>
            </w:r>
          </w:p>
        </w:tc>
        <w:tc>
          <w:tcPr>
            <w:tcBorders>
              <w:top w:val="single" w:color="auto" w:sz="4" w:space="0"/>
              <w:left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计划单列市</w:t>
            </w: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8</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黑龙江</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黑河市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9</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上海</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长宁区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10</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普陀区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11</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江苏</w:t>
            </w:r>
          </w:p>
        </w:tc>
        <w:tc>
          <w:tcPr>
            <w:tcBorders>
              <w:top w:val="single" w:color="auto" w:sz="4" w:space="0"/>
              <w:left w:val="single" w:color="auto" w:sz="4" w:space="0"/>
              <w:bottom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南京市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12</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苏州市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1"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13</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浙江</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宁波市</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计划单列市</w:t>
            </w: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14</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福建</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福州市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15</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厦门市</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计划单列市</w:t>
            </w: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16</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江西</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南昌市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17</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山东</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济南市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18</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青岛市</w:t>
            </w:r>
          </w:p>
        </w:tc>
        <w:tc>
          <w:tcPr>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计划单列市</w:t>
            </w: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19</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烟台市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20</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河南</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鹤壁市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1"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21</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湖北</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武汉市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22</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湖南</w:t>
            </w:r>
          </w:p>
        </w:tc>
        <w:tc>
          <w:tcPr>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怀化市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23</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广西</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南宁市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7"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24</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重庆</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两江新区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25</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四川</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成都市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26</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贵州</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贵阳市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27</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陕西</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西安市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1"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28</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渭南市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 w:hRule="exact"/>
          <w:jc w:val="center"/>
        </w:trPr>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29</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1040" w:right="0" w:firstLine="0"/>
              <w:jc w:val="both"/>
              <w:rPr>
                <w:sz w:val="22"/>
                <w:szCs w:val="22"/>
              </w:rPr>
            </w:pPr>
            <w:r>
              <w:rPr>
                <w:color w:val="000000"/>
                <w:spacing w:val="0"/>
                <w:w w:val="100"/>
                <w:position w:val="0"/>
                <w:sz w:val="22"/>
                <w:szCs w:val="22"/>
                <w:shd w:val="clear" w:color="auto" w:fill="auto"/>
              </w:rPr>
              <w:t>宁夏</w:t>
            </w:r>
          </w:p>
        </w:tc>
        <w:tc>
          <w:tcPr>
            <w:tcBorders>
              <w:top w:val="single" w:color="auto" w:sz="4" w:space="0"/>
              <w:left w:val="single" w:color="auto" w:sz="4" w:space="0"/>
            </w:tcBorders>
            <w:shd w:val="clear" w:color="auto" w:fill="FFFFFF"/>
            <w:vAlign w:val="bottom"/>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银川市</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5" w:hRule="exact"/>
          <w:jc w:val="center"/>
        </w:trPr>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both"/>
              <w:rPr>
                <w:sz w:val="22"/>
                <w:szCs w:val="22"/>
              </w:rPr>
            </w:pPr>
            <w:r>
              <w:rPr>
                <w:rFonts w:ascii="Times New Roman" w:hAnsi="Times New Roman" w:eastAsia="Times New Roman" w:cs="Times New Roman"/>
                <w:color w:val="000000"/>
                <w:spacing w:val="0"/>
                <w:w w:val="100"/>
                <w:position w:val="0"/>
                <w:sz w:val="22"/>
                <w:szCs w:val="22"/>
                <w:shd w:val="clear" w:color="auto" w:fill="auto"/>
              </w:rPr>
              <w:t>30</w:t>
            </w:r>
          </w:p>
        </w:tc>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新疆生产建设兵团</w:t>
            </w:r>
          </w:p>
        </w:tc>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313" w:lineRule="exact"/>
              <w:ind w:left="0" w:right="0" w:firstLine="0"/>
              <w:jc w:val="center"/>
              <w:rPr>
                <w:sz w:val="22"/>
                <w:szCs w:val="22"/>
              </w:rPr>
            </w:pPr>
            <w:r>
              <w:rPr>
                <w:color w:val="000000"/>
                <w:spacing w:val="0"/>
                <w:w w:val="100"/>
                <w:position w:val="0"/>
                <w:sz w:val="22"/>
                <w:szCs w:val="22"/>
                <w:shd w:val="clear" w:color="auto" w:fill="auto"/>
              </w:rPr>
              <w:t>第八师 石河子市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sans-serif">
    <w:altName w:val="URW Bookman"/>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URW Bookman"/>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2" w:name="_Hlk91518048"/>
    <w:r>
      <w:rPr>
        <w:rFonts w:hint="eastAsia" w:ascii="宋体" w:hAnsi="宋体" w:cs="宋体"/>
        <w:b/>
        <w:bCs/>
        <w:color w:val="005192"/>
        <w:sz w:val="32"/>
        <w:szCs w:val="32"/>
      </w:rPr>
      <w:t>陕西省</w:t>
    </w:r>
    <w:bookmarkEnd w:id="2"/>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8F934AA"/>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76F65AF"/>
    <w:rsid w:val="5DC34279"/>
    <w:rsid w:val="5DF27221"/>
    <w:rsid w:val="5EDD497F"/>
    <w:rsid w:val="608816D1"/>
    <w:rsid w:val="60EF4E7F"/>
    <w:rsid w:val="665233C1"/>
    <w:rsid w:val="67CDC03A"/>
    <w:rsid w:val="6AD9688B"/>
    <w:rsid w:val="6D0E3F22"/>
    <w:rsid w:val="6DE7CB14"/>
    <w:rsid w:val="73CFE8AA"/>
    <w:rsid w:val="771445FA"/>
    <w:rsid w:val="79FF8B6D"/>
    <w:rsid w:val="7C9011D9"/>
    <w:rsid w:val="7DC651C5"/>
    <w:rsid w:val="7E630178"/>
    <w:rsid w:val="7FCC2834"/>
    <w:rsid w:val="7FFF4DCA"/>
    <w:rsid w:val="AFDBBF0A"/>
    <w:rsid w:val="B7FFCA45"/>
    <w:rsid w:val="BB5B18E2"/>
    <w:rsid w:val="CBBF2B47"/>
    <w:rsid w:val="DDEADAE1"/>
    <w:rsid w:val="E2FDEBEE"/>
    <w:rsid w:val="F3DDAFCD"/>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 w:type="paragraph" w:customStyle="1" w:styleId="25">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6">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7">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8">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29">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174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2022-08-13T07:12:00Z</dcterms:created>
  <dc:creator>t</dc:creator>
  <cp:lastModifiedBy>user</cp:lastModifiedBy>
  <cp:lastPrinted>2021-12-31T07:02:00Z</cp:lastPrinted>
  <dcterms:modified xsi:type="dcterms:W3CDTF">2022-09-16T14:30:16Z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