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p>
    <w:p>
      <w:pPr>
        <w:jc w:val="center"/>
        <w:rPr>
          <w:rFonts w:ascii="宋体" w:hAnsi="宋体" w:cs="宋体"/>
          <w:b/>
          <w:bCs/>
          <w:sz w:val="44"/>
          <w:szCs w:val="44"/>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uto"/>
        <w:ind w:left="0" w:right="0" w:firstLine="0"/>
        <w:jc w:val="center"/>
        <w:rPr>
          <w:rFonts w:hint="eastAsia" w:ascii="宋体" w:hAnsi="宋体" w:eastAsia="宋体" w:cs="宋体"/>
          <w:b/>
          <w:bCs/>
          <w:kern w:val="2"/>
          <w:sz w:val="44"/>
          <w:szCs w:val="44"/>
          <w:lang w:val="en-US" w:eastAsia="zh-CN" w:bidi="ar-SA"/>
        </w:rPr>
      </w:pPr>
      <w:bookmarkStart w:id="1" w:name="_GoBack"/>
      <w:r>
        <w:rPr>
          <w:rFonts w:hint="eastAsia" w:ascii="宋体" w:hAnsi="宋体" w:eastAsia="宋体" w:cs="宋体"/>
          <w:b/>
          <w:bCs/>
          <w:kern w:val="2"/>
          <w:sz w:val="44"/>
          <w:szCs w:val="44"/>
          <w:lang w:val="en-US" w:eastAsia="zh-CN" w:bidi="ar-SA"/>
        </w:rPr>
        <w:t>陕西省商务厅等10部门关于印发</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uto"/>
        <w:ind w:left="0" w:right="0" w:firstLine="0"/>
        <w:jc w:val="center"/>
        <w:rPr>
          <w:rFonts w:hint="eastAsia" w:ascii="宋体" w:hAnsi="宋体" w:eastAsia="宋体" w:cs="宋体"/>
          <w:b/>
          <w:bCs/>
          <w:kern w:val="2"/>
          <w:sz w:val="44"/>
          <w:szCs w:val="44"/>
          <w:lang w:val="en-US" w:eastAsia="zh-CN" w:bidi="ar-SA"/>
        </w:rPr>
      </w:pPr>
      <w:r>
        <w:rPr>
          <w:rFonts w:hint="eastAsia" w:ascii="宋体" w:hAnsi="宋体" w:eastAsia="宋体" w:cs="宋体"/>
          <w:b/>
          <w:bCs/>
          <w:kern w:val="2"/>
          <w:sz w:val="44"/>
          <w:szCs w:val="44"/>
          <w:lang w:val="en-US" w:eastAsia="zh-CN" w:bidi="ar-SA"/>
        </w:rPr>
        <w:t>《促进商贸物流高质量发展若干措施》的通知</w:t>
      </w:r>
    </w:p>
    <w:bookmarkEnd w:id="1"/>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uto"/>
        <w:ind w:left="0" w:right="0" w:firstLine="0"/>
        <w:jc w:val="center"/>
        <w:rPr>
          <w:rFonts w:hint="eastAsia" w:ascii="楷体_GB2312" w:hAnsi="楷体_GB2312" w:eastAsia="楷体_GB2312" w:cs="楷体_GB2312"/>
          <w:color w:val="333333"/>
          <w:kern w:val="2"/>
          <w:sz w:val="32"/>
          <w:szCs w:val="32"/>
          <w:shd w:val="clear" w:color="auto" w:fill="FFFFFF"/>
          <w:lang w:val="en-US" w:eastAsia="zh-CN" w:bidi="ar-SA"/>
        </w:rPr>
      </w:pPr>
      <w:r>
        <w:rPr>
          <w:rFonts w:hint="eastAsia" w:ascii="楷体_GB2312" w:hAnsi="楷体_GB2312" w:eastAsia="楷体_GB2312" w:cs="楷体_GB2312"/>
          <w:color w:val="333333"/>
          <w:kern w:val="2"/>
          <w:sz w:val="32"/>
          <w:szCs w:val="32"/>
          <w:shd w:val="clear" w:color="auto" w:fill="FFFFFF"/>
          <w:lang w:val="en-US" w:eastAsia="zh-CN" w:bidi="ar-SA"/>
        </w:rPr>
        <w:t>陕商发〔2021〕38号</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center"/>
        <w:textAlignment w:val="auto"/>
        <w:rPr>
          <w:rFonts w:hint="eastAsia" w:ascii="楷体_GB2312" w:hAnsi="楷体_GB2312" w:eastAsia="楷体_GB2312" w:cs="楷体_GB2312"/>
          <w:color w:val="333333"/>
          <w:kern w:val="2"/>
          <w:sz w:val="32"/>
          <w:szCs w:val="32"/>
          <w:shd w:val="clear" w:color="auto" w:fill="FFFFFF"/>
          <w:lang w:val="en-US" w:eastAsia="zh-CN" w:bidi="ar-SA"/>
        </w:rPr>
      </w:pP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各设区市（区）、韩城市商务、发展改革、财政、自然资源、住房和城乡建设、交通运输、农业农村、市场监管、邮政主管部门、各直属海关：</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firstLine="640" w:firstLineChars="200"/>
        <w:jc w:val="both"/>
        <w:textAlignment w:val="auto"/>
        <w:rPr>
          <w:rFonts w:hint="default" w:ascii="仿宋_GB2312" w:hAnsi="sans-serif" w:eastAsia="仿宋_GB2312" w:cs="仿宋_GB2312"/>
          <w:i w:val="0"/>
          <w:caps w:val="0"/>
          <w:color w:val="000000"/>
          <w:spacing w:val="0"/>
          <w:sz w:val="32"/>
          <w:szCs w:val="32"/>
        </w:rPr>
      </w:pPr>
      <w:r>
        <w:rPr>
          <w:rFonts w:hint="default" w:ascii="仿宋_GB2312" w:hAnsi="仿宋_GB2312" w:eastAsia="仿宋_GB2312" w:cs="仿宋_GB2312"/>
          <w:color w:val="333333"/>
          <w:kern w:val="2"/>
          <w:sz w:val="32"/>
          <w:szCs w:val="32"/>
          <w:shd w:val="clear" w:color="auto" w:fill="FFFFFF"/>
          <w:lang w:val="en-US" w:eastAsia="zh-CN" w:bidi="ar-SA"/>
        </w:rPr>
        <w:t>为贯彻落实《商务部等9部门关于印发&lt;商贸物流高质量发展专项行动计划（2021-2025年）&gt;的通知》（商流通函〔2021〕397号）要求，扎实推进我省商贸物流高质量发展，为构建双循环新发展格局提供有力支撑，省商务厅等10部门联合制定了《促</w:t>
      </w:r>
      <w:r>
        <w:rPr>
          <w:rFonts w:hint="default" w:ascii="仿宋_GB2312" w:hAnsi="sans-serif" w:eastAsia="仿宋_GB2312" w:cs="仿宋_GB2312"/>
          <w:i w:val="0"/>
          <w:caps w:val="0"/>
          <w:color w:val="000000"/>
          <w:spacing w:val="0"/>
          <w:sz w:val="32"/>
          <w:szCs w:val="32"/>
        </w:rPr>
        <w:t>进商贸物流高质量发展若干措施》，现予以印发。请结合实际抓好贯彻落实。</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firstLine="640" w:firstLineChars="200"/>
        <w:jc w:val="both"/>
        <w:textAlignment w:val="auto"/>
        <w:rPr>
          <w:rFonts w:hint="default" w:ascii="仿宋_GB2312" w:hAnsi="sans-serif" w:eastAsia="仿宋_GB2312" w:cs="仿宋_GB2312"/>
          <w:i w:val="0"/>
          <w:caps w:val="0"/>
          <w:color w:val="000000"/>
          <w:spacing w:val="0"/>
          <w:sz w:val="32"/>
          <w:szCs w:val="32"/>
        </w:rPr>
      </w:pP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firstLine="640" w:firstLineChars="200"/>
        <w:jc w:val="both"/>
        <w:textAlignment w:val="auto"/>
        <w:rPr>
          <w:rFonts w:hint="default" w:ascii="仿宋_GB2312" w:hAnsi="sans-serif" w:eastAsia="仿宋_GB2312" w:cs="仿宋_GB2312"/>
          <w:i w:val="0"/>
          <w:caps w:val="0"/>
          <w:color w:val="000000"/>
          <w:spacing w:val="0"/>
          <w:sz w:val="32"/>
          <w:szCs w:val="32"/>
        </w:rPr>
      </w:pP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default" w:ascii="仿宋_GB2312" w:hAnsi="sans-serif" w:eastAsia="仿宋_GB2312" w:cs="仿宋_GB2312"/>
          <w:i w:val="0"/>
          <w:caps w:val="0"/>
          <w:color w:val="000000"/>
          <w:spacing w:val="0"/>
          <w:sz w:val="32"/>
          <w:szCs w:val="32"/>
        </w:rPr>
      </w:pP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default" w:ascii="仿宋_GB2312" w:hAnsi="sans-serif" w:eastAsia="仿宋_GB2312" w:cs="仿宋_GB2312"/>
          <w:i w:val="0"/>
          <w:caps w:val="0"/>
          <w:color w:val="000000"/>
          <w:spacing w:val="0"/>
          <w:sz w:val="32"/>
          <w:szCs w:val="32"/>
        </w:rPr>
      </w:pP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firstLine="640" w:firstLineChars="200"/>
        <w:jc w:val="center"/>
        <w:textAlignment w:val="auto"/>
        <w:rPr>
          <w:rFonts w:hint="default" w:ascii="仿宋_GB2312" w:hAnsi="sans-serif" w:eastAsia="仿宋_GB2312" w:cs="仿宋_GB2312"/>
          <w:i w:val="0"/>
          <w:caps w:val="0"/>
          <w:color w:val="000000"/>
          <w:spacing w:val="0"/>
          <w:sz w:val="32"/>
          <w:szCs w:val="32"/>
          <w:lang w:val="en-US" w:eastAsia="zh-CN"/>
        </w:rPr>
      </w:pPr>
      <w:r>
        <w:rPr>
          <w:rFonts w:hint="default" w:ascii="仿宋_GB2312" w:hAnsi="sans-serif" w:eastAsia="仿宋_GB2312" w:cs="仿宋_GB2312"/>
          <w:i w:val="0"/>
          <w:caps w:val="0"/>
          <w:color w:val="000000"/>
          <w:spacing w:val="0"/>
          <w:sz w:val="32"/>
          <w:szCs w:val="32"/>
        </w:rPr>
        <w:t>陕西省商务厅</w:t>
      </w:r>
      <w:r>
        <w:rPr>
          <w:rFonts w:hint="eastAsia" w:ascii="仿宋_GB2312" w:hAnsi="sans-serif" w:eastAsia="仿宋_GB2312" w:cs="仿宋_GB2312"/>
          <w:i w:val="0"/>
          <w:caps w:val="0"/>
          <w:color w:val="000000"/>
          <w:spacing w:val="0"/>
          <w:sz w:val="32"/>
          <w:szCs w:val="32"/>
          <w:lang w:val="en-US" w:eastAsia="zh-CN"/>
        </w:rPr>
        <w:t xml:space="preserve">     </w:t>
      </w:r>
      <w:r>
        <w:rPr>
          <w:rFonts w:hint="default" w:ascii="仿宋_GB2312" w:hAnsi="sans-serif" w:eastAsia="仿宋_GB2312" w:cs="仿宋_GB2312"/>
          <w:i w:val="0"/>
          <w:caps w:val="0"/>
          <w:color w:val="000000"/>
          <w:spacing w:val="0"/>
          <w:sz w:val="32"/>
          <w:szCs w:val="32"/>
        </w:rPr>
        <w:t>陕西省发展和改革委员会</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firstLine="1600" w:firstLineChars="500"/>
        <w:jc w:val="both"/>
        <w:textAlignment w:val="auto"/>
        <w:rPr>
          <w:rFonts w:hint="default" w:ascii="sans-serif" w:hAnsi="sans-serif" w:eastAsia="仿宋_GB2312" w:cs="sans-serif"/>
          <w:i w:val="0"/>
          <w:caps w:val="0"/>
          <w:color w:val="000000"/>
          <w:spacing w:val="0"/>
          <w:sz w:val="32"/>
          <w:szCs w:val="32"/>
          <w:lang w:val="en-US" w:eastAsia="zh-CN"/>
        </w:rPr>
      </w:pPr>
      <w:r>
        <w:rPr>
          <w:rFonts w:hint="default" w:ascii="仿宋_GB2312" w:hAnsi="sans-serif" w:eastAsia="仿宋_GB2312" w:cs="仿宋_GB2312"/>
          <w:i w:val="0"/>
          <w:caps w:val="0"/>
          <w:color w:val="000000"/>
          <w:spacing w:val="0"/>
          <w:sz w:val="32"/>
          <w:szCs w:val="32"/>
        </w:rPr>
        <w:t>陕西省财政厅</w:t>
      </w:r>
      <w:r>
        <w:rPr>
          <w:rFonts w:hint="eastAsia" w:ascii="仿宋_GB2312" w:hAnsi="sans-serif" w:eastAsia="仿宋_GB2312" w:cs="仿宋_GB2312"/>
          <w:i w:val="0"/>
          <w:caps w:val="0"/>
          <w:color w:val="000000"/>
          <w:spacing w:val="0"/>
          <w:sz w:val="32"/>
          <w:szCs w:val="32"/>
          <w:lang w:val="en-US" w:eastAsia="zh-CN"/>
        </w:rPr>
        <w:t xml:space="preserve">     </w:t>
      </w:r>
      <w:r>
        <w:rPr>
          <w:rFonts w:hint="default" w:ascii="仿宋_GB2312" w:hAnsi="sans-serif" w:eastAsia="仿宋_GB2312" w:cs="仿宋_GB2312"/>
          <w:i w:val="0"/>
          <w:caps w:val="0"/>
          <w:color w:val="000000"/>
          <w:spacing w:val="0"/>
          <w:sz w:val="32"/>
          <w:szCs w:val="32"/>
        </w:rPr>
        <w:t>陕西省自然资源厅</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firstLine="640" w:firstLineChars="200"/>
        <w:jc w:val="center"/>
        <w:textAlignment w:val="auto"/>
        <w:rPr>
          <w:rFonts w:hint="default" w:ascii="sans-serif" w:hAnsi="sans-serif" w:eastAsia="sans-serif" w:cs="sans-serif"/>
          <w:i w:val="0"/>
          <w:caps w:val="0"/>
          <w:color w:val="000000"/>
          <w:spacing w:val="0"/>
          <w:sz w:val="32"/>
          <w:szCs w:val="32"/>
        </w:rPr>
      </w:pPr>
      <w:r>
        <w:rPr>
          <w:rFonts w:hint="default" w:ascii="仿宋_GB2312" w:hAnsi="sans-serif" w:eastAsia="仿宋_GB2312" w:cs="仿宋_GB2312"/>
          <w:i w:val="0"/>
          <w:caps w:val="0"/>
          <w:color w:val="000000"/>
          <w:spacing w:val="0"/>
          <w:sz w:val="32"/>
          <w:szCs w:val="32"/>
          <w:lang w:val="en"/>
        </w:rPr>
        <w:t xml:space="preserve">  </w:t>
      </w:r>
      <w:r>
        <w:rPr>
          <w:rFonts w:hint="default" w:ascii="仿宋_GB2312" w:hAnsi="sans-serif" w:eastAsia="仿宋_GB2312" w:cs="仿宋_GB2312"/>
          <w:i w:val="0"/>
          <w:caps w:val="0"/>
          <w:color w:val="000000"/>
          <w:spacing w:val="0"/>
          <w:sz w:val="32"/>
          <w:szCs w:val="32"/>
        </w:rPr>
        <w:t>陕西省住房和城乡建设厅</w:t>
      </w:r>
      <w:r>
        <w:rPr>
          <w:rFonts w:hint="eastAsia" w:ascii="仿宋_GB2312" w:hAnsi="sans-serif" w:eastAsia="仿宋_GB2312" w:cs="仿宋_GB2312"/>
          <w:i w:val="0"/>
          <w:caps w:val="0"/>
          <w:color w:val="000000"/>
          <w:spacing w:val="0"/>
          <w:sz w:val="32"/>
          <w:szCs w:val="32"/>
          <w:lang w:val="en-US" w:eastAsia="zh-CN"/>
        </w:rPr>
        <w:t xml:space="preserve">   </w:t>
      </w:r>
      <w:r>
        <w:rPr>
          <w:rFonts w:hint="default" w:ascii="仿宋_GB2312" w:hAnsi="sans-serif" w:eastAsia="仿宋_GB2312" w:cs="仿宋_GB2312"/>
          <w:i w:val="0"/>
          <w:caps w:val="0"/>
          <w:color w:val="000000"/>
          <w:spacing w:val="0"/>
          <w:sz w:val="32"/>
          <w:szCs w:val="32"/>
        </w:rPr>
        <w:t>陕西省交通运输厅</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firstLine="640" w:firstLineChars="200"/>
        <w:jc w:val="center"/>
        <w:textAlignment w:val="auto"/>
        <w:rPr>
          <w:rFonts w:hint="eastAsia" w:ascii="仿宋_GB2312" w:hAnsi="sans-serif" w:eastAsia="仿宋_GB2312" w:cs="仿宋_GB2312"/>
          <w:i w:val="0"/>
          <w:caps w:val="0"/>
          <w:color w:val="000000"/>
          <w:spacing w:val="0"/>
          <w:sz w:val="32"/>
          <w:szCs w:val="32"/>
          <w:lang w:val="en-US" w:eastAsia="zh-CN"/>
        </w:rPr>
      </w:pPr>
      <w:r>
        <w:rPr>
          <w:rFonts w:hint="default" w:ascii="仿宋_GB2312" w:hAnsi="sans-serif" w:eastAsia="仿宋_GB2312" w:cs="仿宋_GB2312"/>
          <w:i w:val="0"/>
          <w:caps w:val="0"/>
          <w:color w:val="000000"/>
          <w:spacing w:val="0"/>
          <w:sz w:val="32"/>
          <w:szCs w:val="32"/>
        </w:rPr>
        <w:t>陕西省农业农村厅</w:t>
      </w:r>
      <w:r>
        <w:rPr>
          <w:rFonts w:hint="eastAsia" w:ascii="仿宋_GB2312" w:hAnsi="sans-serif" w:eastAsia="仿宋_GB2312" w:cs="仿宋_GB2312"/>
          <w:i w:val="0"/>
          <w:caps w:val="0"/>
          <w:color w:val="000000"/>
          <w:spacing w:val="0"/>
          <w:sz w:val="32"/>
          <w:szCs w:val="32"/>
          <w:lang w:val="en-US" w:eastAsia="zh-CN"/>
        </w:rPr>
        <w:t xml:space="preserve">   </w:t>
      </w:r>
      <w:r>
        <w:rPr>
          <w:rFonts w:hint="default" w:ascii="仿宋_GB2312" w:hAnsi="sans-serif" w:eastAsia="仿宋_GB2312" w:cs="仿宋_GB2312"/>
          <w:i w:val="0"/>
          <w:caps w:val="0"/>
          <w:color w:val="000000"/>
          <w:spacing w:val="0"/>
          <w:sz w:val="32"/>
          <w:szCs w:val="32"/>
        </w:rPr>
        <w:t>陕西省市场监督管理局</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firstLine="640" w:firstLineChars="200"/>
        <w:jc w:val="center"/>
        <w:textAlignment w:val="auto"/>
        <w:rPr>
          <w:rFonts w:hint="default" w:ascii="sans-serif" w:hAnsi="sans-serif" w:eastAsia="sans-serif" w:cs="sans-serif"/>
          <w:i w:val="0"/>
          <w:caps w:val="0"/>
          <w:color w:val="000000"/>
          <w:spacing w:val="0"/>
          <w:sz w:val="32"/>
          <w:szCs w:val="32"/>
        </w:rPr>
      </w:pPr>
      <w:r>
        <w:rPr>
          <w:rFonts w:hint="default" w:ascii="仿宋_GB2312" w:hAnsi="sans-serif" w:eastAsia="仿宋_GB2312" w:cs="仿宋_GB2312"/>
          <w:i w:val="0"/>
          <w:caps w:val="0"/>
          <w:color w:val="000000"/>
          <w:spacing w:val="0"/>
          <w:sz w:val="32"/>
          <w:szCs w:val="32"/>
          <w:lang w:val="en"/>
        </w:rPr>
        <w:t xml:space="preserve">   </w:t>
      </w:r>
      <w:r>
        <w:rPr>
          <w:rFonts w:hint="default" w:ascii="仿宋_GB2312" w:hAnsi="sans-serif" w:eastAsia="仿宋_GB2312" w:cs="仿宋_GB2312"/>
          <w:i w:val="0"/>
          <w:caps w:val="0"/>
          <w:color w:val="000000"/>
          <w:spacing w:val="0"/>
          <w:sz w:val="32"/>
          <w:szCs w:val="32"/>
        </w:rPr>
        <w:t>陕西省邮政管理局</w:t>
      </w:r>
      <w:r>
        <w:rPr>
          <w:rFonts w:hint="eastAsia" w:ascii="仿宋_GB2312" w:hAnsi="sans-serif" w:eastAsia="仿宋_GB2312" w:cs="仿宋_GB2312"/>
          <w:i w:val="0"/>
          <w:caps w:val="0"/>
          <w:color w:val="000000"/>
          <w:spacing w:val="0"/>
          <w:sz w:val="32"/>
          <w:szCs w:val="32"/>
          <w:lang w:val="en-US" w:eastAsia="zh-CN"/>
        </w:rPr>
        <w:t xml:space="preserve">    </w:t>
      </w:r>
      <w:r>
        <w:rPr>
          <w:rFonts w:hint="default" w:ascii="仿宋_GB2312" w:hAnsi="sans-serif" w:eastAsia="仿宋_GB2312" w:cs="仿宋_GB2312"/>
          <w:i w:val="0"/>
          <w:caps w:val="0"/>
          <w:color w:val="000000"/>
          <w:spacing w:val="0"/>
          <w:sz w:val="32"/>
          <w:szCs w:val="32"/>
        </w:rPr>
        <w:t>中华人民共和国西安海关</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firstLine="3200" w:firstLineChars="1000"/>
        <w:jc w:val="both"/>
        <w:textAlignment w:val="auto"/>
        <w:rPr>
          <w:rFonts w:hint="default" w:ascii="sans-serif" w:hAnsi="sans-serif" w:eastAsia="sans-serif" w:cs="sans-serif"/>
          <w:i w:val="0"/>
          <w:caps w:val="0"/>
          <w:color w:val="000000"/>
          <w:spacing w:val="0"/>
          <w:sz w:val="32"/>
          <w:szCs w:val="32"/>
        </w:rPr>
      </w:pPr>
      <w:r>
        <w:rPr>
          <w:rFonts w:hint="default" w:ascii="仿宋_GB2312" w:hAnsi="sans-serif" w:eastAsia="仿宋_GB2312" w:cs="仿宋_GB2312"/>
          <w:i w:val="0"/>
          <w:caps w:val="0"/>
          <w:color w:val="000000"/>
          <w:spacing w:val="0"/>
          <w:sz w:val="32"/>
          <w:szCs w:val="32"/>
        </w:rPr>
        <w:t>2021年10月25日</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firstLine="640" w:firstLineChars="200"/>
        <w:jc w:val="both"/>
        <w:textAlignment w:val="auto"/>
        <w:rPr>
          <w:rFonts w:hint="default" w:ascii="sans-serif" w:hAnsi="sans-serif" w:eastAsia="sans-serif" w:cs="sans-serif"/>
          <w:i w:val="0"/>
          <w:caps w:val="0"/>
          <w:color w:val="000000"/>
          <w:spacing w:val="0"/>
          <w:sz w:val="32"/>
          <w:szCs w:val="32"/>
        </w:rPr>
      </w:pP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firstLine="640" w:firstLineChars="200"/>
        <w:jc w:val="both"/>
        <w:textAlignment w:val="auto"/>
        <w:rPr>
          <w:rFonts w:hint="default" w:ascii="sans-serif" w:hAnsi="sans-serif" w:eastAsia="sans-serif" w:cs="sans-serif"/>
          <w:i w:val="0"/>
          <w:caps w:val="0"/>
          <w:color w:val="000000"/>
          <w:spacing w:val="0"/>
          <w:sz w:val="32"/>
          <w:szCs w:val="32"/>
        </w:rPr>
      </w:pP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firstLine="640" w:firstLineChars="200"/>
        <w:jc w:val="center"/>
        <w:textAlignment w:val="auto"/>
        <w:rPr>
          <w:rFonts w:hint="default" w:ascii="黑体" w:hAnsi="黑体" w:eastAsia="黑体" w:cs="黑体"/>
          <w:color w:val="333333"/>
          <w:kern w:val="2"/>
          <w:sz w:val="32"/>
          <w:szCs w:val="32"/>
          <w:shd w:val="clear" w:color="auto" w:fill="FFFFFF"/>
          <w:lang w:val="en-US" w:eastAsia="zh-CN" w:bidi="ar-SA"/>
        </w:rPr>
      </w:pPr>
      <w:r>
        <w:rPr>
          <w:rFonts w:hint="default" w:ascii="黑体" w:hAnsi="黑体" w:eastAsia="黑体" w:cs="黑体"/>
          <w:color w:val="333333"/>
          <w:kern w:val="2"/>
          <w:sz w:val="32"/>
          <w:szCs w:val="32"/>
          <w:shd w:val="clear" w:color="auto" w:fill="FFFFFF"/>
          <w:lang w:val="en-US" w:eastAsia="zh-CN" w:bidi="ar-SA"/>
        </w:rPr>
        <w:t>促进商贸物流高质量发展若干措施</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firstLine="640" w:firstLineChars="200"/>
        <w:jc w:val="center"/>
        <w:textAlignment w:val="auto"/>
        <w:rPr>
          <w:rFonts w:hint="default" w:ascii="黑体" w:hAnsi="黑体" w:eastAsia="黑体" w:cs="黑体"/>
          <w:color w:val="333333"/>
          <w:kern w:val="2"/>
          <w:sz w:val="32"/>
          <w:szCs w:val="32"/>
          <w:shd w:val="clear" w:color="auto" w:fill="FFFFFF"/>
          <w:lang w:val="en-US" w:eastAsia="zh-CN" w:bidi="ar-SA"/>
        </w:rPr>
      </w:pP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firstLine="640" w:firstLineChars="200"/>
        <w:jc w:val="both"/>
        <w:textAlignment w:val="auto"/>
        <w:rPr>
          <w:rFonts w:hint="default" w:ascii="sans-serif" w:hAnsi="sans-serif" w:eastAsia="sans-serif" w:cs="sans-serif"/>
          <w:i w:val="0"/>
          <w:caps w:val="0"/>
          <w:color w:val="000000"/>
          <w:spacing w:val="0"/>
          <w:sz w:val="32"/>
          <w:szCs w:val="32"/>
        </w:rPr>
      </w:pPr>
      <w:r>
        <w:rPr>
          <w:rFonts w:hint="default" w:ascii="仿宋_GB2312" w:hAnsi="sans-serif" w:eastAsia="仿宋_GB2312" w:cs="仿宋_GB2312"/>
          <w:i w:val="0"/>
          <w:caps w:val="0"/>
          <w:color w:val="000000"/>
          <w:spacing w:val="0"/>
          <w:sz w:val="32"/>
          <w:szCs w:val="32"/>
        </w:rPr>
        <w:t>为深入贯彻习近平总书记来陕考察重要讲话精神，全面落实省委、省政府关于加快构建双循环新发展格局的决策部署，促进陕西商贸物流高质量发展，根据商务部等9部门印发的《商贸物流高质量发展专项行动计划（2021-2025年）》（以下简称《专项行动计划》）要求，特制定如下措施。</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firstLine="640" w:firstLineChars="200"/>
        <w:jc w:val="both"/>
        <w:textAlignment w:val="auto"/>
        <w:rPr>
          <w:rFonts w:hint="default" w:ascii="黑体" w:hAnsi="黑体" w:eastAsia="黑体" w:cs="黑体"/>
          <w:color w:val="333333"/>
          <w:kern w:val="2"/>
          <w:sz w:val="32"/>
          <w:szCs w:val="32"/>
          <w:shd w:val="clear" w:color="auto" w:fill="FFFFFF"/>
          <w:lang w:val="en-US" w:eastAsia="zh-CN" w:bidi="ar-SA"/>
        </w:rPr>
      </w:pPr>
      <w:r>
        <w:rPr>
          <w:rFonts w:hint="default" w:ascii="黑体" w:hAnsi="黑体" w:eastAsia="黑体" w:cs="黑体"/>
          <w:color w:val="333333"/>
          <w:kern w:val="2"/>
          <w:sz w:val="32"/>
          <w:szCs w:val="32"/>
          <w:shd w:val="clear" w:color="auto" w:fill="FFFFFF"/>
          <w:lang w:val="en-US" w:eastAsia="zh-CN" w:bidi="ar-SA"/>
        </w:rPr>
        <w:t>一、补强补齐配送短板，构建高效配送网络</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firstLine="640" w:firstLineChars="200"/>
        <w:jc w:val="both"/>
        <w:textAlignment w:val="auto"/>
        <w:rPr>
          <w:rFonts w:hint="default" w:ascii="sans-serif" w:hAnsi="sans-serif" w:eastAsia="sans-serif" w:cs="sans-serif"/>
          <w:i w:val="0"/>
          <w:caps w:val="0"/>
          <w:color w:val="000000"/>
          <w:spacing w:val="0"/>
          <w:sz w:val="32"/>
          <w:szCs w:val="32"/>
        </w:rPr>
      </w:pPr>
      <w:r>
        <w:rPr>
          <w:rFonts w:hint="default" w:ascii="仿宋_GB2312" w:hAnsi="sans-serif" w:eastAsia="仿宋_GB2312" w:cs="仿宋_GB2312"/>
          <w:i w:val="0"/>
          <w:caps w:val="0"/>
          <w:color w:val="000000"/>
          <w:spacing w:val="0"/>
          <w:sz w:val="32"/>
          <w:szCs w:val="32"/>
        </w:rPr>
        <w:t>1.着力优化商贸物流网络布局。加强西安、宝鸡、榆林等节点城市与国家物流枢纽的衔接，提升节点城市的聚集辐射能力（</w:t>
      </w:r>
      <w:r>
        <w:rPr>
          <w:rFonts w:hint="default" w:ascii="楷体_GB2312" w:hAnsi="楷体_GB2312" w:eastAsia="楷体_GB2312" w:cs="楷体_GB2312"/>
          <w:color w:val="333333"/>
          <w:kern w:val="2"/>
          <w:sz w:val="32"/>
          <w:szCs w:val="32"/>
          <w:shd w:val="clear" w:color="auto" w:fill="FFFFFF"/>
          <w:lang w:val="en-US" w:eastAsia="zh-CN" w:bidi="ar-SA"/>
        </w:rPr>
        <w:t>省发改委、省交通运输厅</w:t>
      </w:r>
      <w:r>
        <w:rPr>
          <w:rFonts w:hint="default" w:ascii="仿宋_GB2312" w:hAnsi="sans-serif" w:eastAsia="仿宋_GB2312" w:cs="仿宋_GB2312"/>
          <w:i w:val="0"/>
          <w:caps w:val="0"/>
          <w:color w:val="000000"/>
          <w:spacing w:val="0"/>
          <w:sz w:val="32"/>
          <w:szCs w:val="32"/>
        </w:rPr>
        <w:t>）。统筹推进城市商业设施、物流设施、交通基础设施规划建设和升级改造，优化城乡配送网点布局（</w:t>
      </w:r>
      <w:r>
        <w:rPr>
          <w:rFonts w:hint="default" w:ascii="楷体_GB2312" w:hAnsi="楷体_GB2312" w:eastAsia="楷体_GB2312" w:cs="楷体_GB2312"/>
          <w:color w:val="333333"/>
          <w:kern w:val="2"/>
          <w:sz w:val="32"/>
          <w:szCs w:val="32"/>
          <w:shd w:val="clear" w:color="auto" w:fill="FFFFFF"/>
          <w:lang w:val="en-US" w:eastAsia="zh-CN" w:bidi="ar-SA"/>
        </w:rPr>
        <w:t>省商务厅、省发改委、省交通运输厅、省住建厅、各市（区）政府</w:t>
      </w:r>
      <w:r>
        <w:rPr>
          <w:rFonts w:hint="default" w:ascii="仿宋_GB2312" w:hAnsi="sans-serif" w:eastAsia="仿宋_GB2312" w:cs="仿宋_GB2312"/>
          <w:i w:val="0"/>
          <w:caps w:val="0"/>
          <w:color w:val="000000"/>
          <w:spacing w:val="0"/>
          <w:sz w:val="32"/>
          <w:szCs w:val="32"/>
        </w:rPr>
        <w:t>）。加强县域商业体系建设，完善农产品现代流通体系，畅通工业品下乡和农产品进城双向流通渠道（省</w:t>
      </w:r>
      <w:r>
        <w:rPr>
          <w:rFonts w:hint="default" w:ascii="楷体_GB2312" w:hAnsi="楷体_GB2312" w:eastAsia="楷体_GB2312" w:cs="楷体_GB2312"/>
          <w:color w:val="333333"/>
          <w:kern w:val="2"/>
          <w:sz w:val="32"/>
          <w:szCs w:val="32"/>
          <w:shd w:val="clear" w:color="auto" w:fill="FFFFFF"/>
          <w:lang w:val="en-US" w:eastAsia="zh-CN" w:bidi="ar-SA"/>
        </w:rPr>
        <w:t>商务厅、各市（区）政府</w:t>
      </w:r>
      <w:r>
        <w:rPr>
          <w:rFonts w:hint="default" w:ascii="仿宋_GB2312" w:hAnsi="sans-serif" w:eastAsia="仿宋_GB2312" w:cs="仿宋_GB2312"/>
          <w:i w:val="0"/>
          <w:caps w:val="0"/>
          <w:color w:val="000000"/>
          <w:spacing w:val="0"/>
          <w:sz w:val="32"/>
          <w:szCs w:val="32"/>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firstLine="640" w:firstLineChars="200"/>
        <w:jc w:val="both"/>
        <w:textAlignment w:val="auto"/>
        <w:rPr>
          <w:rFonts w:hint="default" w:ascii="sans-serif" w:hAnsi="sans-serif" w:eastAsia="sans-serif" w:cs="sans-serif"/>
          <w:i w:val="0"/>
          <w:caps w:val="0"/>
          <w:color w:val="000000"/>
          <w:spacing w:val="0"/>
          <w:sz w:val="32"/>
          <w:szCs w:val="32"/>
        </w:rPr>
      </w:pPr>
      <w:r>
        <w:rPr>
          <w:rFonts w:hint="default" w:ascii="仿宋_GB2312" w:hAnsi="sans-serif" w:eastAsia="仿宋_GB2312" w:cs="仿宋_GB2312"/>
          <w:i w:val="0"/>
          <w:caps w:val="0"/>
          <w:color w:val="000000"/>
          <w:spacing w:val="0"/>
          <w:sz w:val="32"/>
          <w:szCs w:val="32"/>
        </w:rPr>
        <w:t>2.进一步完善城乡高效配送网络。加强城乡配送网络基础设施建设和现有园区升级改造，促进配送园区与交通干线高效衔接（</w:t>
      </w:r>
      <w:r>
        <w:rPr>
          <w:rFonts w:hint="default" w:ascii="楷体_GB2312" w:hAnsi="楷体_GB2312" w:eastAsia="楷体_GB2312" w:cs="楷体_GB2312"/>
          <w:color w:val="333333"/>
          <w:kern w:val="2"/>
          <w:sz w:val="32"/>
          <w:szCs w:val="32"/>
          <w:shd w:val="clear" w:color="auto" w:fill="FFFFFF"/>
          <w:lang w:val="en-US" w:eastAsia="zh-CN" w:bidi="ar-SA"/>
        </w:rPr>
        <w:t>省发改委、省交通运输厅、省住建厅</w:t>
      </w:r>
      <w:r>
        <w:rPr>
          <w:rFonts w:hint="default" w:ascii="仿宋_GB2312" w:hAnsi="sans-serif" w:eastAsia="仿宋_GB2312" w:cs="仿宋_GB2312"/>
          <w:i w:val="0"/>
          <w:caps w:val="0"/>
          <w:color w:val="000000"/>
          <w:spacing w:val="0"/>
          <w:sz w:val="32"/>
          <w:szCs w:val="32"/>
        </w:rPr>
        <w:t>）。支持商贸物流企业建设综合物流中心、公共配送中心、末端配送网点，完善城市配送体系。支持县级电商公共服务中心和镇村电商服务站点建设，完善县、乡、村三级配送网络（</w:t>
      </w:r>
      <w:r>
        <w:rPr>
          <w:rFonts w:hint="default" w:ascii="楷体_GB2312" w:hAnsi="楷体_GB2312" w:eastAsia="楷体_GB2312" w:cs="楷体_GB2312"/>
          <w:color w:val="333333"/>
          <w:kern w:val="2"/>
          <w:sz w:val="32"/>
          <w:szCs w:val="32"/>
          <w:shd w:val="clear" w:color="auto" w:fill="FFFFFF"/>
          <w:lang w:val="en-US" w:eastAsia="zh-CN" w:bidi="ar-SA"/>
        </w:rPr>
        <w:t>省商务厅</w:t>
      </w:r>
      <w:r>
        <w:rPr>
          <w:rFonts w:hint="default" w:ascii="仿宋_GB2312" w:hAnsi="sans-serif" w:eastAsia="仿宋_GB2312" w:cs="仿宋_GB2312"/>
          <w:i w:val="0"/>
          <w:caps w:val="0"/>
          <w:color w:val="000000"/>
          <w:spacing w:val="0"/>
          <w:sz w:val="32"/>
          <w:szCs w:val="32"/>
        </w:rPr>
        <w:t>）。实施“快递进村”工程，引导各类快递服务企业将快递服务网络与邮政普遍服务、交通运输、供销商贸、传统物流等资源融合发展，推动邮快合作、快快合作、交邮合作、快商合作等模式，提升农村网络深度。重点围绕全省农业“3+X”产业布局，在果蔬、茶叶、畜产品等特色农产品生产基地，加大村级快递网点、公共揽投站点快递配送点等末端设施建设。（</w:t>
      </w:r>
      <w:r>
        <w:rPr>
          <w:rFonts w:hint="default" w:ascii="楷体_GB2312" w:hAnsi="楷体_GB2312" w:eastAsia="楷体_GB2312" w:cs="楷体_GB2312"/>
          <w:color w:val="333333"/>
          <w:kern w:val="2"/>
          <w:sz w:val="32"/>
          <w:szCs w:val="32"/>
          <w:shd w:val="clear" w:color="auto" w:fill="FFFFFF"/>
          <w:lang w:val="en-US" w:eastAsia="zh-CN" w:bidi="ar-SA"/>
        </w:rPr>
        <w:t>省邮政管理局、省商务厅、省农业农村厅</w:t>
      </w:r>
      <w:r>
        <w:rPr>
          <w:rFonts w:hint="default" w:ascii="仿宋_GB2312" w:hAnsi="sans-serif" w:eastAsia="仿宋_GB2312" w:cs="仿宋_GB2312"/>
          <w:i w:val="0"/>
          <w:caps w:val="0"/>
          <w:color w:val="000000"/>
          <w:spacing w:val="0"/>
          <w:sz w:val="32"/>
          <w:szCs w:val="32"/>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firstLine="640" w:firstLineChars="200"/>
        <w:jc w:val="both"/>
        <w:textAlignment w:val="auto"/>
        <w:rPr>
          <w:rFonts w:hint="default" w:ascii="sans-serif" w:hAnsi="sans-serif" w:eastAsia="sans-serif" w:cs="sans-serif"/>
          <w:i w:val="0"/>
          <w:caps w:val="0"/>
          <w:color w:val="000000"/>
          <w:spacing w:val="0"/>
          <w:sz w:val="32"/>
          <w:szCs w:val="32"/>
        </w:rPr>
      </w:pPr>
      <w:r>
        <w:rPr>
          <w:rFonts w:hint="default" w:ascii="仿宋_GB2312" w:hAnsi="sans-serif" w:eastAsia="仿宋_GB2312" w:cs="仿宋_GB2312"/>
          <w:i w:val="0"/>
          <w:caps w:val="0"/>
          <w:color w:val="000000"/>
          <w:spacing w:val="0"/>
          <w:sz w:val="32"/>
          <w:szCs w:val="32"/>
        </w:rPr>
        <w:t>3.加快推进冷链物流发展。积极申报国家骨干冷链物流基地。在宝鸡入选国家首批骨干物流基地基础上，积极支持西安、延安和其他符合条件的城市继续申报国家骨干冷链物流基地（</w:t>
      </w:r>
      <w:r>
        <w:rPr>
          <w:rFonts w:hint="default" w:ascii="楷体_GB2312" w:hAnsi="楷体_GB2312" w:eastAsia="楷体_GB2312" w:cs="楷体_GB2312"/>
          <w:color w:val="333333"/>
          <w:kern w:val="2"/>
          <w:sz w:val="32"/>
          <w:szCs w:val="32"/>
          <w:shd w:val="clear" w:color="auto" w:fill="FFFFFF"/>
          <w:lang w:val="en-US" w:eastAsia="zh-CN" w:bidi="ar-SA"/>
        </w:rPr>
        <w:t>省发改委</w:t>
      </w:r>
      <w:r>
        <w:rPr>
          <w:rFonts w:hint="default" w:ascii="仿宋_GB2312" w:hAnsi="sans-serif" w:eastAsia="仿宋_GB2312" w:cs="仿宋_GB2312"/>
          <w:i w:val="0"/>
          <w:caps w:val="0"/>
          <w:color w:val="000000"/>
          <w:spacing w:val="0"/>
          <w:sz w:val="32"/>
          <w:szCs w:val="32"/>
        </w:rPr>
        <w:t>）。大力发展肉类、果蔬、乳制品和药品冷链物流。支持在产地建设具备集中采购、低温加工、跨区域配送能力的配送中心和中转保鲜库、大型生产预冷中心等。强化食品药品冷链物流配送全程动态监管，实现质量可控、可追溯（</w:t>
      </w:r>
      <w:r>
        <w:rPr>
          <w:rFonts w:hint="default" w:ascii="楷体_GB2312" w:hAnsi="楷体_GB2312" w:eastAsia="楷体_GB2312" w:cs="楷体_GB2312"/>
          <w:color w:val="333333"/>
          <w:kern w:val="2"/>
          <w:sz w:val="32"/>
          <w:szCs w:val="32"/>
          <w:shd w:val="clear" w:color="auto" w:fill="FFFFFF"/>
          <w:lang w:val="en-US" w:eastAsia="zh-CN" w:bidi="ar-SA"/>
        </w:rPr>
        <w:t>省发改委、省商务厅、省市场监管局、省农业农村厅</w:t>
      </w:r>
      <w:r>
        <w:rPr>
          <w:rFonts w:hint="default" w:ascii="仿宋_GB2312" w:hAnsi="sans-serif" w:eastAsia="仿宋_GB2312" w:cs="仿宋_GB2312"/>
          <w:i w:val="0"/>
          <w:caps w:val="0"/>
          <w:color w:val="000000"/>
          <w:spacing w:val="0"/>
          <w:sz w:val="32"/>
          <w:szCs w:val="32"/>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firstLine="640" w:firstLineChars="200"/>
        <w:jc w:val="both"/>
        <w:textAlignment w:val="auto"/>
        <w:rPr>
          <w:rFonts w:hint="default" w:ascii="黑体" w:hAnsi="黑体" w:eastAsia="黑体" w:cs="黑体"/>
          <w:color w:val="333333"/>
          <w:kern w:val="2"/>
          <w:sz w:val="32"/>
          <w:szCs w:val="32"/>
          <w:shd w:val="clear" w:color="auto" w:fill="FFFFFF"/>
          <w:lang w:val="en-US" w:eastAsia="zh-CN" w:bidi="ar-SA"/>
        </w:rPr>
      </w:pPr>
      <w:r>
        <w:rPr>
          <w:rFonts w:hint="default" w:ascii="黑体" w:hAnsi="黑体" w:eastAsia="黑体" w:cs="黑体"/>
          <w:color w:val="333333"/>
          <w:kern w:val="2"/>
          <w:sz w:val="32"/>
          <w:szCs w:val="32"/>
          <w:shd w:val="clear" w:color="auto" w:fill="FFFFFF"/>
          <w:lang w:val="en-US" w:eastAsia="zh-CN" w:bidi="ar-SA"/>
        </w:rPr>
        <w:t>二、推广应用新技术，提升物流服务水平</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firstLine="640" w:firstLineChars="200"/>
        <w:jc w:val="both"/>
        <w:textAlignment w:val="auto"/>
        <w:rPr>
          <w:rFonts w:hint="default" w:ascii="sans-serif" w:hAnsi="sans-serif" w:eastAsia="sans-serif" w:cs="sans-serif"/>
          <w:i w:val="0"/>
          <w:caps w:val="0"/>
          <w:color w:val="000000"/>
          <w:spacing w:val="0"/>
          <w:sz w:val="32"/>
          <w:szCs w:val="32"/>
        </w:rPr>
      </w:pPr>
      <w:r>
        <w:rPr>
          <w:rFonts w:hint="default" w:ascii="仿宋_GB2312" w:hAnsi="sans-serif" w:eastAsia="仿宋_GB2312" w:cs="仿宋_GB2312"/>
          <w:i w:val="0"/>
          <w:caps w:val="0"/>
          <w:color w:val="000000"/>
          <w:spacing w:val="0"/>
          <w:sz w:val="32"/>
          <w:szCs w:val="32"/>
        </w:rPr>
        <w:t>4.推进物流标准化。鼓励和支持商贸物流企业围绕标准托盘（含周转箱）及其循环共用进行的相关物流设施设备更新改造，提升标准托盘使用率和带托运输率，促进物流配送提质增效（</w:t>
      </w:r>
      <w:r>
        <w:rPr>
          <w:rFonts w:hint="default" w:ascii="楷体_GB2312" w:hAnsi="楷体_GB2312" w:eastAsia="楷体_GB2312" w:cs="楷体_GB2312"/>
          <w:color w:val="333333"/>
          <w:kern w:val="2"/>
          <w:sz w:val="32"/>
          <w:szCs w:val="32"/>
          <w:shd w:val="clear" w:color="auto" w:fill="FFFFFF"/>
          <w:lang w:val="en-US" w:eastAsia="zh-CN" w:bidi="ar-SA"/>
        </w:rPr>
        <w:t>省商务厅</w:t>
      </w:r>
      <w:r>
        <w:rPr>
          <w:rFonts w:hint="default" w:ascii="仿宋_GB2312" w:hAnsi="sans-serif" w:eastAsia="仿宋_GB2312" w:cs="仿宋_GB2312"/>
          <w:i w:val="0"/>
          <w:caps w:val="0"/>
          <w:color w:val="000000"/>
          <w:spacing w:val="0"/>
          <w:sz w:val="32"/>
          <w:szCs w:val="32"/>
        </w:rPr>
        <w:t>）。发挥省级物流行业组织作用，开展物流标准修订和推广宣传工作，支持、指导全省推进商贸物流标准化工作，推荐标准化工作成绩突出的商贸物流企业及个人参与我省标准化工作表彰和奖励（</w:t>
      </w:r>
      <w:r>
        <w:rPr>
          <w:rFonts w:hint="default" w:ascii="楷体_GB2312" w:hAnsi="楷体_GB2312" w:eastAsia="楷体_GB2312" w:cs="楷体_GB2312"/>
          <w:color w:val="333333"/>
          <w:kern w:val="2"/>
          <w:sz w:val="32"/>
          <w:szCs w:val="32"/>
          <w:shd w:val="clear" w:color="auto" w:fill="FFFFFF"/>
          <w:lang w:val="en-US" w:eastAsia="zh-CN" w:bidi="ar-SA"/>
        </w:rPr>
        <w:t>省商务厅、省市场监管局</w:t>
      </w:r>
      <w:r>
        <w:rPr>
          <w:rFonts w:hint="default" w:ascii="仿宋_GB2312" w:hAnsi="sans-serif" w:eastAsia="仿宋_GB2312" w:cs="仿宋_GB2312"/>
          <w:i w:val="0"/>
          <w:caps w:val="0"/>
          <w:color w:val="000000"/>
          <w:spacing w:val="0"/>
          <w:sz w:val="32"/>
          <w:szCs w:val="32"/>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firstLine="640" w:firstLineChars="200"/>
        <w:jc w:val="both"/>
        <w:textAlignment w:val="auto"/>
        <w:rPr>
          <w:rFonts w:hint="default" w:ascii="sans-serif" w:hAnsi="sans-serif" w:eastAsia="sans-serif" w:cs="sans-serif"/>
          <w:i w:val="0"/>
          <w:caps w:val="0"/>
          <w:color w:val="000000"/>
          <w:spacing w:val="0"/>
          <w:sz w:val="32"/>
          <w:szCs w:val="32"/>
        </w:rPr>
      </w:pPr>
      <w:r>
        <w:rPr>
          <w:rFonts w:hint="default" w:ascii="仿宋_GB2312" w:hAnsi="sans-serif" w:eastAsia="仿宋_GB2312" w:cs="仿宋_GB2312"/>
          <w:i w:val="0"/>
          <w:caps w:val="0"/>
          <w:color w:val="000000"/>
          <w:spacing w:val="0"/>
          <w:sz w:val="32"/>
          <w:szCs w:val="32"/>
        </w:rPr>
        <w:t>5.推广应用现代信息技术。支持商贸物流企业利用5G、大数据、人工智能等现代信息技术和装备，对物流配送仓储、分拨、配送等环节进行数字化、智能化升级改造，打造智慧物流园区、数字仓库等设施网络，丰富人、车、货、运、场应用场景业态模式创新（</w:t>
      </w:r>
      <w:r>
        <w:rPr>
          <w:rFonts w:hint="default" w:ascii="楷体_GB2312" w:hAnsi="楷体_GB2312" w:eastAsia="楷体_GB2312" w:cs="楷体_GB2312"/>
          <w:color w:val="333333"/>
          <w:kern w:val="2"/>
          <w:sz w:val="32"/>
          <w:szCs w:val="32"/>
          <w:shd w:val="clear" w:color="auto" w:fill="FFFFFF"/>
          <w:lang w:val="en-US" w:eastAsia="zh-CN" w:bidi="ar-SA"/>
        </w:rPr>
        <w:t>省发改委、省商务厅</w:t>
      </w:r>
      <w:r>
        <w:rPr>
          <w:rFonts w:hint="default" w:ascii="仿宋_GB2312" w:hAnsi="sans-serif" w:eastAsia="仿宋_GB2312" w:cs="仿宋_GB2312"/>
          <w:i w:val="0"/>
          <w:caps w:val="0"/>
          <w:color w:val="000000"/>
          <w:spacing w:val="0"/>
          <w:sz w:val="32"/>
          <w:szCs w:val="32"/>
        </w:rPr>
        <w:t>）。鼓励商贸物流企业利用社区网点和物业资源，建设自助提货柜、智能生鲜柜、智能快件箱，提高末端配送效率和服务质量（</w:t>
      </w:r>
      <w:r>
        <w:rPr>
          <w:rFonts w:hint="default" w:ascii="楷体_GB2312" w:hAnsi="楷体_GB2312" w:eastAsia="楷体_GB2312" w:cs="楷体_GB2312"/>
          <w:color w:val="333333"/>
          <w:kern w:val="2"/>
          <w:sz w:val="32"/>
          <w:szCs w:val="32"/>
          <w:shd w:val="clear" w:color="auto" w:fill="FFFFFF"/>
          <w:lang w:val="en-US" w:eastAsia="zh-CN" w:bidi="ar-SA"/>
        </w:rPr>
        <w:t>省商务厅、省邮政管理局、省住建厅</w:t>
      </w:r>
      <w:r>
        <w:rPr>
          <w:rFonts w:hint="default" w:ascii="仿宋_GB2312" w:hAnsi="sans-serif" w:eastAsia="仿宋_GB2312" w:cs="仿宋_GB2312"/>
          <w:i w:val="0"/>
          <w:caps w:val="0"/>
          <w:color w:val="000000"/>
          <w:spacing w:val="0"/>
          <w:sz w:val="32"/>
          <w:szCs w:val="32"/>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firstLine="640" w:firstLineChars="200"/>
        <w:jc w:val="both"/>
        <w:textAlignment w:val="auto"/>
        <w:rPr>
          <w:rFonts w:hint="default" w:ascii="sans-serif" w:hAnsi="sans-serif" w:eastAsia="sans-serif" w:cs="sans-serif"/>
          <w:i w:val="0"/>
          <w:caps w:val="0"/>
          <w:color w:val="000000"/>
          <w:spacing w:val="0"/>
          <w:sz w:val="32"/>
          <w:szCs w:val="32"/>
        </w:rPr>
      </w:pPr>
      <w:r>
        <w:rPr>
          <w:rFonts w:hint="default" w:ascii="仿宋_GB2312" w:hAnsi="sans-serif" w:eastAsia="仿宋_GB2312" w:cs="仿宋_GB2312"/>
          <w:i w:val="0"/>
          <w:caps w:val="0"/>
          <w:color w:val="000000"/>
          <w:spacing w:val="0"/>
          <w:sz w:val="32"/>
          <w:szCs w:val="32"/>
        </w:rPr>
        <w:t>6.提升供应链管理水平。鼓励物流企业为制造业提供供应链管理库存、线边物流、供应链一体化服务等个性化物流解决方案，大力发展以柔性化生产、资源高度共享为特征的现代供应链模式。结合商贸服务型国家物流枢纽申报建设，推动物流企业与商贸企业共同打造一体化供应链服务平台，实现供需对接、集中采购、共同库存、支付结算、物流配送等功能集成，提高快速响应及资源共享能力（</w:t>
      </w:r>
      <w:r>
        <w:rPr>
          <w:rFonts w:hint="default" w:ascii="楷体_GB2312" w:hAnsi="楷体_GB2312" w:eastAsia="楷体_GB2312" w:cs="楷体_GB2312"/>
          <w:color w:val="333333"/>
          <w:kern w:val="2"/>
          <w:sz w:val="32"/>
          <w:szCs w:val="32"/>
          <w:shd w:val="clear" w:color="auto" w:fill="FFFFFF"/>
          <w:lang w:val="en-US" w:eastAsia="zh-CN" w:bidi="ar-SA"/>
        </w:rPr>
        <w:t>省发改委、省商务厅</w:t>
      </w:r>
      <w:r>
        <w:rPr>
          <w:rFonts w:hint="default" w:ascii="仿宋_GB2312" w:hAnsi="sans-serif" w:eastAsia="仿宋_GB2312" w:cs="仿宋_GB2312"/>
          <w:i w:val="0"/>
          <w:caps w:val="0"/>
          <w:color w:val="000000"/>
          <w:spacing w:val="0"/>
          <w:sz w:val="32"/>
          <w:szCs w:val="32"/>
        </w:rPr>
        <w:t>）。依托农产品电商、物流信息平台，推进产地与销地、批发市场线上线下融合发展，拓展安全检测、加工包装、统仓统配溯源查询等功能，培育发展农产品供应链，完善基于农产品流通大数据的产销对接机制，引导农产品规模种养殖（</w:t>
      </w:r>
      <w:r>
        <w:rPr>
          <w:rFonts w:hint="default" w:ascii="楷体_GB2312" w:hAnsi="楷体_GB2312" w:eastAsia="楷体_GB2312" w:cs="楷体_GB2312"/>
          <w:color w:val="333333"/>
          <w:kern w:val="2"/>
          <w:sz w:val="32"/>
          <w:szCs w:val="32"/>
          <w:shd w:val="clear" w:color="auto" w:fill="FFFFFF"/>
          <w:lang w:val="en-US" w:eastAsia="zh-CN" w:bidi="ar-SA"/>
        </w:rPr>
        <w:t>省商务厅、省农业农村厅、省市场监管局</w:t>
      </w:r>
      <w:r>
        <w:rPr>
          <w:rFonts w:hint="default" w:ascii="仿宋_GB2312" w:hAnsi="sans-serif" w:eastAsia="仿宋_GB2312" w:cs="仿宋_GB2312"/>
          <w:i w:val="0"/>
          <w:caps w:val="0"/>
          <w:color w:val="000000"/>
          <w:spacing w:val="0"/>
          <w:sz w:val="32"/>
          <w:szCs w:val="32"/>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firstLine="640" w:firstLineChars="200"/>
        <w:jc w:val="both"/>
        <w:textAlignment w:val="auto"/>
        <w:rPr>
          <w:rFonts w:hint="default" w:ascii="黑体" w:hAnsi="黑体" w:eastAsia="黑体" w:cs="黑体"/>
          <w:color w:val="333333"/>
          <w:kern w:val="2"/>
          <w:sz w:val="32"/>
          <w:szCs w:val="32"/>
          <w:shd w:val="clear" w:color="auto" w:fill="FFFFFF"/>
          <w:lang w:val="en-US" w:eastAsia="zh-CN" w:bidi="ar-SA"/>
        </w:rPr>
      </w:pPr>
      <w:r>
        <w:rPr>
          <w:rFonts w:hint="default" w:ascii="黑体" w:hAnsi="黑体" w:eastAsia="黑体" w:cs="黑体"/>
          <w:color w:val="333333"/>
          <w:kern w:val="2"/>
          <w:sz w:val="32"/>
          <w:szCs w:val="32"/>
          <w:shd w:val="clear" w:color="auto" w:fill="FFFFFF"/>
          <w:lang w:val="en-US" w:eastAsia="zh-CN" w:bidi="ar-SA"/>
        </w:rPr>
        <w:t>三、推进通关便利化，保障国际物流畅通</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firstLine="640" w:firstLineChars="200"/>
        <w:jc w:val="both"/>
        <w:textAlignment w:val="auto"/>
        <w:rPr>
          <w:rFonts w:hint="default" w:ascii="sans-serif" w:hAnsi="sans-serif" w:eastAsia="sans-serif" w:cs="sans-serif"/>
          <w:i w:val="0"/>
          <w:caps w:val="0"/>
          <w:color w:val="000000"/>
          <w:spacing w:val="0"/>
          <w:sz w:val="32"/>
          <w:szCs w:val="32"/>
        </w:rPr>
      </w:pPr>
      <w:r>
        <w:rPr>
          <w:rFonts w:hint="default" w:ascii="仿宋_GB2312" w:hAnsi="sans-serif" w:eastAsia="仿宋_GB2312" w:cs="仿宋_GB2312"/>
          <w:i w:val="0"/>
          <w:caps w:val="0"/>
          <w:color w:val="000000"/>
          <w:spacing w:val="0"/>
          <w:sz w:val="32"/>
          <w:szCs w:val="32"/>
        </w:rPr>
        <w:t>7.推动口岸通关降费提效。积极协调联系口岸相关部门和单位（管委会、铁路、航空、货代、报关企业、进出口企业等），大力压缩超长报关单数量，稳固整体通关时间压缩成效在合理区间。全面推广进出口货物“提前申报”“两步申报”、汇总征税等措施。继续做好进出口环节收费的监督工作，不定期开展进出口环节收费情况检查。积极引导督促外贸企业自行在“单一窗口”网站动态更新口岸收费目录清单内容，提高公开公示质量，确保清单以外一律不得收费（</w:t>
      </w:r>
      <w:r>
        <w:rPr>
          <w:rFonts w:hint="default" w:ascii="楷体_GB2312" w:hAnsi="楷体_GB2312" w:eastAsia="楷体_GB2312" w:cs="楷体_GB2312"/>
          <w:color w:val="333333"/>
          <w:kern w:val="2"/>
          <w:sz w:val="32"/>
          <w:szCs w:val="32"/>
          <w:shd w:val="clear" w:color="auto" w:fill="FFFFFF"/>
          <w:lang w:val="en-US" w:eastAsia="zh-CN" w:bidi="ar-SA"/>
        </w:rPr>
        <w:t>省商务厅、西安海关</w:t>
      </w:r>
      <w:r>
        <w:rPr>
          <w:rFonts w:hint="default" w:ascii="仿宋_GB2312" w:hAnsi="sans-serif" w:eastAsia="仿宋_GB2312" w:cs="仿宋_GB2312"/>
          <w:i w:val="0"/>
          <w:caps w:val="0"/>
          <w:color w:val="000000"/>
          <w:spacing w:val="0"/>
          <w:sz w:val="32"/>
          <w:szCs w:val="32"/>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firstLine="640" w:firstLineChars="200"/>
        <w:jc w:val="both"/>
        <w:textAlignment w:val="auto"/>
        <w:rPr>
          <w:rFonts w:hint="default" w:ascii="sans-serif" w:hAnsi="sans-serif" w:eastAsia="sans-serif" w:cs="sans-serif"/>
          <w:i w:val="0"/>
          <w:caps w:val="0"/>
          <w:color w:val="000000"/>
          <w:spacing w:val="0"/>
          <w:sz w:val="32"/>
          <w:szCs w:val="32"/>
        </w:rPr>
      </w:pPr>
      <w:r>
        <w:rPr>
          <w:rFonts w:hint="default" w:ascii="仿宋_GB2312" w:hAnsi="sans-serif" w:eastAsia="仿宋_GB2312" w:cs="仿宋_GB2312"/>
          <w:i w:val="0"/>
          <w:caps w:val="0"/>
          <w:color w:val="000000"/>
          <w:spacing w:val="0"/>
          <w:sz w:val="32"/>
          <w:szCs w:val="32"/>
        </w:rPr>
        <w:t>8.打造国际物流通道。依托西安陆港，进一步打通国际铁路物流通道，大力支持中欧班列“长安号”双向运行；加强西安陆港与沿海港口、沿边口岸的合作，引入国际船公司、货代公司，实现港口服务链内移。推动陕西省跨境电商物流服务平台建设，构建服务我省全球贸易、营销网络和跨境电子商务的物流支撑体系（</w:t>
      </w:r>
      <w:r>
        <w:rPr>
          <w:rFonts w:hint="default" w:ascii="楷体_GB2312" w:hAnsi="楷体_GB2312" w:eastAsia="楷体_GB2312" w:cs="楷体_GB2312"/>
          <w:color w:val="333333"/>
          <w:kern w:val="2"/>
          <w:sz w:val="32"/>
          <w:szCs w:val="32"/>
          <w:shd w:val="clear" w:color="auto" w:fill="FFFFFF"/>
          <w:lang w:val="en-US" w:eastAsia="zh-CN" w:bidi="ar-SA"/>
        </w:rPr>
        <w:t>省发改委、省商务厅、西安海关</w:t>
      </w:r>
      <w:r>
        <w:rPr>
          <w:rFonts w:hint="default" w:ascii="仿宋_GB2312" w:hAnsi="sans-serif" w:eastAsia="仿宋_GB2312" w:cs="仿宋_GB2312"/>
          <w:i w:val="0"/>
          <w:caps w:val="0"/>
          <w:color w:val="000000"/>
          <w:spacing w:val="0"/>
          <w:sz w:val="32"/>
          <w:szCs w:val="32"/>
        </w:rPr>
        <w:t>）。强化政策保障，制定我省《公共海外仓认定支持办法》，引导鼓励我省跨境电商企业和外贸企业通过投资、租赁等方式在境外及中欧班列沿线国家和地区设立海外仓（</w:t>
      </w:r>
      <w:r>
        <w:rPr>
          <w:rFonts w:hint="default" w:ascii="楷体_GB2312" w:hAnsi="楷体_GB2312" w:eastAsia="楷体_GB2312" w:cs="楷体_GB2312"/>
          <w:color w:val="333333"/>
          <w:kern w:val="2"/>
          <w:sz w:val="32"/>
          <w:szCs w:val="32"/>
          <w:shd w:val="clear" w:color="auto" w:fill="FFFFFF"/>
          <w:lang w:val="en-US" w:eastAsia="zh-CN" w:bidi="ar-SA"/>
        </w:rPr>
        <w:t>省商务厅、省财政厅、西安海关</w:t>
      </w:r>
      <w:r>
        <w:rPr>
          <w:rFonts w:hint="default" w:ascii="仿宋_GB2312" w:hAnsi="sans-serif" w:eastAsia="仿宋_GB2312" w:cs="仿宋_GB2312"/>
          <w:i w:val="0"/>
          <w:caps w:val="0"/>
          <w:color w:val="000000"/>
          <w:spacing w:val="0"/>
          <w:sz w:val="32"/>
          <w:szCs w:val="32"/>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firstLine="640" w:firstLineChars="200"/>
        <w:jc w:val="both"/>
        <w:textAlignment w:val="auto"/>
        <w:rPr>
          <w:rFonts w:hint="default" w:ascii="黑体" w:hAnsi="黑体" w:eastAsia="黑体" w:cs="黑体"/>
          <w:color w:val="333333"/>
          <w:kern w:val="2"/>
          <w:sz w:val="32"/>
          <w:szCs w:val="32"/>
          <w:shd w:val="clear" w:color="auto" w:fill="FFFFFF"/>
          <w:lang w:val="en-US" w:eastAsia="zh-CN" w:bidi="ar-SA"/>
        </w:rPr>
      </w:pPr>
      <w:r>
        <w:rPr>
          <w:rFonts w:hint="default" w:ascii="黑体" w:hAnsi="黑体" w:eastAsia="黑体" w:cs="黑体"/>
          <w:color w:val="333333"/>
          <w:kern w:val="2"/>
          <w:sz w:val="32"/>
          <w:szCs w:val="32"/>
          <w:shd w:val="clear" w:color="auto" w:fill="FFFFFF"/>
          <w:lang w:val="en-US" w:eastAsia="zh-CN" w:bidi="ar-SA"/>
        </w:rPr>
        <w:t>四、落实新发展理念，构建绿色物流</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firstLine="640" w:firstLineChars="200"/>
        <w:jc w:val="both"/>
        <w:textAlignment w:val="auto"/>
        <w:rPr>
          <w:rFonts w:hint="default" w:ascii="sans-serif" w:hAnsi="sans-serif" w:eastAsia="sans-serif" w:cs="sans-serif"/>
          <w:i w:val="0"/>
          <w:caps w:val="0"/>
          <w:color w:val="000000"/>
          <w:spacing w:val="0"/>
          <w:sz w:val="32"/>
          <w:szCs w:val="32"/>
        </w:rPr>
      </w:pPr>
      <w:r>
        <w:rPr>
          <w:rFonts w:hint="default" w:ascii="仿宋_GB2312" w:hAnsi="sans-serif" w:eastAsia="仿宋_GB2312" w:cs="仿宋_GB2312"/>
          <w:i w:val="0"/>
          <w:caps w:val="0"/>
          <w:color w:val="000000"/>
          <w:spacing w:val="0"/>
          <w:sz w:val="32"/>
          <w:szCs w:val="32"/>
        </w:rPr>
        <w:t>9.健全绿色物流体系。深入推进现代物流节能减排，加大货运车辆适用的充电桩、加氢站等配套设施布局规划建设力度，鼓励新能源、清洁能源货运车辆在城市配送领域应用（</w:t>
      </w:r>
      <w:r>
        <w:rPr>
          <w:rFonts w:hint="default" w:ascii="楷体_GB2312" w:hAnsi="楷体_GB2312" w:eastAsia="楷体_GB2312" w:cs="楷体_GB2312"/>
          <w:color w:val="333333"/>
          <w:kern w:val="2"/>
          <w:sz w:val="32"/>
          <w:szCs w:val="32"/>
          <w:shd w:val="clear" w:color="auto" w:fill="FFFFFF"/>
          <w:lang w:val="en-US" w:eastAsia="zh-CN" w:bidi="ar-SA"/>
        </w:rPr>
        <w:t>省发改委、省交通运输厅、省住建厅、省邮政管理局</w:t>
      </w:r>
      <w:r>
        <w:rPr>
          <w:rFonts w:hint="default" w:ascii="仿宋_GB2312" w:hAnsi="sans-serif" w:eastAsia="仿宋_GB2312" w:cs="仿宋_GB2312"/>
          <w:i w:val="0"/>
          <w:caps w:val="0"/>
          <w:color w:val="000000"/>
          <w:spacing w:val="0"/>
          <w:sz w:val="32"/>
          <w:szCs w:val="32"/>
        </w:rPr>
        <w:t>）。加强绿色物流新技术和设备的应用，推广使用循环包装和生物降解包装材料，鼓励物流企业与制造、商贸企业包装循环共用，减少过度包装和二次包装，促进包装减量化、再利用。推动托盘循环共用系统建设，促进产品包装和物流器具绿色化、标准化、循环化（</w:t>
      </w:r>
      <w:r>
        <w:rPr>
          <w:rFonts w:hint="default" w:ascii="楷体_GB2312" w:hAnsi="楷体_GB2312" w:eastAsia="楷体_GB2312" w:cs="楷体_GB2312"/>
          <w:color w:val="333333"/>
          <w:kern w:val="2"/>
          <w:sz w:val="32"/>
          <w:szCs w:val="32"/>
          <w:shd w:val="clear" w:color="auto" w:fill="FFFFFF"/>
          <w:lang w:val="en-US" w:eastAsia="zh-CN" w:bidi="ar-SA"/>
        </w:rPr>
        <w:t>省发改委、省商务厅</w:t>
      </w:r>
      <w:r>
        <w:rPr>
          <w:rFonts w:hint="default" w:ascii="仿宋_GB2312" w:hAnsi="sans-serif" w:eastAsia="仿宋_GB2312" w:cs="仿宋_GB2312"/>
          <w:i w:val="0"/>
          <w:caps w:val="0"/>
          <w:color w:val="000000"/>
          <w:spacing w:val="0"/>
          <w:sz w:val="32"/>
          <w:szCs w:val="32"/>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firstLine="640" w:firstLineChars="200"/>
        <w:jc w:val="both"/>
        <w:textAlignment w:val="auto"/>
        <w:rPr>
          <w:rFonts w:hint="default" w:ascii="黑体" w:hAnsi="黑体" w:eastAsia="黑体" w:cs="黑体"/>
          <w:color w:val="333333"/>
          <w:kern w:val="2"/>
          <w:sz w:val="32"/>
          <w:szCs w:val="32"/>
          <w:shd w:val="clear" w:color="auto" w:fill="FFFFFF"/>
          <w:lang w:val="en-US" w:eastAsia="zh-CN" w:bidi="ar-SA"/>
        </w:rPr>
      </w:pPr>
      <w:r>
        <w:rPr>
          <w:rFonts w:hint="default" w:ascii="黑体" w:hAnsi="黑体" w:eastAsia="黑体" w:cs="黑体"/>
          <w:color w:val="333333"/>
          <w:kern w:val="2"/>
          <w:sz w:val="32"/>
          <w:szCs w:val="32"/>
          <w:shd w:val="clear" w:color="auto" w:fill="FFFFFF"/>
          <w:lang w:val="en-US" w:eastAsia="zh-CN" w:bidi="ar-SA"/>
        </w:rPr>
        <w:t>五、加大支持力度，培育龙头企业</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firstLine="640" w:firstLineChars="200"/>
        <w:jc w:val="both"/>
        <w:textAlignment w:val="auto"/>
        <w:rPr>
          <w:rFonts w:hint="default" w:ascii="sans-serif" w:hAnsi="sans-serif" w:eastAsia="sans-serif" w:cs="sans-serif"/>
          <w:i w:val="0"/>
          <w:caps w:val="0"/>
          <w:color w:val="000000"/>
          <w:spacing w:val="0"/>
          <w:sz w:val="32"/>
          <w:szCs w:val="32"/>
        </w:rPr>
      </w:pPr>
      <w:r>
        <w:rPr>
          <w:rFonts w:hint="default" w:ascii="仿宋_GB2312" w:hAnsi="sans-serif" w:eastAsia="仿宋_GB2312" w:cs="仿宋_GB2312"/>
          <w:i w:val="0"/>
          <w:caps w:val="0"/>
          <w:color w:val="000000"/>
          <w:spacing w:val="0"/>
          <w:sz w:val="32"/>
          <w:szCs w:val="32"/>
        </w:rPr>
        <w:t>10.引培行业领军企业。鼓励生产企业、贸易批零企业、餐饮企业将冷链物流业务剥离外包,推动专业化物流企业、第三方运输企业和末端配送企业发展壮大（</w:t>
      </w:r>
      <w:r>
        <w:rPr>
          <w:rFonts w:hint="default" w:ascii="楷体_GB2312" w:hAnsi="楷体_GB2312" w:eastAsia="楷体_GB2312" w:cs="楷体_GB2312"/>
          <w:color w:val="333333"/>
          <w:kern w:val="2"/>
          <w:sz w:val="32"/>
          <w:szCs w:val="32"/>
          <w:shd w:val="clear" w:color="auto" w:fill="FFFFFF"/>
          <w:lang w:val="en-US" w:eastAsia="zh-CN" w:bidi="ar-SA"/>
        </w:rPr>
        <w:t>省发改委、省交通运输厅、省商务厅</w:t>
      </w:r>
      <w:r>
        <w:rPr>
          <w:rFonts w:hint="default" w:ascii="仿宋_GB2312" w:hAnsi="sans-serif" w:eastAsia="仿宋_GB2312" w:cs="仿宋_GB2312"/>
          <w:i w:val="0"/>
          <w:caps w:val="0"/>
          <w:color w:val="000000"/>
          <w:spacing w:val="0"/>
          <w:sz w:val="32"/>
          <w:szCs w:val="32"/>
        </w:rPr>
        <w:t>）。强化开放招商。引导国内外大型物流服务集成商在我省设立全国性物流总部基地和区域性集散分拨中心，提升国际物流资源配置能力（省</w:t>
      </w:r>
      <w:r>
        <w:rPr>
          <w:rFonts w:hint="default" w:ascii="楷体_GB2312" w:hAnsi="楷体_GB2312" w:eastAsia="楷体_GB2312" w:cs="楷体_GB2312"/>
          <w:color w:val="333333"/>
          <w:kern w:val="2"/>
          <w:sz w:val="32"/>
          <w:szCs w:val="32"/>
          <w:shd w:val="clear" w:color="auto" w:fill="FFFFFF"/>
          <w:lang w:val="en-US" w:eastAsia="zh-CN" w:bidi="ar-SA"/>
        </w:rPr>
        <w:t>发改委、省商务厅）</w:t>
      </w:r>
      <w:r>
        <w:rPr>
          <w:rFonts w:hint="default" w:ascii="仿宋_GB2312" w:hAnsi="sans-serif" w:eastAsia="仿宋_GB2312" w:cs="仿宋_GB2312"/>
          <w:i w:val="0"/>
          <w:caps w:val="0"/>
          <w:color w:val="000000"/>
          <w:spacing w:val="0"/>
          <w:sz w:val="32"/>
          <w:szCs w:val="32"/>
        </w:rPr>
        <w:t>。建立动态的省（部）级重点联系商贸物流企业名录，加强对重点企业的跟踪指导，在推进商贸物流试点和政策扶持上予以倾斜（</w:t>
      </w:r>
      <w:r>
        <w:rPr>
          <w:rFonts w:hint="default" w:ascii="楷体_GB2312" w:hAnsi="楷体_GB2312" w:eastAsia="楷体_GB2312" w:cs="楷体_GB2312"/>
          <w:color w:val="333333"/>
          <w:kern w:val="2"/>
          <w:sz w:val="32"/>
          <w:szCs w:val="32"/>
          <w:shd w:val="clear" w:color="auto" w:fill="FFFFFF"/>
          <w:lang w:val="en-US" w:eastAsia="zh-CN" w:bidi="ar-SA"/>
        </w:rPr>
        <w:t>省商务厅</w:t>
      </w:r>
      <w:r>
        <w:rPr>
          <w:rFonts w:hint="default" w:ascii="仿宋_GB2312" w:hAnsi="sans-serif" w:eastAsia="仿宋_GB2312" w:cs="仿宋_GB2312"/>
          <w:i w:val="0"/>
          <w:caps w:val="0"/>
          <w:color w:val="000000"/>
          <w:spacing w:val="0"/>
          <w:sz w:val="32"/>
          <w:szCs w:val="32"/>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firstLine="640" w:firstLineChars="200"/>
        <w:jc w:val="both"/>
        <w:textAlignment w:val="auto"/>
        <w:rPr>
          <w:rFonts w:hint="default" w:ascii="sans-serif" w:hAnsi="sans-serif" w:eastAsia="sans-serif" w:cs="sans-serif"/>
          <w:i w:val="0"/>
          <w:caps w:val="0"/>
          <w:color w:val="000000"/>
          <w:spacing w:val="0"/>
          <w:sz w:val="32"/>
          <w:szCs w:val="32"/>
        </w:rPr>
      </w:pPr>
      <w:r>
        <w:rPr>
          <w:rFonts w:hint="default" w:ascii="仿宋_GB2312" w:hAnsi="sans-serif" w:eastAsia="仿宋_GB2312" w:cs="仿宋_GB2312"/>
          <w:i w:val="0"/>
          <w:caps w:val="0"/>
          <w:color w:val="000000"/>
          <w:spacing w:val="0"/>
          <w:sz w:val="32"/>
          <w:szCs w:val="32"/>
        </w:rPr>
        <w:t>11.创新金融服务。鼓励引导银行业金融机构在风险可控的基础上，按照市场化、商业可持续原则，支持商贸物流高质量发展，优化信贷服务，重点提升省级重点商贸物流企业和城乡配送网络建设项目服务水平。（</w:t>
      </w:r>
      <w:r>
        <w:rPr>
          <w:rFonts w:hint="default" w:ascii="楷体_GB2312" w:hAnsi="楷体_GB2312" w:eastAsia="楷体_GB2312" w:cs="楷体_GB2312"/>
          <w:color w:val="333333"/>
          <w:kern w:val="2"/>
          <w:sz w:val="32"/>
          <w:szCs w:val="32"/>
          <w:shd w:val="clear" w:color="auto" w:fill="FFFFFF"/>
          <w:lang w:val="en-US" w:eastAsia="zh-CN" w:bidi="ar-SA"/>
        </w:rPr>
        <w:t>人民银行西安分行、省商务厅</w:t>
      </w:r>
      <w:r>
        <w:rPr>
          <w:rFonts w:hint="default" w:ascii="仿宋_GB2312" w:hAnsi="sans-serif" w:eastAsia="仿宋_GB2312" w:cs="仿宋_GB2312"/>
          <w:i w:val="0"/>
          <w:caps w:val="0"/>
          <w:color w:val="000000"/>
          <w:spacing w:val="0"/>
          <w:sz w:val="32"/>
          <w:szCs w:val="32"/>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firstLine="640" w:firstLineChars="200"/>
        <w:jc w:val="both"/>
        <w:textAlignment w:val="auto"/>
        <w:rPr>
          <w:rFonts w:hint="default" w:ascii="sans-serif" w:hAnsi="sans-serif" w:eastAsia="sans-serif" w:cs="sans-serif"/>
          <w:i w:val="0"/>
          <w:caps w:val="0"/>
          <w:color w:val="000000"/>
          <w:spacing w:val="0"/>
          <w:sz w:val="32"/>
          <w:szCs w:val="32"/>
        </w:rPr>
      </w:pPr>
      <w:r>
        <w:rPr>
          <w:rFonts w:hint="default" w:ascii="仿宋_GB2312" w:hAnsi="sans-serif" w:eastAsia="仿宋_GB2312" w:cs="仿宋_GB2312"/>
          <w:i w:val="0"/>
          <w:caps w:val="0"/>
          <w:color w:val="000000"/>
          <w:spacing w:val="0"/>
          <w:sz w:val="32"/>
          <w:szCs w:val="32"/>
        </w:rPr>
        <w:t>12.强化政策集成。完善物流设施用地规划，促进城市物流规划与国土空间规划相衔接，保障商贸物流基础设施用地需求。鼓励地方政府合理设置物流用地绩效考核指标，整合盘活存量土地资源用于商贸物流设施建设（</w:t>
      </w:r>
      <w:r>
        <w:rPr>
          <w:rFonts w:hint="default" w:ascii="楷体_GB2312" w:hAnsi="楷体_GB2312" w:eastAsia="楷体_GB2312" w:cs="楷体_GB2312"/>
          <w:color w:val="333333"/>
          <w:kern w:val="2"/>
          <w:sz w:val="32"/>
          <w:szCs w:val="32"/>
          <w:shd w:val="clear" w:color="auto" w:fill="FFFFFF"/>
          <w:lang w:val="en-US" w:eastAsia="zh-CN" w:bidi="ar-SA"/>
        </w:rPr>
        <w:t>自然资源厅</w:t>
      </w:r>
      <w:r>
        <w:rPr>
          <w:rFonts w:hint="default" w:ascii="仿宋_GB2312" w:hAnsi="sans-serif" w:eastAsia="仿宋_GB2312" w:cs="仿宋_GB2312"/>
          <w:i w:val="0"/>
          <w:caps w:val="0"/>
          <w:color w:val="000000"/>
          <w:spacing w:val="0"/>
          <w:sz w:val="32"/>
          <w:szCs w:val="32"/>
        </w:rPr>
        <w:t>）。省级各相关部门要结合重点任务分工，积极争取中央财政支持，用好现有省级相关专项资金支持商贸物流领域发展（</w:t>
      </w:r>
      <w:r>
        <w:rPr>
          <w:rFonts w:hint="default" w:ascii="楷体_GB2312" w:hAnsi="楷体_GB2312" w:eastAsia="楷体_GB2312" w:cs="楷体_GB2312"/>
          <w:color w:val="333333"/>
          <w:kern w:val="2"/>
          <w:sz w:val="32"/>
          <w:szCs w:val="32"/>
          <w:shd w:val="clear" w:color="auto" w:fill="FFFFFF"/>
          <w:lang w:val="en-US" w:eastAsia="zh-CN" w:bidi="ar-SA"/>
        </w:rPr>
        <w:t>省级各相关部门</w:t>
      </w:r>
      <w:r>
        <w:rPr>
          <w:rFonts w:hint="default" w:ascii="仿宋_GB2312" w:hAnsi="sans-serif" w:eastAsia="仿宋_GB2312" w:cs="仿宋_GB2312"/>
          <w:i w:val="0"/>
          <w:caps w:val="0"/>
          <w:color w:val="000000"/>
          <w:spacing w:val="0"/>
          <w:sz w:val="32"/>
          <w:szCs w:val="32"/>
        </w:rPr>
        <w:t>）。各级政府要出台支持商贸物流发展相关政策，持续优化城市配送货运车辆通行管理，落实城乡配送车辆“四统一”（统一车型、统一标识、统一管理、统一标准）（各市（区）政府）。</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firstLine="640" w:firstLineChars="200"/>
        <w:jc w:val="both"/>
        <w:textAlignment w:val="auto"/>
        <w:rPr>
          <w:rFonts w:hint="default" w:ascii="黑体" w:hAnsi="黑体" w:eastAsia="黑体" w:cs="黑体"/>
          <w:color w:val="333333"/>
          <w:kern w:val="2"/>
          <w:sz w:val="32"/>
          <w:szCs w:val="32"/>
          <w:shd w:val="clear" w:color="auto" w:fill="FFFFFF"/>
          <w:lang w:val="en-US" w:eastAsia="zh-CN" w:bidi="ar-SA"/>
        </w:rPr>
      </w:pPr>
      <w:r>
        <w:rPr>
          <w:rFonts w:hint="default" w:ascii="黑体" w:hAnsi="黑体" w:eastAsia="黑体" w:cs="黑体"/>
          <w:color w:val="333333"/>
          <w:kern w:val="2"/>
          <w:sz w:val="32"/>
          <w:szCs w:val="32"/>
          <w:shd w:val="clear" w:color="auto" w:fill="FFFFFF"/>
          <w:lang w:val="en-US" w:eastAsia="zh-CN" w:bidi="ar-SA"/>
        </w:rPr>
        <w:t>六、加强部门协调，形成工作合力</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firstLine="640" w:firstLineChars="200"/>
        <w:jc w:val="both"/>
        <w:textAlignment w:val="auto"/>
        <w:rPr>
          <w:rFonts w:hint="default" w:ascii="sans-serif" w:hAnsi="sans-serif" w:eastAsia="sans-serif" w:cs="sans-serif"/>
          <w:i w:val="0"/>
          <w:caps w:val="0"/>
          <w:color w:val="000000"/>
          <w:spacing w:val="0"/>
          <w:sz w:val="32"/>
          <w:szCs w:val="32"/>
        </w:rPr>
      </w:pPr>
      <w:r>
        <w:rPr>
          <w:rFonts w:hint="default" w:ascii="仿宋_GB2312" w:hAnsi="sans-serif" w:eastAsia="仿宋_GB2312" w:cs="仿宋_GB2312"/>
          <w:i w:val="0"/>
          <w:caps w:val="0"/>
          <w:color w:val="000000"/>
          <w:spacing w:val="0"/>
          <w:sz w:val="32"/>
          <w:szCs w:val="32"/>
        </w:rPr>
        <w:t>13.完善工作机制。建立省级跨部门工作联系和会商机制，定期听取工作进展情况汇报，研究解决《专项行动计划》重点任务推进工作中遇到的相关问题。各部门要结合各自职责，制定重点工作推进计划，明确分管领导和责任处室，并指派一名处级干部作为联络员，负责对接相关工作，定期填报《促进商贸物流高质量发展工作台账》，每半年报送一次重点工作推进情况（</w:t>
      </w:r>
      <w:r>
        <w:rPr>
          <w:rFonts w:hint="default" w:ascii="楷体_GB2312" w:hAnsi="楷体_GB2312" w:eastAsia="楷体_GB2312" w:cs="楷体_GB2312"/>
          <w:color w:val="333333"/>
          <w:kern w:val="2"/>
          <w:sz w:val="32"/>
          <w:szCs w:val="32"/>
          <w:shd w:val="clear" w:color="auto" w:fill="FFFFFF"/>
          <w:lang w:val="en-US" w:eastAsia="zh-CN" w:bidi="ar-SA"/>
        </w:rPr>
        <w:t>省级各相关部门</w:t>
      </w:r>
      <w:r>
        <w:rPr>
          <w:rFonts w:hint="default" w:ascii="仿宋_GB2312" w:hAnsi="sans-serif" w:eastAsia="仿宋_GB2312" w:cs="仿宋_GB2312"/>
          <w:i w:val="0"/>
          <w:caps w:val="0"/>
          <w:color w:val="000000"/>
          <w:spacing w:val="0"/>
          <w:sz w:val="32"/>
          <w:szCs w:val="32"/>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firstLine="640" w:firstLineChars="200"/>
        <w:jc w:val="both"/>
        <w:textAlignment w:val="auto"/>
        <w:rPr>
          <w:rFonts w:hint="default" w:ascii="sans-serif" w:hAnsi="sans-serif" w:eastAsia="sans-serif" w:cs="sans-serif"/>
          <w:i w:val="0"/>
          <w:caps w:val="0"/>
          <w:color w:val="000000"/>
          <w:spacing w:val="0"/>
          <w:sz w:val="32"/>
          <w:szCs w:val="32"/>
        </w:rPr>
      </w:pPr>
      <w:r>
        <w:rPr>
          <w:rFonts w:hint="default" w:ascii="仿宋_GB2312" w:hAnsi="sans-serif" w:eastAsia="仿宋_GB2312" w:cs="仿宋_GB2312"/>
          <w:i w:val="0"/>
          <w:caps w:val="0"/>
          <w:color w:val="000000"/>
          <w:spacing w:val="0"/>
          <w:sz w:val="32"/>
          <w:szCs w:val="32"/>
        </w:rPr>
        <w:t>联系方式：省商务厅流通业发展处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firstLine="640" w:firstLineChars="200"/>
        <w:jc w:val="both"/>
        <w:textAlignment w:val="auto"/>
        <w:rPr>
          <w:rFonts w:hint="default" w:ascii="仿宋_GB2312" w:hAnsi="sans-serif" w:eastAsia="仿宋_GB2312" w:cs="仿宋_GB2312"/>
          <w:i w:val="0"/>
          <w:caps w:val="0"/>
          <w:color w:val="000000"/>
          <w:spacing w:val="0"/>
          <w:sz w:val="32"/>
          <w:szCs w:val="32"/>
        </w:rPr>
      </w:pPr>
      <w:r>
        <w:rPr>
          <w:rFonts w:hint="default" w:ascii="仿宋_GB2312" w:hAnsi="sans-serif" w:eastAsia="仿宋_GB2312" w:cs="仿宋_GB2312"/>
          <w:i w:val="0"/>
          <w:caps w:val="0"/>
          <w:color w:val="000000"/>
          <w:spacing w:val="0"/>
          <w:sz w:val="32"/>
          <w:szCs w:val="32"/>
        </w:rPr>
        <w:t>联系电话：029-63913882  63913883</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firstLine="640" w:firstLineChars="200"/>
        <w:jc w:val="both"/>
        <w:textAlignment w:val="auto"/>
        <w:rPr>
          <w:rFonts w:hint="default" w:ascii="仿宋_GB2312" w:hAnsi="sans-serif" w:eastAsia="仿宋_GB2312" w:cs="仿宋_GB2312"/>
          <w:i w:val="0"/>
          <w:caps w:val="0"/>
          <w:color w:val="000000"/>
          <w:spacing w:val="0"/>
          <w:sz w:val="32"/>
          <w:szCs w:val="32"/>
        </w:rPr>
      </w:pP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firstLine="640" w:firstLineChars="200"/>
        <w:jc w:val="both"/>
        <w:textAlignment w:val="auto"/>
        <w:rPr>
          <w:rFonts w:hint="default" w:ascii="仿宋_GB2312" w:hAnsi="sans-serif" w:eastAsia="仿宋_GB2312" w:cs="仿宋_GB2312"/>
          <w:i w:val="0"/>
          <w:caps w:val="0"/>
          <w:color w:val="000000"/>
          <w:spacing w:val="0"/>
          <w:sz w:val="32"/>
          <w:szCs w:val="32"/>
        </w:rPr>
      </w:pP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jc w:val="both"/>
        <w:textAlignment w:val="auto"/>
        <w:rPr>
          <w:rFonts w:hint="default" w:ascii="仿宋_GB2312" w:hAnsi="sans-serif" w:eastAsia="仿宋_GB2312" w:cs="仿宋_GB2312"/>
          <w:i w:val="0"/>
          <w:caps w:val="0"/>
          <w:color w:val="000000"/>
          <w:spacing w:val="0"/>
          <w:sz w:val="32"/>
          <w:szCs w:val="32"/>
        </w:rPr>
      </w:pPr>
    </w:p>
    <w:p>
      <w:pPr>
        <w:pStyle w:val="4"/>
        <w:bidi w:val="0"/>
        <w:jc w:val="both"/>
        <w:rPr>
          <w:rFonts w:hint="eastAsia" w:ascii="黑体" w:hAnsi="黑体" w:eastAsia="黑体" w:cs="黑体"/>
          <w:color w:val="333333"/>
          <w:kern w:val="2"/>
          <w:sz w:val="32"/>
          <w:szCs w:val="32"/>
          <w:shd w:val="clear" w:color="auto" w:fill="FFFFFF"/>
          <w:lang w:val="en-US" w:eastAsia="zh-CN" w:bidi="ar-SA"/>
        </w:rPr>
      </w:pPr>
      <w:r>
        <w:rPr>
          <w:rFonts w:hint="default" w:ascii="黑体" w:hAnsi="黑体" w:eastAsia="黑体" w:cs="黑体"/>
          <w:color w:val="333333"/>
          <w:kern w:val="2"/>
          <w:sz w:val="32"/>
          <w:szCs w:val="32"/>
          <w:shd w:val="clear" w:color="auto" w:fill="FFFFFF"/>
          <w:lang w:val="en-US" w:eastAsia="zh-CN" w:bidi="ar-SA"/>
        </w:rPr>
        <w:t>附件</w:t>
      </w:r>
    </w:p>
    <w:p>
      <w:pPr>
        <w:pStyle w:val="4"/>
        <w:keepNext/>
        <w:keepLines/>
        <w:pageBreakBefore w:val="0"/>
        <w:widowControl w:val="0"/>
        <w:kinsoku/>
        <w:wordWrap/>
        <w:overflowPunct/>
        <w:topLinePunct w:val="0"/>
        <w:autoSpaceDE/>
        <w:autoSpaceDN/>
        <w:bidi w:val="0"/>
        <w:adjustRightInd/>
        <w:snapToGrid/>
        <w:spacing w:after="99" w:afterLines="30"/>
        <w:textAlignment w:val="auto"/>
        <w:rPr>
          <w:rFonts w:hint="eastAsia" w:ascii="黑体" w:hAnsi="黑体" w:eastAsia="黑体" w:cs="黑体"/>
          <w:color w:val="333333"/>
          <w:kern w:val="2"/>
          <w:sz w:val="32"/>
          <w:szCs w:val="32"/>
          <w:shd w:val="clear" w:color="auto" w:fill="FFFFFF"/>
          <w:lang w:val="en-US" w:eastAsia="zh-CN" w:bidi="ar-SA"/>
        </w:rPr>
      </w:pPr>
      <w:r>
        <w:rPr>
          <w:rFonts w:hint="eastAsia" w:ascii="黑体" w:hAnsi="黑体" w:eastAsia="黑体" w:cs="黑体"/>
          <w:color w:val="333333"/>
          <w:kern w:val="2"/>
          <w:sz w:val="32"/>
          <w:szCs w:val="32"/>
          <w:shd w:val="clear" w:color="auto" w:fill="FFFFFF"/>
          <w:lang w:val="en-US" w:eastAsia="zh-CN" w:bidi="ar-SA"/>
        </w:rPr>
        <w:t>促进商贸物流高质量发展工作台账</w:t>
      </w:r>
    </w:p>
    <w:p>
      <w:pPr>
        <w:rPr>
          <w:rFonts w:hint="eastAsia"/>
          <w:lang w:val="en-US" w:eastAsia="zh-CN"/>
        </w:rPr>
      </w:pPr>
    </w:p>
    <w:tbl>
      <w:tblPr>
        <w:tblStyle w:val="12"/>
        <w:tblW w:w="877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70"/>
        <w:gridCol w:w="4982"/>
        <w:gridCol w:w="2119"/>
        <w:gridCol w:w="8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8" w:hRule="atLeast"/>
          <w:tblHeader/>
          <w:jc w:val="center"/>
        </w:trPr>
        <w:tc>
          <w:tcPr>
            <w:tcW w:w="8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00" w:lineRule="exact"/>
              <w:ind w:right="0" w:rightChars="0"/>
              <w:jc w:val="center"/>
              <w:textAlignment w:val="auto"/>
              <w:rPr>
                <w:rFonts w:hint="default" w:ascii="Times New Roman" w:hAnsi="Times New Roman" w:eastAsia="黑体" w:cs="Times New Roman"/>
                <w:color w:val="000000"/>
                <w:kern w:val="0"/>
                <w:sz w:val="24"/>
                <w:szCs w:val="24"/>
                <w:vertAlign w:val="baseline"/>
                <w:lang w:eastAsia="zh-CN"/>
              </w:rPr>
            </w:pPr>
            <w:r>
              <w:rPr>
                <w:rFonts w:hint="default" w:ascii="Times New Roman" w:hAnsi="Times New Roman" w:eastAsia="黑体" w:cs="Times New Roman"/>
                <w:b w:val="0"/>
                <w:bCs/>
                <w:color w:val="000000"/>
                <w:kern w:val="0"/>
                <w:sz w:val="24"/>
                <w:szCs w:val="24"/>
                <w:lang w:val="en-US" w:eastAsia="zh-CN"/>
              </w:rPr>
              <w:t>重点</w:t>
            </w:r>
            <w:r>
              <w:rPr>
                <w:rFonts w:hint="default" w:ascii="Times New Roman" w:hAnsi="Times New Roman" w:eastAsia="黑体" w:cs="Times New Roman"/>
                <w:b w:val="0"/>
                <w:bCs/>
                <w:color w:val="000000"/>
                <w:kern w:val="0"/>
                <w:sz w:val="24"/>
                <w:szCs w:val="24"/>
                <w:lang w:eastAsia="zh-CN"/>
              </w:rPr>
              <w:t>任务</w:t>
            </w:r>
          </w:p>
        </w:tc>
        <w:tc>
          <w:tcPr>
            <w:tcW w:w="4982"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00" w:lineRule="exact"/>
              <w:ind w:right="0" w:rightChars="0"/>
              <w:jc w:val="center"/>
              <w:textAlignment w:val="auto"/>
              <w:rPr>
                <w:rFonts w:hint="default" w:ascii="Times New Roman" w:hAnsi="Times New Roman" w:eastAsia="黑体" w:cs="Times New Roman"/>
                <w:color w:val="000000"/>
                <w:kern w:val="0"/>
                <w:sz w:val="24"/>
                <w:szCs w:val="24"/>
                <w:vertAlign w:val="baseline"/>
                <w:lang w:val="en-US" w:eastAsia="zh-CN"/>
              </w:rPr>
            </w:pPr>
            <w:r>
              <w:rPr>
                <w:rFonts w:hint="default" w:ascii="Times New Roman" w:hAnsi="Times New Roman" w:eastAsia="黑体" w:cs="Times New Roman"/>
                <w:b w:val="0"/>
                <w:bCs/>
                <w:color w:val="000000"/>
                <w:kern w:val="0"/>
                <w:sz w:val="24"/>
                <w:szCs w:val="24"/>
                <w:lang w:eastAsia="zh-CN"/>
              </w:rPr>
              <w:t>主要</w:t>
            </w:r>
            <w:r>
              <w:rPr>
                <w:rFonts w:hint="default" w:ascii="Times New Roman" w:hAnsi="Times New Roman" w:eastAsia="黑体" w:cs="Times New Roman"/>
                <w:b w:val="0"/>
                <w:bCs/>
                <w:color w:val="000000"/>
                <w:kern w:val="0"/>
                <w:sz w:val="24"/>
                <w:szCs w:val="24"/>
                <w:lang w:val="en-US" w:eastAsia="zh-CN"/>
              </w:rPr>
              <w:t>工作举措</w:t>
            </w:r>
          </w:p>
        </w:tc>
        <w:tc>
          <w:tcPr>
            <w:tcW w:w="2119"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00" w:lineRule="exact"/>
              <w:ind w:right="0" w:rightChars="0"/>
              <w:jc w:val="center"/>
              <w:textAlignment w:val="auto"/>
              <w:rPr>
                <w:rFonts w:hint="default" w:ascii="Times New Roman" w:hAnsi="Times New Roman" w:eastAsia="黑体" w:cs="Times New Roman"/>
                <w:b w:val="0"/>
                <w:bCs/>
                <w:color w:val="000000"/>
                <w:kern w:val="0"/>
                <w:sz w:val="24"/>
                <w:szCs w:val="24"/>
                <w:lang w:val="en-US" w:eastAsia="zh-CN"/>
              </w:rPr>
            </w:pPr>
            <w:r>
              <w:rPr>
                <w:rFonts w:hint="default" w:ascii="Times New Roman" w:hAnsi="Times New Roman" w:eastAsia="黑体" w:cs="Times New Roman"/>
                <w:b w:val="0"/>
                <w:bCs/>
                <w:color w:val="000000"/>
                <w:kern w:val="0"/>
                <w:sz w:val="24"/>
                <w:szCs w:val="24"/>
                <w:lang w:val="en-US" w:eastAsia="zh-CN"/>
              </w:rPr>
              <w:t>工作目标及完成时限</w:t>
            </w:r>
          </w:p>
        </w:tc>
        <w:tc>
          <w:tcPr>
            <w:tcW w:w="807"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00" w:lineRule="exact"/>
              <w:ind w:right="0" w:rightChars="0"/>
              <w:jc w:val="center"/>
              <w:textAlignment w:val="auto"/>
              <w:rPr>
                <w:rFonts w:hint="default" w:ascii="Times New Roman" w:hAnsi="Times New Roman" w:eastAsia="黑体" w:cs="Times New Roman"/>
                <w:b w:val="0"/>
                <w:bCs/>
                <w:color w:val="000000"/>
                <w:kern w:val="0"/>
                <w:sz w:val="24"/>
                <w:szCs w:val="24"/>
                <w:lang w:val="en-US" w:eastAsia="zh-CN"/>
              </w:rPr>
            </w:pPr>
            <w:r>
              <w:rPr>
                <w:rFonts w:hint="eastAsia" w:eastAsia="黑体" w:cs="Times New Roman"/>
                <w:b w:val="0"/>
                <w:bCs/>
                <w:color w:val="000000"/>
                <w:kern w:val="0"/>
                <w:sz w:val="24"/>
                <w:szCs w:val="24"/>
                <w:lang w:val="en-US" w:eastAsia="zh-CN"/>
              </w:rPr>
              <w:t>进展情况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41" w:hRule="atLeast"/>
          <w:jc w:val="center"/>
        </w:trPr>
        <w:tc>
          <w:tcPr>
            <w:tcW w:w="870" w:type="dxa"/>
            <w:vMerge w:val="restar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spacing w:line="280" w:lineRule="exact"/>
              <w:textAlignment w:val="auto"/>
              <w:rPr>
                <w:rFonts w:hint="default" w:ascii="Times New Roman" w:hAnsi="Times New Roman" w:cs="Times New Roman"/>
                <w:color w:val="000000"/>
                <w:sz w:val="24"/>
                <w:szCs w:val="24"/>
                <w:lang w:eastAsia="zh-CN"/>
              </w:rPr>
            </w:pPr>
            <w:r>
              <w:rPr>
                <w:rFonts w:hint="default" w:ascii="Times New Roman" w:hAnsi="Times New Roman" w:eastAsia="楷体" w:cs="Times New Roman"/>
                <w:b/>
                <w:i w:val="0"/>
                <w:caps w:val="0"/>
                <w:color w:val="000000"/>
                <w:spacing w:val="0"/>
                <w:sz w:val="24"/>
                <w:szCs w:val="24"/>
                <w:lang w:val="en-US" w:eastAsia="zh-CN"/>
              </w:rPr>
              <w:t>一、</w:t>
            </w:r>
            <w:r>
              <w:rPr>
                <w:rFonts w:hint="default" w:ascii="Times New Roman" w:hAnsi="Times New Roman" w:eastAsia="华文楷体" w:cs="Times New Roman"/>
                <w:b/>
                <w:bCs/>
                <w:color w:val="000000"/>
                <w:sz w:val="24"/>
                <w:szCs w:val="24"/>
                <w:lang w:val="en-US" w:eastAsia="zh-CN"/>
              </w:rPr>
              <w:t>补强补齐配送短板，构建高</w:t>
            </w:r>
            <w:r>
              <w:rPr>
                <w:rFonts w:hint="default" w:ascii="Times New Roman" w:hAnsi="Times New Roman" w:eastAsia="华文楷体" w:cs="Times New Roman"/>
                <w:b/>
                <w:bCs/>
                <w:color w:val="000000"/>
                <w:spacing w:val="-11"/>
                <w:sz w:val="24"/>
                <w:szCs w:val="24"/>
                <w:lang w:val="en-US" w:eastAsia="zh-CN"/>
              </w:rPr>
              <w:t>效配送网络</w:t>
            </w:r>
          </w:p>
        </w:tc>
        <w:tc>
          <w:tcPr>
            <w:tcW w:w="4982"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236" w:firstLineChars="100"/>
              <w:textAlignment w:val="auto"/>
              <w:rPr>
                <w:rFonts w:hint="default" w:ascii="Times New Roman" w:hAnsi="Times New Roman" w:eastAsia="楷体" w:cs="Times New Roman"/>
                <w:color w:val="000000"/>
                <w:sz w:val="24"/>
                <w:szCs w:val="24"/>
                <w:lang w:val="en-US" w:eastAsia="zh-CN"/>
              </w:rPr>
            </w:pPr>
            <w:r>
              <w:rPr>
                <w:rFonts w:hint="eastAsia" w:ascii="仿宋_GB2312" w:hAnsi="仿宋_GB2312" w:eastAsia="仿宋_GB2312" w:cs="仿宋_GB2312"/>
                <w:color w:val="000000"/>
                <w:spacing w:val="-2"/>
                <w:sz w:val="24"/>
                <w:szCs w:val="24"/>
                <w:lang w:val="en-US" w:eastAsia="zh-CN"/>
              </w:rPr>
              <w:t>1.着力优化商贸物流网络布局。加强西安、宝鸡、榆林等节点城市与国家物流枢纽的衔接，提升节点城市的聚集辐射能力（</w:t>
            </w:r>
            <w:r>
              <w:rPr>
                <w:rFonts w:hint="eastAsia" w:ascii="华文楷体" w:hAnsi="华文楷体" w:eastAsia="华文楷体" w:cs="华文楷体"/>
                <w:color w:val="000000"/>
                <w:spacing w:val="-2"/>
                <w:sz w:val="24"/>
                <w:szCs w:val="24"/>
                <w:lang w:val="en-US" w:eastAsia="zh-CN"/>
              </w:rPr>
              <w:t>省发改委、省交通运输厅</w:t>
            </w:r>
            <w:r>
              <w:rPr>
                <w:rFonts w:hint="eastAsia" w:ascii="仿宋_GB2312" w:hAnsi="仿宋_GB2312" w:eastAsia="仿宋_GB2312" w:cs="仿宋_GB2312"/>
                <w:color w:val="000000"/>
                <w:spacing w:val="-2"/>
                <w:sz w:val="24"/>
                <w:szCs w:val="24"/>
                <w:lang w:val="en-US" w:eastAsia="zh-CN"/>
              </w:rPr>
              <w:t>）。统筹推进城市商业设施、物流设施、交通基础设施规划建设和升级改造，优化城乡配送网点布局</w:t>
            </w:r>
            <w:r>
              <w:rPr>
                <w:rFonts w:hint="eastAsia" w:ascii="楷体_GB2312" w:hAnsi="楷体_GB2312" w:eastAsia="楷体_GB2312" w:cs="楷体_GB2312"/>
                <w:color w:val="000000"/>
                <w:spacing w:val="-2"/>
                <w:sz w:val="24"/>
                <w:szCs w:val="24"/>
                <w:lang w:val="en-US" w:eastAsia="zh-CN"/>
              </w:rPr>
              <w:t>（省商务厅、省发改委、省交通运输厅、省住建厅、各市（区）政府）</w:t>
            </w:r>
            <w:r>
              <w:rPr>
                <w:rFonts w:hint="eastAsia" w:ascii="仿宋_GB2312" w:hAnsi="仿宋_GB2312" w:eastAsia="仿宋_GB2312" w:cs="仿宋_GB2312"/>
                <w:color w:val="000000"/>
                <w:spacing w:val="-2"/>
                <w:sz w:val="24"/>
                <w:szCs w:val="24"/>
                <w:lang w:val="en-US" w:eastAsia="zh-CN"/>
              </w:rPr>
              <w:t>。加强县域商业体系建设，</w:t>
            </w:r>
            <w:r>
              <w:rPr>
                <w:rFonts w:hint="eastAsia" w:ascii="仿宋_GB2312" w:hAnsi="仿宋_GB2312" w:eastAsia="仿宋_GB2312" w:cs="仿宋_GB2312"/>
                <w:color w:val="000000"/>
                <w:spacing w:val="-2"/>
                <w:sz w:val="24"/>
                <w:szCs w:val="24"/>
                <w:highlight w:val="none"/>
                <w:shd w:val="clear" w:color="auto" w:fill="FFFFFF"/>
                <w:lang w:val="en-US" w:eastAsia="zh-CN"/>
              </w:rPr>
              <w:t>完善农产品现代流通体系，</w:t>
            </w:r>
            <w:r>
              <w:rPr>
                <w:rFonts w:hint="eastAsia" w:ascii="仿宋_GB2312" w:hAnsi="仿宋_GB2312" w:eastAsia="仿宋_GB2312" w:cs="仿宋_GB2312"/>
                <w:color w:val="000000"/>
                <w:spacing w:val="-2"/>
                <w:sz w:val="24"/>
                <w:szCs w:val="24"/>
                <w:highlight w:val="none"/>
                <w:shd w:val="clear" w:color="auto" w:fill="FFFFFF"/>
              </w:rPr>
              <w:t>畅通工业品下乡和农产品进城双向流通渠道</w:t>
            </w:r>
            <w:r>
              <w:rPr>
                <w:rFonts w:hint="eastAsia" w:ascii="楷体_GB2312" w:hAnsi="楷体_GB2312" w:eastAsia="楷体_GB2312" w:cs="楷体_GB2312"/>
                <w:color w:val="000000"/>
                <w:spacing w:val="-2"/>
                <w:sz w:val="24"/>
                <w:szCs w:val="24"/>
                <w:lang w:val="en-US" w:eastAsia="zh-CN"/>
              </w:rPr>
              <w:t>（省商务厅、各市（区）政府）</w:t>
            </w:r>
            <w:r>
              <w:rPr>
                <w:rFonts w:hint="eastAsia" w:ascii="仿宋_GB2312" w:hAnsi="仿宋_GB2312" w:eastAsia="仿宋_GB2312" w:cs="仿宋_GB2312"/>
                <w:color w:val="000000"/>
                <w:spacing w:val="-2"/>
                <w:sz w:val="24"/>
                <w:szCs w:val="24"/>
                <w:highlight w:val="none"/>
                <w:shd w:val="clear" w:color="auto" w:fill="FFFFFF"/>
                <w:lang w:eastAsia="zh-CN"/>
              </w:rPr>
              <w:t>。</w:t>
            </w:r>
          </w:p>
        </w:tc>
        <w:tc>
          <w:tcPr>
            <w:tcW w:w="2119" w:type="dxa"/>
            <w:tcBorders>
              <w:tl2br w:val="nil"/>
              <w:tr2bl w:val="nil"/>
            </w:tcBorders>
            <w:noWrap w:val="0"/>
            <w:vAlign w:val="center"/>
          </w:tcPr>
          <w:p>
            <w:pPr>
              <w:pStyle w:val="11"/>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right="0" w:rightChars="0"/>
              <w:jc w:val="both"/>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pacing w:val="-3"/>
                <w:sz w:val="24"/>
                <w:szCs w:val="24"/>
                <w:lang w:val="en-US" w:eastAsia="zh-CN"/>
              </w:rPr>
              <w:t>到2025年建成2个国家物流枢纽。</w:t>
            </w:r>
            <w:r>
              <w:rPr>
                <w:rFonts w:hint="eastAsia" w:ascii="仿宋_GB2312" w:hAnsi="仿宋_GB2312" w:eastAsia="仿宋_GB2312" w:cs="仿宋_GB2312"/>
                <w:i w:val="0"/>
                <w:caps w:val="0"/>
                <w:color w:val="000000"/>
                <w:spacing w:val="-3"/>
                <w:sz w:val="24"/>
                <w:szCs w:val="24"/>
                <w:highlight w:val="none"/>
                <w:shd w:val="clear" w:color="auto" w:fill="FFFFFF"/>
                <w:lang w:eastAsia="zh-CN"/>
              </w:rPr>
              <w:t>每年</w:t>
            </w:r>
            <w:r>
              <w:rPr>
                <w:rFonts w:hint="eastAsia" w:ascii="仿宋_GB2312" w:hAnsi="仿宋_GB2312" w:eastAsia="仿宋_GB2312" w:cs="仿宋_GB2312"/>
                <w:i w:val="0"/>
                <w:caps w:val="0"/>
                <w:color w:val="000000"/>
                <w:spacing w:val="-3"/>
                <w:sz w:val="24"/>
                <w:szCs w:val="24"/>
                <w:highlight w:val="none"/>
                <w:shd w:val="clear" w:color="auto" w:fill="FFFFFF"/>
                <w:lang w:val="en-US" w:eastAsia="zh-CN"/>
              </w:rPr>
              <w:t>建设改造县城综合商贸服务中心3</w:t>
            </w:r>
            <w:r>
              <w:rPr>
                <w:rFonts w:hint="eastAsia" w:ascii="仿宋_GB2312" w:hAnsi="仿宋_GB2312" w:eastAsia="仿宋_GB2312" w:cs="仿宋_GB2312"/>
                <w:i w:val="0"/>
                <w:caps w:val="0"/>
                <w:color w:val="000000"/>
                <w:spacing w:val="-3"/>
                <w:sz w:val="24"/>
                <w:szCs w:val="24"/>
                <w:highlight w:val="none"/>
                <w:shd w:val="clear" w:color="auto" w:fill="FFFFFF"/>
                <w:lang w:eastAsia="zh-CN"/>
              </w:rPr>
              <w:t>0个、</w:t>
            </w:r>
            <w:r>
              <w:rPr>
                <w:rFonts w:hint="eastAsia" w:ascii="仿宋_GB2312" w:hAnsi="仿宋_GB2312" w:eastAsia="仿宋_GB2312" w:cs="仿宋_GB2312"/>
                <w:color w:val="000000"/>
                <w:spacing w:val="-3"/>
                <w:sz w:val="24"/>
                <w:szCs w:val="24"/>
                <w:highlight w:val="none"/>
                <w:lang w:val="en-US" w:eastAsia="zh-CN"/>
              </w:rPr>
              <w:t>乡</w:t>
            </w:r>
            <w:r>
              <w:rPr>
                <w:rFonts w:hint="eastAsia" w:ascii="仿宋_GB2312" w:hAnsi="仿宋_GB2312" w:eastAsia="仿宋_GB2312" w:cs="仿宋_GB2312"/>
                <w:color w:val="000000"/>
                <w:spacing w:val="-3"/>
                <w:sz w:val="24"/>
                <w:szCs w:val="24"/>
                <w:highlight w:val="none"/>
              </w:rPr>
              <w:t>镇</w:t>
            </w:r>
            <w:r>
              <w:rPr>
                <w:rFonts w:hint="eastAsia" w:ascii="仿宋_GB2312" w:hAnsi="仿宋_GB2312" w:eastAsia="仿宋_GB2312" w:cs="仿宋_GB2312"/>
                <w:color w:val="000000"/>
                <w:spacing w:val="-3"/>
                <w:sz w:val="24"/>
                <w:szCs w:val="24"/>
                <w:highlight w:val="none"/>
                <w:lang w:val="en-US" w:eastAsia="zh-CN"/>
              </w:rPr>
              <w:t>商贸中心3</w:t>
            </w:r>
            <w:r>
              <w:rPr>
                <w:rFonts w:hint="eastAsia" w:ascii="仿宋_GB2312" w:hAnsi="仿宋_GB2312" w:eastAsia="仿宋_GB2312" w:cs="仿宋_GB2312"/>
                <w:color w:val="000000"/>
                <w:spacing w:val="-3"/>
                <w:sz w:val="24"/>
                <w:szCs w:val="24"/>
                <w:highlight w:val="none"/>
              </w:rPr>
              <w:t>00个</w:t>
            </w:r>
            <w:r>
              <w:rPr>
                <w:rFonts w:hint="eastAsia" w:ascii="仿宋_GB2312" w:hAnsi="仿宋_GB2312" w:eastAsia="仿宋_GB2312" w:cs="仿宋_GB2312"/>
                <w:color w:val="000000"/>
                <w:spacing w:val="-3"/>
                <w:sz w:val="24"/>
                <w:szCs w:val="24"/>
                <w:highlight w:val="none"/>
                <w:lang w:eastAsia="zh-CN"/>
              </w:rPr>
              <w:t>、</w:t>
            </w:r>
            <w:r>
              <w:rPr>
                <w:rFonts w:hint="eastAsia" w:ascii="仿宋_GB2312" w:hAnsi="仿宋_GB2312" w:eastAsia="仿宋_GB2312" w:cs="仿宋_GB2312"/>
                <w:i w:val="0"/>
                <w:caps w:val="0"/>
                <w:color w:val="000000"/>
                <w:spacing w:val="-3"/>
                <w:sz w:val="24"/>
                <w:szCs w:val="24"/>
                <w:highlight w:val="none"/>
                <w:shd w:val="clear" w:color="auto" w:fill="FFFFFF"/>
                <w:lang w:eastAsia="zh-CN"/>
              </w:rPr>
              <w:t>新型乡村</w:t>
            </w:r>
            <w:r>
              <w:rPr>
                <w:rFonts w:hint="eastAsia" w:ascii="仿宋_GB2312" w:hAnsi="仿宋_GB2312" w:eastAsia="仿宋_GB2312" w:cs="仿宋_GB2312"/>
                <w:i w:val="0"/>
                <w:caps w:val="0"/>
                <w:color w:val="000000"/>
                <w:spacing w:val="-3"/>
                <w:sz w:val="24"/>
                <w:szCs w:val="24"/>
                <w:highlight w:val="none"/>
                <w:shd w:val="clear" w:color="auto" w:fill="FFFFFF"/>
                <w:lang w:val="en-US" w:eastAsia="zh-CN"/>
              </w:rPr>
              <w:t>连锁</w:t>
            </w:r>
            <w:r>
              <w:rPr>
                <w:rFonts w:hint="eastAsia" w:ascii="仿宋_GB2312" w:hAnsi="仿宋_GB2312" w:eastAsia="仿宋_GB2312" w:cs="仿宋_GB2312"/>
                <w:i w:val="0"/>
                <w:caps w:val="0"/>
                <w:color w:val="000000"/>
                <w:spacing w:val="-3"/>
                <w:sz w:val="24"/>
                <w:szCs w:val="24"/>
                <w:highlight w:val="none"/>
                <w:shd w:val="clear" w:color="auto" w:fill="FFFFFF"/>
                <w:lang w:eastAsia="zh-CN"/>
              </w:rPr>
              <w:t>便利店</w:t>
            </w:r>
            <w:r>
              <w:rPr>
                <w:rFonts w:hint="eastAsia" w:ascii="仿宋_GB2312" w:hAnsi="仿宋_GB2312" w:eastAsia="仿宋_GB2312" w:cs="仿宋_GB2312"/>
                <w:i w:val="0"/>
                <w:caps w:val="0"/>
                <w:color w:val="000000"/>
                <w:spacing w:val="-3"/>
                <w:sz w:val="24"/>
                <w:szCs w:val="24"/>
                <w:highlight w:val="none"/>
                <w:shd w:val="clear" w:color="auto" w:fill="FFFFFF"/>
                <w:lang w:val="en-US" w:eastAsia="zh-CN"/>
              </w:rPr>
              <w:t>3000家</w:t>
            </w:r>
            <w:r>
              <w:rPr>
                <w:rFonts w:hint="eastAsia" w:ascii="仿宋_GB2312" w:hAnsi="仿宋_GB2312" w:eastAsia="仿宋_GB2312" w:cs="仿宋_GB2312"/>
                <w:color w:val="000000"/>
                <w:spacing w:val="-3"/>
                <w:sz w:val="24"/>
                <w:szCs w:val="24"/>
                <w:highlight w:val="none"/>
                <w:lang w:eastAsia="zh-CN"/>
              </w:rPr>
              <w:t>，年均新增农村网商（店）</w:t>
            </w:r>
            <w:r>
              <w:rPr>
                <w:rFonts w:hint="eastAsia" w:ascii="仿宋_GB2312" w:hAnsi="仿宋_GB2312" w:eastAsia="仿宋_GB2312" w:cs="仿宋_GB2312"/>
                <w:color w:val="000000"/>
                <w:spacing w:val="-3"/>
                <w:sz w:val="24"/>
                <w:szCs w:val="24"/>
                <w:highlight w:val="none"/>
                <w:lang w:val="en-US" w:eastAsia="zh-CN"/>
              </w:rPr>
              <w:t>3万家，</w:t>
            </w:r>
            <w:r>
              <w:rPr>
                <w:rFonts w:hint="eastAsia" w:ascii="仿宋_GB2312" w:hAnsi="仿宋_GB2312" w:eastAsia="仿宋_GB2312" w:cs="仿宋_GB2312"/>
                <w:i w:val="0"/>
                <w:caps w:val="0"/>
                <w:color w:val="000000"/>
                <w:spacing w:val="-3"/>
                <w:sz w:val="24"/>
                <w:szCs w:val="24"/>
                <w:highlight w:val="none"/>
                <w:shd w:val="clear" w:color="auto" w:fill="FFFFFF"/>
                <w:lang w:eastAsia="zh-CN"/>
              </w:rPr>
              <w:t>培育</w:t>
            </w:r>
            <w:r>
              <w:rPr>
                <w:rFonts w:hint="eastAsia" w:ascii="仿宋_GB2312" w:hAnsi="仿宋_GB2312" w:eastAsia="仿宋_GB2312" w:cs="仿宋_GB2312"/>
                <w:i w:val="0"/>
                <w:caps w:val="0"/>
                <w:color w:val="000000"/>
                <w:spacing w:val="-3"/>
                <w:kern w:val="2"/>
                <w:sz w:val="24"/>
                <w:szCs w:val="24"/>
                <w:highlight w:val="none"/>
                <w:shd w:val="clear" w:color="auto" w:fill="FFFFFF"/>
                <w:lang w:val="en-US" w:eastAsia="zh-CN" w:bidi="ar-SA"/>
              </w:rPr>
              <w:t>1-2</w:t>
            </w:r>
            <w:r>
              <w:rPr>
                <w:rFonts w:hint="eastAsia" w:ascii="仿宋_GB2312" w:hAnsi="仿宋_GB2312" w:eastAsia="仿宋_GB2312" w:cs="仿宋_GB2312"/>
                <w:i w:val="0"/>
                <w:caps w:val="0"/>
                <w:color w:val="000000"/>
                <w:spacing w:val="-3"/>
                <w:sz w:val="24"/>
                <w:szCs w:val="24"/>
                <w:highlight w:val="none"/>
                <w:shd w:val="clear" w:color="auto" w:fill="FFFFFF"/>
                <w:lang w:eastAsia="zh-CN"/>
              </w:rPr>
              <w:t>个国家级农产品产地专业市场。</w:t>
            </w:r>
          </w:p>
        </w:tc>
        <w:tc>
          <w:tcPr>
            <w:tcW w:w="807"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spacing w:line="280" w:lineRule="exact"/>
              <w:ind w:right="0" w:rightChars="0"/>
              <w:jc w:val="left"/>
              <w:textAlignment w:val="auto"/>
              <w:rPr>
                <w:rFonts w:hint="default" w:ascii="Times New Roman" w:hAnsi="Times New Roman" w:eastAsia="楷体" w:cs="Times New Roman"/>
                <w:b w:val="0"/>
                <w:bCs w:val="0"/>
                <w:color w:val="000000"/>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9" w:hRule="atLeast"/>
          <w:jc w:val="center"/>
        </w:trPr>
        <w:tc>
          <w:tcPr>
            <w:tcW w:w="870" w:type="dxa"/>
            <w:vMerge w:val="continue"/>
            <w:tcBorders>
              <w:tl2br w:val="nil"/>
              <w:tr2bl w:val="nil"/>
            </w:tcBorders>
            <w:noWrap w:val="0"/>
            <w:vAlign w:val="center"/>
          </w:tcPr>
          <w:p>
            <w:pPr>
              <w:pStyle w:val="6"/>
              <w:keepNext w:val="0"/>
              <w:keepLines w:val="0"/>
              <w:pageBreakBefore w:val="0"/>
              <w:widowControl w:val="0"/>
              <w:numPr>
                <w:ilvl w:val="0"/>
                <w:numId w:val="0"/>
              </w:numPr>
              <w:kinsoku/>
              <w:wordWrap/>
              <w:overflowPunct/>
              <w:topLinePunct w:val="0"/>
              <w:autoSpaceDE/>
              <w:autoSpaceDN/>
              <w:bidi w:val="0"/>
              <w:spacing w:line="280" w:lineRule="exact"/>
              <w:ind w:left="0" w:leftChars="0" w:firstLine="0" w:firstLineChars="0"/>
              <w:textAlignment w:val="auto"/>
              <w:rPr>
                <w:rFonts w:hint="default" w:ascii="Times New Roman" w:hAnsi="Times New Roman" w:cs="Times New Roman"/>
                <w:color w:val="000000"/>
                <w:sz w:val="24"/>
                <w:szCs w:val="24"/>
                <w:lang w:eastAsia="zh-CN"/>
              </w:rPr>
            </w:pPr>
          </w:p>
        </w:tc>
        <w:tc>
          <w:tcPr>
            <w:tcW w:w="4982"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right="0" w:rightChars="0" w:firstLine="234" w:firstLineChars="100"/>
              <w:jc w:val="left"/>
              <w:textAlignment w:val="auto"/>
              <w:rPr>
                <w:rFonts w:hint="default" w:ascii="Times New Roman" w:hAnsi="Times New Roman" w:eastAsia="楷体" w:cs="Times New Roman"/>
                <w:color w:val="000000"/>
                <w:sz w:val="24"/>
                <w:szCs w:val="24"/>
                <w:lang w:val="en-US" w:eastAsia="zh-CN"/>
              </w:rPr>
            </w:pPr>
            <w:r>
              <w:rPr>
                <w:rFonts w:hint="eastAsia" w:ascii="仿宋_GB2312" w:hAnsi="仿宋_GB2312" w:eastAsia="仿宋_GB2312" w:cs="仿宋_GB2312"/>
                <w:color w:val="000000"/>
                <w:spacing w:val="-3"/>
                <w:sz w:val="24"/>
                <w:szCs w:val="24"/>
                <w:lang w:val="en-US" w:eastAsia="zh-CN"/>
              </w:rPr>
              <w:t>2.进一步完善城乡高效配送网络。加强城乡配送网络基础设施建设和现有园区升级改造，促进配送园区与交通干线高效衔接</w:t>
            </w:r>
            <w:r>
              <w:rPr>
                <w:rFonts w:hint="eastAsia" w:ascii="楷体_GB2312" w:hAnsi="楷体_GB2312" w:eastAsia="楷体_GB2312" w:cs="楷体_GB2312"/>
                <w:color w:val="000000"/>
                <w:spacing w:val="-3"/>
                <w:sz w:val="24"/>
                <w:szCs w:val="24"/>
                <w:lang w:val="en-US" w:eastAsia="zh-CN"/>
              </w:rPr>
              <w:t>（省发改委、省交通运输厅、省住建厅）</w:t>
            </w:r>
            <w:r>
              <w:rPr>
                <w:rFonts w:hint="eastAsia" w:ascii="仿宋_GB2312" w:hAnsi="仿宋_GB2312" w:eastAsia="仿宋_GB2312" w:cs="仿宋_GB2312"/>
                <w:color w:val="000000"/>
                <w:spacing w:val="-3"/>
                <w:sz w:val="24"/>
                <w:szCs w:val="24"/>
                <w:lang w:val="en-US" w:eastAsia="zh-CN"/>
              </w:rPr>
              <w:t>。</w:t>
            </w:r>
            <w:r>
              <w:rPr>
                <w:rFonts w:hint="eastAsia" w:ascii="仿宋_GB2312" w:hAnsi="仿宋_GB2312" w:eastAsia="仿宋_GB2312" w:cs="仿宋_GB2312"/>
                <w:bCs/>
                <w:color w:val="000000"/>
                <w:spacing w:val="-3"/>
                <w:sz w:val="24"/>
                <w:szCs w:val="24"/>
              </w:rPr>
              <w:t>支持</w:t>
            </w:r>
            <w:r>
              <w:rPr>
                <w:rFonts w:hint="eastAsia" w:ascii="仿宋_GB2312" w:hAnsi="仿宋_GB2312" w:eastAsia="仿宋_GB2312" w:cs="仿宋_GB2312"/>
                <w:bCs/>
                <w:color w:val="000000"/>
                <w:spacing w:val="-3"/>
                <w:sz w:val="24"/>
                <w:szCs w:val="24"/>
                <w:lang w:val="en-US" w:eastAsia="zh-CN"/>
              </w:rPr>
              <w:t>商贸物流企业建设</w:t>
            </w:r>
            <w:r>
              <w:rPr>
                <w:rFonts w:hint="eastAsia" w:ascii="仿宋_GB2312" w:hAnsi="仿宋_GB2312" w:eastAsia="仿宋_GB2312" w:cs="仿宋_GB2312"/>
                <w:b w:val="0"/>
                <w:i w:val="0"/>
                <w:caps w:val="0"/>
                <w:color w:val="000000"/>
                <w:spacing w:val="-3"/>
                <w:sz w:val="24"/>
                <w:szCs w:val="24"/>
              </w:rPr>
              <w:t>综合物流中心、公共配送中心、末端配送网点</w:t>
            </w:r>
            <w:r>
              <w:rPr>
                <w:rFonts w:hint="eastAsia" w:ascii="仿宋_GB2312" w:hAnsi="仿宋_GB2312" w:eastAsia="仿宋_GB2312" w:cs="仿宋_GB2312"/>
                <w:b w:val="0"/>
                <w:i w:val="0"/>
                <w:caps w:val="0"/>
                <w:color w:val="000000"/>
                <w:spacing w:val="-3"/>
                <w:sz w:val="24"/>
                <w:szCs w:val="24"/>
                <w:lang w:eastAsia="zh-CN"/>
              </w:rPr>
              <w:t>，</w:t>
            </w:r>
            <w:r>
              <w:rPr>
                <w:rFonts w:hint="eastAsia" w:ascii="仿宋_GB2312" w:hAnsi="仿宋_GB2312" w:eastAsia="仿宋_GB2312" w:cs="仿宋_GB2312"/>
                <w:b w:val="0"/>
                <w:i w:val="0"/>
                <w:caps w:val="0"/>
                <w:color w:val="000000"/>
                <w:spacing w:val="-3"/>
                <w:sz w:val="24"/>
                <w:szCs w:val="24"/>
                <w:lang w:val="en-US" w:eastAsia="zh-CN"/>
              </w:rPr>
              <w:t>完善城市配送体系。</w:t>
            </w:r>
            <w:r>
              <w:rPr>
                <w:rFonts w:hint="eastAsia" w:ascii="仿宋_GB2312" w:hAnsi="仿宋_GB2312" w:eastAsia="仿宋_GB2312" w:cs="仿宋_GB2312"/>
                <w:color w:val="000000"/>
                <w:spacing w:val="-3"/>
                <w:sz w:val="24"/>
                <w:szCs w:val="24"/>
                <w:lang w:val="en-US" w:eastAsia="zh-CN"/>
              </w:rPr>
              <w:t>支持县级电商公共服务中心和镇村电商服务站点建设，</w:t>
            </w:r>
            <w:r>
              <w:rPr>
                <w:rFonts w:hint="eastAsia" w:ascii="仿宋_GB2312" w:hAnsi="仿宋_GB2312" w:eastAsia="仿宋_GB2312" w:cs="仿宋_GB2312"/>
                <w:b w:val="0"/>
                <w:i w:val="0"/>
                <w:caps w:val="0"/>
                <w:color w:val="000000"/>
                <w:spacing w:val="-3"/>
                <w:sz w:val="24"/>
                <w:szCs w:val="24"/>
                <w:lang w:val="en-US" w:eastAsia="zh-CN"/>
              </w:rPr>
              <w:t>完善县、乡、村三级</w:t>
            </w:r>
            <w:r>
              <w:rPr>
                <w:rFonts w:hint="eastAsia" w:ascii="仿宋_GB2312" w:hAnsi="仿宋_GB2312" w:eastAsia="仿宋_GB2312" w:cs="仿宋_GB2312"/>
                <w:b w:val="0"/>
                <w:i w:val="0"/>
                <w:caps w:val="0"/>
                <w:color w:val="000000"/>
                <w:spacing w:val="-3"/>
                <w:sz w:val="24"/>
                <w:szCs w:val="24"/>
              </w:rPr>
              <w:t>配送网络</w:t>
            </w:r>
            <w:r>
              <w:rPr>
                <w:rFonts w:hint="eastAsia" w:ascii="楷体_GB2312" w:hAnsi="楷体_GB2312" w:eastAsia="楷体_GB2312" w:cs="楷体_GB2312"/>
                <w:color w:val="000000"/>
                <w:spacing w:val="-2"/>
                <w:sz w:val="24"/>
                <w:szCs w:val="24"/>
                <w:lang w:val="en-US" w:eastAsia="zh-CN"/>
              </w:rPr>
              <w:t>（省商务厅）</w:t>
            </w:r>
            <w:r>
              <w:rPr>
                <w:rFonts w:hint="eastAsia" w:ascii="仿宋_GB2312" w:hAnsi="仿宋_GB2312" w:eastAsia="仿宋_GB2312" w:cs="仿宋_GB2312"/>
                <w:color w:val="000000"/>
                <w:spacing w:val="-3"/>
                <w:sz w:val="24"/>
                <w:szCs w:val="24"/>
                <w:shd w:val="clear" w:color="auto" w:fill="FFFFFF"/>
                <w:lang w:val="en-US" w:eastAsia="zh-CN"/>
              </w:rPr>
              <w:t>。</w:t>
            </w:r>
            <w:r>
              <w:rPr>
                <w:rFonts w:hint="eastAsia" w:ascii="仿宋_GB2312" w:hAnsi="仿宋_GB2312" w:eastAsia="仿宋_GB2312" w:cs="仿宋_GB2312"/>
                <w:color w:val="000000"/>
                <w:spacing w:val="-3"/>
                <w:sz w:val="24"/>
                <w:szCs w:val="24"/>
                <w:lang w:val="en-US" w:eastAsia="zh-CN"/>
              </w:rPr>
              <w:t>实施“快递进村”工程，</w:t>
            </w:r>
            <w:r>
              <w:rPr>
                <w:rFonts w:hint="eastAsia" w:ascii="仿宋_GB2312" w:hAnsi="仿宋_GB2312" w:eastAsia="仿宋_GB2312" w:cs="仿宋_GB2312"/>
                <w:b w:val="0"/>
                <w:bCs w:val="0"/>
                <w:color w:val="000000"/>
                <w:spacing w:val="-3"/>
                <w:sz w:val="24"/>
                <w:szCs w:val="24"/>
                <w:lang w:val="en-US" w:eastAsia="zh-CN"/>
              </w:rPr>
              <w:t>引导各类快递服务企业将快递服务网络与邮政普遍服务、交通运输、供销商贸、传统物流等资源融合发展，推动邮快合作、快快合作、交邮合作、快商合作等模式，提升农村网络深度。重点围绕全省农业</w:t>
            </w:r>
            <w:r>
              <w:rPr>
                <w:rFonts w:hint="eastAsia" w:ascii="仿宋_GB2312" w:hAnsi="仿宋_GB2312" w:eastAsia="仿宋_GB2312" w:cs="仿宋_GB2312"/>
                <w:color w:val="000000"/>
                <w:spacing w:val="-3"/>
                <w:sz w:val="24"/>
                <w:szCs w:val="24"/>
                <w:lang w:val="en-US" w:eastAsia="zh-CN"/>
              </w:rPr>
              <w:t>“3+X”产业布局，</w:t>
            </w:r>
            <w:r>
              <w:rPr>
                <w:rFonts w:hint="eastAsia" w:ascii="仿宋_GB2312" w:hAnsi="仿宋_GB2312" w:eastAsia="仿宋_GB2312" w:cs="仿宋_GB2312"/>
                <w:b w:val="0"/>
                <w:bCs w:val="0"/>
                <w:color w:val="000000"/>
                <w:spacing w:val="-3"/>
                <w:sz w:val="24"/>
                <w:szCs w:val="24"/>
                <w:lang w:val="en-US" w:eastAsia="zh-CN"/>
              </w:rPr>
              <w:t>在果蔬、茶叶、畜产品等特色农产品生产基地，加大村级快递网点、公共揽投站点快递配送点等末端设施建设。</w:t>
            </w:r>
            <w:r>
              <w:rPr>
                <w:rFonts w:hint="eastAsia" w:ascii="楷体_GB2312" w:hAnsi="楷体_GB2312" w:eastAsia="楷体_GB2312" w:cs="楷体_GB2312"/>
                <w:color w:val="000000"/>
                <w:spacing w:val="-3"/>
                <w:sz w:val="24"/>
                <w:szCs w:val="24"/>
                <w:lang w:val="en-US" w:eastAsia="zh-CN"/>
              </w:rPr>
              <w:t>（省邮政管理局、省商务厅、省农业农村厅）</w:t>
            </w:r>
            <w:r>
              <w:rPr>
                <w:rFonts w:hint="eastAsia" w:ascii="仿宋_GB2312" w:hAnsi="仿宋_GB2312" w:eastAsia="仿宋_GB2312" w:cs="仿宋_GB2312"/>
                <w:color w:val="000000"/>
                <w:spacing w:val="-3"/>
                <w:sz w:val="24"/>
                <w:szCs w:val="24"/>
                <w:lang w:val="en-US" w:eastAsia="zh-CN"/>
              </w:rPr>
              <w:t>。</w:t>
            </w:r>
          </w:p>
        </w:tc>
        <w:tc>
          <w:tcPr>
            <w:tcW w:w="2119" w:type="dxa"/>
            <w:tcBorders>
              <w:tl2br w:val="nil"/>
              <w:tr2bl w:val="nil"/>
            </w:tcBorders>
            <w:noWrap w:val="0"/>
            <w:vAlign w:val="center"/>
          </w:tcPr>
          <w:p>
            <w:pPr>
              <w:pStyle w:val="11"/>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right="0" w:rightChars="0"/>
              <w:jc w:val="both"/>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b w:val="0"/>
                <w:bCs/>
                <w:color w:val="000000"/>
                <w:kern w:val="0"/>
                <w:sz w:val="24"/>
                <w:szCs w:val="24"/>
                <w:lang w:val="en-US" w:eastAsia="zh-CN"/>
              </w:rPr>
              <w:t>到2025年末，</w:t>
            </w:r>
            <w:r>
              <w:rPr>
                <w:rFonts w:hint="eastAsia" w:ascii="仿宋_GB2312" w:hAnsi="仿宋_GB2312" w:eastAsia="仿宋_GB2312" w:cs="仿宋_GB2312"/>
                <w:color w:val="000000"/>
                <w:sz w:val="24"/>
                <w:szCs w:val="24"/>
                <w:lang w:val="en-US" w:eastAsia="zh-CN"/>
              </w:rPr>
              <w:t>建成83个县级电商公共服务中心，实现乡镇和中心村电商服务点全覆盖。</w:t>
            </w:r>
            <w:r>
              <w:rPr>
                <w:rFonts w:hint="eastAsia" w:ascii="仿宋_GB2312" w:hAnsi="仿宋_GB2312" w:eastAsia="仿宋_GB2312" w:cs="仿宋_GB2312"/>
                <w:i w:val="0"/>
                <w:caps w:val="0"/>
                <w:color w:val="000000"/>
                <w:spacing w:val="0"/>
                <w:sz w:val="24"/>
                <w:szCs w:val="24"/>
                <w:highlight w:val="none"/>
                <w:shd w:val="clear" w:color="auto" w:fill="FFFFFF"/>
                <w:lang w:val="en-US" w:eastAsia="zh-CN"/>
              </w:rPr>
              <w:t>在具备条件的地区</w:t>
            </w:r>
            <w:r>
              <w:rPr>
                <w:rFonts w:hint="eastAsia" w:ascii="仿宋_GB2312" w:hAnsi="仿宋_GB2312" w:eastAsia="仿宋_GB2312" w:cs="仿宋_GB2312"/>
                <w:i w:val="0"/>
                <w:caps w:val="0"/>
                <w:color w:val="000000"/>
                <w:spacing w:val="0"/>
                <w:sz w:val="24"/>
                <w:szCs w:val="24"/>
                <w:highlight w:val="none"/>
                <w:shd w:val="clear" w:color="auto" w:fill="FFFFFF"/>
                <w:lang w:eastAsia="zh-CN"/>
              </w:rPr>
              <w:t>实现县县有连锁商超和物流配送中心、乡镇有商贸中心</w:t>
            </w:r>
            <w:r>
              <w:rPr>
                <w:rFonts w:hint="eastAsia" w:ascii="仿宋_GB2312" w:hAnsi="仿宋_GB2312" w:eastAsia="仿宋_GB2312" w:cs="仿宋_GB2312"/>
                <w:i w:val="0"/>
                <w:caps w:val="0"/>
                <w:color w:val="000000"/>
                <w:spacing w:val="0"/>
                <w:sz w:val="24"/>
                <w:szCs w:val="24"/>
                <w:highlight w:val="none"/>
                <w:shd w:val="clear" w:color="auto" w:fill="FFFFFF"/>
                <w:lang w:val="en-US" w:eastAsia="zh-CN"/>
              </w:rPr>
              <w:t>和配送点</w:t>
            </w:r>
            <w:r>
              <w:rPr>
                <w:rFonts w:hint="eastAsia" w:ascii="仿宋_GB2312" w:hAnsi="仿宋_GB2312" w:eastAsia="仿宋_GB2312" w:cs="仿宋_GB2312"/>
                <w:i w:val="0"/>
                <w:caps w:val="0"/>
                <w:color w:val="000000"/>
                <w:spacing w:val="0"/>
                <w:sz w:val="24"/>
                <w:szCs w:val="24"/>
                <w:highlight w:val="none"/>
                <w:shd w:val="clear" w:color="auto" w:fill="FFFFFF"/>
                <w:lang w:eastAsia="zh-CN"/>
              </w:rPr>
              <w:t>、村村通快递，经营农产品的公益性市场地市级覆盖率</w:t>
            </w:r>
            <w:r>
              <w:rPr>
                <w:rFonts w:hint="eastAsia" w:ascii="仿宋_GB2312" w:hAnsi="仿宋_GB2312" w:eastAsia="仿宋_GB2312" w:cs="仿宋_GB2312"/>
                <w:i w:val="0"/>
                <w:caps w:val="0"/>
                <w:color w:val="000000"/>
                <w:spacing w:val="0"/>
                <w:sz w:val="24"/>
                <w:szCs w:val="24"/>
                <w:highlight w:val="none"/>
                <w:shd w:val="clear" w:color="auto" w:fill="FFFFFF"/>
                <w:lang w:val="en-US" w:eastAsia="zh-CN"/>
              </w:rPr>
              <w:t>达</w:t>
            </w:r>
            <w:r>
              <w:rPr>
                <w:rFonts w:hint="eastAsia" w:ascii="仿宋_GB2312" w:hAnsi="仿宋_GB2312" w:eastAsia="仿宋_GB2312" w:cs="仿宋_GB2312"/>
                <w:i w:val="0"/>
                <w:caps w:val="0"/>
                <w:color w:val="000000"/>
                <w:spacing w:val="0"/>
                <w:sz w:val="24"/>
                <w:szCs w:val="24"/>
                <w:highlight w:val="none"/>
                <w:shd w:val="clear" w:color="auto" w:fill="FFFFFF"/>
                <w:lang w:eastAsia="zh-CN"/>
              </w:rPr>
              <w:t>到60%。</w:t>
            </w:r>
          </w:p>
        </w:tc>
        <w:tc>
          <w:tcPr>
            <w:tcW w:w="807"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spacing w:line="280" w:lineRule="exact"/>
              <w:ind w:right="0" w:rightChars="0"/>
              <w:jc w:val="left"/>
              <w:textAlignment w:val="auto"/>
              <w:rPr>
                <w:rFonts w:hint="default" w:ascii="Times New Roman" w:hAnsi="Times New Roman" w:eastAsia="楷体" w:cs="Times New Roman"/>
                <w:color w:val="000000"/>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66" w:hRule="atLeast"/>
          <w:jc w:val="center"/>
        </w:trPr>
        <w:tc>
          <w:tcPr>
            <w:tcW w:w="870" w:type="dxa"/>
            <w:vMerge w:val="continue"/>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spacing w:line="280" w:lineRule="exact"/>
              <w:textAlignment w:val="auto"/>
              <w:rPr>
                <w:rFonts w:hint="default" w:ascii="Times New Roman" w:hAnsi="Times New Roman" w:cs="Times New Roman"/>
                <w:color w:val="000000"/>
                <w:sz w:val="24"/>
                <w:szCs w:val="24"/>
                <w:lang w:eastAsia="zh-CN"/>
              </w:rPr>
            </w:pPr>
          </w:p>
        </w:tc>
        <w:tc>
          <w:tcPr>
            <w:tcW w:w="4982"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spacing w:line="280" w:lineRule="exact"/>
              <w:ind w:right="0" w:rightChars="0" w:firstLine="240" w:firstLineChars="100"/>
              <w:jc w:val="left"/>
              <w:textAlignment w:val="auto"/>
              <w:rPr>
                <w:rFonts w:hint="default" w:ascii="Times New Roman" w:hAnsi="Times New Roman" w:eastAsia="楷体" w:cs="Times New Roman"/>
                <w:color w:val="000000"/>
                <w:sz w:val="24"/>
                <w:szCs w:val="24"/>
                <w:lang w:val="en-US" w:eastAsia="zh-CN"/>
              </w:rPr>
            </w:pPr>
            <w:r>
              <w:rPr>
                <w:rFonts w:hint="eastAsia" w:ascii="仿宋_GB2312" w:hAnsi="仿宋_GB2312" w:eastAsia="仿宋_GB2312" w:cs="仿宋_GB2312"/>
                <w:color w:val="000000"/>
                <w:sz w:val="24"/>
                <w:szCs w:val="24"/>
                <w:lang w:val="en-US" w:eastAsia="zh-CN"/>
              </w:rPr>
              <w:t>3.加快推进冷链物流发展。</w:t>
            </w:r>
            <w:r>
              <w:rPr>
                <w:rFonts w:hint="eastAsia" w:ascii="仿宋_GB2312" w:hAnsi="仿宋_GB2312" w:eastAsia="仿宋_GB2312" w:cs="仿宋_GB2312"/>
                <w:color w:val="000000"/>
                <w:sz w:val="24"/>
                <w:szCs w:val="24"/>
              </w:rPr>
              <w:t>积极申报国家骨干冷链物流基地。在宝鸡入选国家首批骨干物流基地基础上，积极支持西安、延安和其他符合条件的城市继续申报国家骨干冷链物流基地</w:t>
            </w:r>
            <w:r>
              <w:rPr>
                <w:rFonts w:hint="eastAsia" w:ascii="楷体_GB2312" w:hAnsi="楷体_GB2312" w:eastAsia="楷体_GB2312" w:cs="楷体_GB2312"/>
                <w:color w:val="000000"/>
                <w:sz w:val="24"/>
                <w:szCs w:val="24"/>
                <w:lang w:eastAsia="zh-CN"/>
              </w:rPr>
              <w:t>（</w:t>
            </w:r>
            <w:r>
              <w:rPr>
                <w:rFonts w:hint="eastAsia" w:ascii="楷体_GB2312" w:hAnsi="楷体_GB2312" w:eastAsia="楷体_GB2312" w:cs="楷体_GB2312"/>
                <w:color w:val="000000"/>
                <w:sz w:val="24"/>
                <w:szCs w:val="24"/>
                <w:lang w:val="en-US" w:eastAsia="zh-CN"/>
              </w:rPr>
              <w:t>省发改委</w:t>
            </w:r>
            <w:r>
              <w:rPr>
                <w:rFonts w:hint="eastAsia" w:ascii="楷体_GB2312" w:hAnsi="楷体_GB2312" w:eastAsia="楷体_GB2312" w:cs="楷体_GB2312"/>
                <w:color w:val="000000"/>
                <w:sz w:val="24"/>
                <w:szCs w:val="24"/>
                <w:lang w:eastAsia="zh-CN"/>
              </w:rPr>
              <w:t>）</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大力</w:t>
            </w:r>
            <w:r>
              <w:rPr>
                <w:rFonts w:hint="eastAsia" w:ascii="仿宋_GB2312" w:hAnsi="仿宋_GB2312" w:eastAsia="仿宋_GB2312" w:cs="仿宋_GB2312"/>
                <w:color w:val="000000"/>
                <w:sz w:val="24"/>
                <w:szCs w:val="24"/>
              </w:rPr>
              <w:t>发展肉类</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果蔬、乳制品和药品</w:t>
            </w:r>
            <w:r>
              <w:rPr>
                <w:rFonts w:hint="eastAsia" w:ascii="仿宋_GB2312" w:hAnsi="仿宋_GB2312" w:eastAsia="仿宋_GB2312" w:cs="仿宋_GB2312"/>
                <w:color w:val="000000"/>
                <w:sz w:val="24"/>
                <w:szCs w:val="24"/>
              </w:rPr>
              <w:t>冷链物流。</w:t>
            </w:r>
            <w:r>
              <w:rPr>
                <w:rFonts w:hint="eastAsia" w:ascii="仿宋_GB2312" w:hAnsi="仿宋_GB2312" w:eastAsia="仿宋_GB2312" w:cs="仿宋_GB2312"/>
                <w:color w:val="000000"/>
                <w:sz w:val="24"/>
                <w:szCs w:val="24"/>
                <w:lang w:val="en-US" w:eastAsia="zh-CN"/>
              </w:rPr>
              <w:t>支持在产地</w:t>
            </w:r>
            <w:r>
              <w:rPr>
                <w:rFonts w:hint="eastAsia" w:ascii="仿宋_GB2312" w:hAnsi="仿宋_GB2312" w:eastAsia="仿宋_GB2312" w:cs="仿宋_GB2312"/>
                <w:color w:val="000000"/>
                <w:sz w:val="24"/>
                <w:szCs w:val="24"/>
              </w:rPr>
              <w:t>建设具备集中采购、低温加工、跨区域配送能力的配送中心和中转保鲜库</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大型生产预冷中心</w:t>
            </w:r>
            <w:r>
              <w:rPr>
                <w:rFonts w:hint="eastAsia" w:ascii="仿宋_GB2312" w:hAnsi="仿宋_GB2312" w:eastAsia="仿宋_GB2312" w:cs="仿宋_GB2312"/>
                <w:color w:val="000000"/>
                <w:sz w:val="24"/>
                <w:szCs w:val="24"/>
                <w:lang w:val="en-US" w:eastAsia="zh-CN"/>
              </w:rPr>
              <w:t>等。</w:t>
            </w:r>
            <w:r>
              <w:rPr>
                <w:rFonts w:hint="eastAsia" w:ascii="仿宋_GB2312" w:hAnsi="仿宋_GB2312" w:eastAsia="仿宋_GB2312" w:cs="仿宋_GB2312"/>
                <w:color w:val="000000"/>
                <w:sz w:val="24"/>
                <w:szCs w:val="24"/>
              </w:rPr>
              <w:t>强化</w:t>
            </w:r>
            <w:r>
              <w:rPr>
                <w:rFonts w:hint="eastAsia" w:ascii="仿宋_GB2312" w:hAnsi="仿宋_GB2312" w:eastAsia="仿宋_GB2312" w:cs="仿宋_GB2312"/>
                <w:color w:val="000000"/>
                <w:sz w:val="24"/>
                <w:szCs w:val="24"/>
                <w:lang w:val="en-US" w:eastAsia="zh-CN"/>
              </w:rPr>
              <w:t>食品</w:t>
            </w:r>
            <w:r>
              <w:rPr>
                <w:rFonts w:hint="eastAsia" w:ascii="仿宋_GB2312" w:hAnsi="仿宋_GB2312" w:eastAsia="仿宋_GB2312" w:cs="仿宋_GB2312"/>
                <w:color w:val="000000"/>
                <w:sz w:val="24"/>
                <w:szCs w:val="24"/>
              </w:rPr>
              <w:t>药品冷链物流配送全程动态监管，实现质量可控、可追溯</w:t>
            </w:r>
            <w:r>
              <w:rPr>
                <w:rFonts w:hint="eastAsia" w:ascii="楷体_GB2312" w:hAnsi="楷体_GB2312" w:eastAsia="楷体_GB2312" w:cs="楷体_GB2312"/>
                <w:color w:val="000000"/>
                <w:sz w:val="24"/>
                <w:szCs w:val="24"/>
                <w:lang w:eastAsia="zh-CN"/>
              </w:rPr>
              <w:t>（</w:t>
            </w:r>
            <w:r>
              <w:rPr>
                <w:rFonts w:hint="eastAsia" w:ascii="楷体_GB2312" w:hAnsi="楷体_GB2312" w:eastAsia="楷体_GB2312" w:cs="楷体_GB2312"/>
                <w:color w:val="000000"/>
                <w:sz w:val="24"/>
                <w:szCs w:val="24"/>
                <w:lang w:val="en-US" w:eastAsia="zh-CN"/>
              </w:rPr>
              <w:t>省发改委、省商务厅、省市场监管局、省农业农村厅</w:t>
            </w:r>
            <w:r>
              <w:rPr>
                <w:rFonts w:hint="eastAsia" w:ascii="楷体_GB2312" w:hAnsi="楷体_GB2312" w:eastAsia="楷体_GB2312" w:cs="楷体_GB2312"/>
                <w:color w:val="000000"/>
                <w:sz w:val="24"/>
                <w:szCs w:val="24"/>
                <w:lang w:eastAsia="zh-CN"/>
              </w:rPr>
              <w:t>）</w:t>
            </w:r>
            <w:r>
              <w:rPr>
                <w:rFonts w:hint="eastAsia" w:ascii="仿宋_GB2312" w:hAnsi="仿宋_GB2312" w:eastAsia="仿宋_GB2312" w:cs="仿宋_GB2312"/>
                <w:color w:val="000000"/>
                <w:sz w:val="24"/>
                <w:szCs w:val="24"/>
              </w:rPr>
              <w:t>。</w:t>
            </w:r>
          </w:p>
        </w:tc>
        <w:tc>
          <w:tcPr>
            <w:tcW w:w="2119"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spacing w:line="280" w:lineRule="exact"/>
              <w:ind w:right="0" w:rightChars="0"/>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争取在</w:t>
            </w:r>
            <w:r>
              <w:rPr>
                <w:rFonts w:hint="eastAsia" w:ascii="仿宋_GB2312" w:hAnsi="仿宋_GB2312" w:eastAsia="仿宋_GB2312" w:cs="仿宋_GB2312"/>
                <w:color w:val="000000"/>
                <w:sz w:val="24"/>
                <w:szCs w:val="24"/>
                <w:lang w:val="en-US" w:eastAsia="zh-CN"/>
              </w:rPr>
              <w:t>2025年底建成3</w:t>
            </w:r>
            <w:r>
              <w:rPr>
                <w:rFonts w:hint="eastAsia" w:ascii="仿宋_GB2312" w:hAnsi="仿宋_GB2312" w:eastAsia="仿宋_GB2312" w:cs="仿宋_GB2312"/>
                <w:color w:val="000000"/>
                <w:sz w:val="24"/>
                <w:szCs w:val="24"/>
              </w:rPr>
              <w:t>个国家骨干冷链物流基地。</w:t>
            </w:r>
          </w:p>
          <w:p>
            <w:pPr>
              <w:keepNext w:val="0"/>
              <w:keepLines w:val="0"/>
              <w:pageBreakBefore w:val="0"/>
              <w:widowControl w:val="0"/>
              <w:numPr>
                <w:ilvl w:val="0"/>
                <w:numId w:val="0"/>
              </w:numPr>
              <w:kinsoku/>
              <w:wordWrap/>
              <w:overflowPunct/>
              <w:topLinePunct w:val="0"/>
              <w:autoSpaceDE/>
              <w:autoSpaceDN/>
              <w:bidi w:val="0"/>
              <w:spacing w:line="280" w:lineRule="exact"/>
              <w:textAlignment w:val="auto"/>
              <w:rPr>
                <w:rFonts w:hint="eastAsia" w:ascii="仿宋_GB2312" w:hAnsi="仿宋_GB2312" w:eastAsia="仿宋_GB2312" w:cs="仿宋_GB2312"/>
                <w:b w:val="0"/>
                <w:bCs/>
                <w:color w:val="000000"/>
                <w:kern w:val="0"/>
                <w:sz w:val="24"/>
                <w:szCs w:val="24"/>
                <w:lang w:val="en-US" w:eastAsia="zh-CN"/>
              </w:rPr>
            </w:pPr>
            <w:r>
              <w:rPr>
                <w:rFonts w:hint="eastAsia" w:ascii="仿宋_GB2312" w:hAnsi="仿宋_GB2312" w:eastAsia="仿宋_GB2312" w:cs="仿宋_GB2312"/>
                <w:color w:val="000000"/>
                <w:sz w:val="24"/>
                <w:szCs w:val="24"/>
                <w:lang w:val="en-US" w:eastAsia="zh-CN"/>
              </w:rPr>
              <w:t>建成</w:t>
            </w:r>
            <w:r>
              <w:rPr>
                <w:rFonts w:hint="eastAsia" w:ascii="仿宋_GB2312" w:hAnsi="仿宋_GB2312" w:eastAsia="仿宋_GB2312" w:cs="仿宋_GB2312"/>
                <w:color w:val="000000"/>
                <w:sz w:val="24"/>
                <w:szCs w:val="24"/>
              </w:rPr>
              <w:t>22产地农产品批发市场和低温储藏保鲜设施</w:t>
            </w:r>
            <w:r>
              <w:rPr>
                <w:rFonts w:hint="eastAsia" w:ascii="仿宋_GB2312" w:hAnsi="仿宋_GB2312" w:eastAsia="仿宋_GB2312" w:cs="仿宋_GB2312"/>
                <w:color w:val="000000"/>
                <w:sz w:val="24"/>
                <w:szCs w:val="24"/>
                <w:lang w:eastAsia="zh-CN"/>
              </w:rPr>
              <w:t>。</w:t>
            </w:r>
          </w:p>
        </w:tc>
        <w:tc>
          <w:tcPr>
            <w:tcW w:w="807"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spacing w:line="280" w:lineRule="exact"/>
              <w:ind w:right="0" w:rightChars="0"/>
              <w:jc w:val="left"/>
              <w:textAlignment w:val="auto"/>
              <w:rPr>
                <w:rFonts w:hint="default" w:ascii="Times New Roman" w:hAnsi="Times New Roman" w:eastAsia="华文楷体" w:cs="Times New Roman"/>
                <w:color w:val="000000"/>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67" w:hRule="atLeast"/>
          <w:jc w:val="center"/>
        </w:trPr>
        <w:tc>
          <w:tcPr>
            <w:tcW w:w="870" w:type="dxa"/>
            <w:vMerge w:val="restar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spacing w:line="280" w:lineRule="exact"/>
              <w:textAlignment w:val="auto"/>
              <w:rPr>
                <w:rFonts w:hint="default" w:ascii="Times New Roman" w:hAnsi="Times New Roman" w:eastAsia="楷体" w:cs="Times New Roman"/>
                <w:b/>
                <w:i w:val="0"/>
                <w:caps w:val="0"/>
                <w:color w:val="000000"/>
                <w:spacing w:val="0"/>
                <w:sz w:val="24"/>
                <w:szCs w:val="24"/>
                <w:lang w:val="en-US" w:eastAsia="zh-CN"/>
              </w:rPr>
            </w:pPr>
            <w:r>
              <w:rPr>
                <w:rFonts w:hint="default" w:ascii="Times New Roman" w:hAnsi="Times New Roman" w:eastAsia="华文楷体" w:cs="Times New Roman"/>
                <w:color w:val="000000"/>
                <w:sz w:val="24"/>
                <w:szCs w:val="24"/>
                <w:lang w:val="en-US" w:eastAsia="zh-CN"/>
              </w:rPr>
              <w:t>二</w:t>
            </w:r>
            <w:r>
              <w:rPr>
                <w:rFonts w:hint="default" w:ascii="Times New Roman" w:hAnsi="Times New Roman" w:eastAsia="华文楷体" w:cs="Times New Roman"/>
                <w:b/>
                <w:bCs/>
                <w:color w:val="000000"/>
                <w:sz w:val="24"/>
                <w:szCs w:val="24"/>
                <w:lang w:val="en-US" w:eastAsia="zh-CN"/>
              </w:rPr>
              <w:t>、推广应用新技术，提升物流服务水平</w:t>
            </w:r>
          </w:p>
        </w:tc>
        <w:tc>
          <w:tcPr>
            <w:tcW w:w="4982"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right="0" w:rightChars="0" w:firstLine="240" w:firstLineChars="100"/>
              <w:jc w:val="left"/>
              <w:textAlignment w:val="auto"/>
              <w:rPr>
                <w:rFonts w:hint="default" w:ascii="Times New Roman" w:hAnsi="Times New Roman" w:eastAsia="楷体" w:cs="Times New Roman"/>
                <w:color w:val="000000"/>
                <w:sz w:val="24"/>
                <w:szCs w:val="24"/>
                <w:lang w:val="en-US" w:eastAsia="zh-CN"/>
              </w:rPr>
            </w:pPr>
            <w:r>
              <w:rPr>
                <w:rFonts w:hint="eastAsia" w:ascii="仿宋_GB2312" w:hAnsi="仿宋_GB2312" w:eastAsia="仿宋_GB2312" w:cs="仿宋_GB2312"/>
                <w:b w:val="0"/>
                <w:bCs/>
                <w:color w:val="000000"/>
                <w:kern w:val="0"/>
                <w:sz w:val="24"/>
                <w:szCs w:val="24"/>
                <w:lang w:val="en-US" w:eastAsia="zh-CN"/>
              </w:rPr>
              <w:t>4.推进物流标准化。鼓励和支持商贸物流企业</w:t>
            </w:r>
            <w:r>
              <w:rPr>
                <w:rFonts w:hint="eastAsia" w:ascii="仿宋_GB2312" w:hAnsi="仿宋_GB2312" w:eastAsia="仿宋_GB2312" w:cs="仿宋_GB2312"/>
                <w:snapToGrid/>
                <w:color w:val="000000"/>
                <w:sz w:val="24"/>
                <w:szCs w:val="24"/>
              </w:rPr>
              <w:t>围绕标准托盘（含周转箱）及其循环共用进行的相关物流设施设备更新改造</w:t>
            </w:r>
            <w:r>
              <w:rPr>
                <w:rFonts w:hint="eastAsia" w:ascii="仿宋_GB2312" w:hAnsi="仿宋_GB2312" w:eastAsia="仿宋_GB2312" w:cs="仿宋_GB2312"/>
                <w:snapToGrid/>
                <w:color w:val="000000"/>
                <w:sz w:val="24"/>
                <w:szCs w:val="24"/>
                <w:lang w:eastAsia="zh-CN"/>
              </w:rPr>
              <w:t>，</w:t>
            </w:r>
            <w:r>
              <w:rPr>
                <w:rFonts w:hint="eastAsia" w:ascii="仿宋_GB2312" w:hAnsi="仿宋_GB2312" w:eastAsia="仿宋_GB2312" w:cs="仿宋_GB2312"/>
                <w:b w:val="0"/>
                <w:bCs/>
                <w:color w:val="000000"/>
                <w:kern w:val="0"/>
                <w:sz w:val="24"/>
                <w:szCs w:val="24"/>
                <w:lang w:val="en-US" w:eastAsia="zh-CN"/>
              </w:rPr>
              <w:t>提升标准托盘使用率和带托运输率，促进物流配送提质增效</w:t>
            </w:r>
            <w:r>
              <w:rPr>
                <w:rFonts w:hint="eastAsia" w:ascii="楷体_GB2312" w:hAnsi="楷体_GB2312" w:eastAsia="楷体_GB2312" w:cs="楷体_GB2312"/>
                <w:b w:val="0"/>
                <w:bCs/>
                <w:color w:val="000000"/>
                <w:kern w:val="0"/>
                <w:sz w:val="24"/>
                <w:szCs w:val="24"/>
                <w:lang w:val="en-US" w:eastAsia="zh-CN"/>
              </w:rPr>
              <w:t>（省商务厅）</w:t>
            </w:r>
            <w:r>
              <w:rPr>
                <w:rFonts w:hint="eastAsia" w:ascii="仿宋_GB2312" w:hAnsi="仿宋_GB2312" w:eastAsia="仿宋_GB2312" w:cs="仿宋_GB2312"/>
                <w:b w:val="0"/>
                <w:bCs/>
                <w:color w:val="000000"/>
                <w:kern w:val="0"/>
                <w:sz w:val="24"/>
                <w:szCs w:val="24"/>
                <w:lang w:val="en-US" w:eastAsia="zh-CN"/>
              </w:rPr>
              <w:t>。发挥省级物流行业组织作用，开展物流标准修订和推广宣传工作，支持、指导全省推进商贸物流标准化工作，推荐标准化工作成绩突出的商贸物流企业及个人参与我省标准化工作表彰和奖励</w:t>
            </w:r>
            <w:r>
              <w:rPr>
                <w:rFonts w:hint="eastAsia" w:ascii="楷体_GB2312" w:hAnsi="楷体_GB2312" w:eastAsia="楷体_GB2312" w:cs="楷体_GB2312"/>
                <w:b w:val="0"/>
                <w:bCs/>
                <w:color w:val="000000"/>
                <w:kern w:val="0"/>
                <w:sz w:val="24"/>
                <w:szCs w:val="24"/>
                <w:lang w:val="en-US" w:eastAsia="zh-CN"/>
              </w:rPr>
              <w:t>（省商务厅、省市场监管局）</w:t>
            </w:r>
            <w:r>
              <w:rPr>
                <w:rFonts w:hint="eastAsia" w:ascii="仿宋_GB2312" w:hAnsi="仿宋_GB2312" w:eastAsia="仿宋_GB2312" w:cs="仿宋_GB2312"/>
                <w:b w:val="0"/>
                <w:bCs/>
                <w:color w:val="000000"/>
                <w:kern w:val="0"/>
                <w:sz w:val="24"/>
                <w:szCs w:val="24"/>
                <w:lang w:val="en-US" w:eastAsia="zh-CN"/>
              </w:rPr>
              <w:t>。</w:t>
            </w:r>
          </w:p>
        </w:tc>
        <w:tc>
          <w:tcPr>
            <w:tcW w:w="2119"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到2025年商贸物流标准化托盘使用率和带托运输率分别提高10个百分点。</w:t>
            </w:r>
          </w:p>
        </w:tc>
        <w:tc>
          <w:tcPr>
            <w:tcW w:w="807"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spacing w:line="280" w:lineRule="exact"/>
              <w:ind w:right="0" w:rightChars="0"/>
              <w:jc w:val="left"/>
              <w:textAlignment w:val="auto"/>
              <w:rPr>
                <w:rFonts w:hint="default" w:ascii="Times New Roman" w:hAnsi="Times New Roman" w:eastAsia="华文楷体" w:cs="Times New Roman"/>
                <w:color w:val="000000"/>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3" w:hRule="atLeast"/>
          <w:jc w:val="center"/>
        </w:trPr>
        <w:tc>
          <w:tcPr>
            <w:tcW w:w="870" w:type="dxa"/>
            <w:vMerge w:val="continue"/>
            <w:tcBorders>
              <w:tl2br w:val="nil"/>
              <w:tr2bl w:val="nil"/>
            </w:tcBorders>
            <w:noWrap w:val="0"/>
            <w:vAlign w:val="center"/>
          </w:tcPr>
          <w:p>
            <w:pPr>
              <w:pStyle w:val="6"/>
              <w:keepNext w:val="0"/>
              <w:keepLines w:val="0"/>
              <w:pageBreakBefore w:val="0"/>
              <w:widowControl w:val="0"/>
              <w:numPr>
                <w:ilvl w:val="0"/>
                <w:numId w:val="0"/>
              </w:numPr>
              <w:kinsoku/>
              <w:wordWrap/>
              <w:overflowPunct/>
              <w:topLinePunct w:val="0"/>
              <w:autoSpaceDE/>
              <w:autoSpaceDN/>
              <w:bidi w:val="0"/>
              <w:spacing w:line="280" w:lineRule="exact"/>
              <w:ind w:left="0" w:leftChars="0" w:firstLine="0" w:firstLineChars="0"/>
              <w:textAlignment w:val="auto"/>
              <w:rPr>
                <w:rFonts w:hint="default" w:ascii="Times New Roman" w:hAnsi="Times New Roman" w:eastAsia="楷体" w:cs="Times New Roman"/>
                <w:b/>
                <w:i w:val="0"/>
                <w:caps w:val="0"/>
                <w:color w:val="000000"/>
                <w:spacing w:val="0"/>
                <w:sz w:val="24"/>
                <w:szCs w:val="24"/>
                <w:lang w:val="en-US" w:eastAsia="zh-CN"/>
              </w:rPr>
            </w:pPr>
          </w:p>
        </w:tc>
        <w:tc>
          <w:tcPr>
            <w:tcW w:w="4982" w:type="dxa"/>
            <w:tcBorders>
              <w:tl2br w:val="nil"/>
              <w:tr2bl w:val="nil"/>
            </w:tcBorders>
            <w:noWrap w:val="0"/>
            <w:vAlign w:val="center"/>
          </w:tcPr>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firstLine="240" w:firstLineChars="100"/>
              <w:textAlignment w:val="auto"/>
              <w:rPr>
                <w:rFonts w:hint="default" w:ascii="Times New Roman" w:hAnsi="Times New Roman" w:eastAsia="楷体" w:cs="Times New Roman"/>
                <w:color w:val="000000"/>
                <w:sz w:val="24"/>
                <w:szCs w:val="24"/>
                <w:lang w:val="en-US" w:eastAsia="zh-CN"/>
              </w:rPr>
            </w:pPr>
            <w:r>
              <w:rPr>
                <w:rFonts w:hint="eastAsia" w:ascii="仿宋_GB2312" w:hAnsi="仿宋_GB2312" w:eastAsia="仿宋_GB2312" w:cs="仿宋_GB2312"/>
                <w:color w:val="000000"/>
                <w:sz w:val="24"/>
                <w:szCs w:val="24"/>
                <w:lang w:val="en-US" w:eastAsia="zh-CN"/>
              </w:rPr>
              <w:t>5.推广应用现代信息技术。支持商贸物流企业利用</w:t>
            </w:r>
            <w:r>
              <w:rPr>
                <w:rFonts w:hint="eastAsia" w:ascii="仿宋_GB2312" w:hAnsi="仿宋_GB2312" w:eastAsia="仿宋_GB2312" w:cs="仿宋_GB2312"/>
                <w:b w:val="0"/>
                <w:bCs w:val="0"/>
                <w:color w:val="000000"/>
                <w:sz w:val="24"/>
                <w:szCs w:val="24"/>
                <w:lang w:val="en-US" w:eastAsia="zh-CN"/>
              </w:rPr>
              <w:t>5G、大数据、人工智能等现代信息技术</w:t>
            </w:r>
            <w:r>
              <w:rPr>
                <w:rFonts w:hint="eastAsia" w:ascii="仿宋_GB2312" w:hAnsi="仿宋_GB2312" w:eastAsia="仿宋_GB2312" w:cs="仿宋_GB2312"/>
                <w:color w:val="000000"/>
                <w:spacing w:val="8"/>
                <w:sz w:val="24"/>
                <w:szCs w:val="24"/>
                <w:shd w:val="clear" w:color="auto" w:fill="FFFFFF"/>
                <w:lang w:val="en-US" w:eastAsia="zh-CN"/>
              </w:rPr>
              <w:t>和装备，对物流配送仓储、分拨、配送等环节进行数字化、智能化升级改造，</w:t>
            </w:r>
            <w:r>
              <w:rPr>
                <w:rFonts w:hint="eastAsia" w:ascii="仿宋_GB2312" w:hAnsi="仿宋_GB2312" w:eastAsia="仿宋_GB2312" w:cs="仿宋_GB2312"/>
                <w:color w:val="000000"/>
                <w:sz w:val="24"/>
                <w:szCs w:val="24"/>
              </w:rPr>
              <w:t>打造智慧物流园区、数字仓库等设施网络，丰富人、车、货、运、场应用场景业态模式创新</w:t>
            </w:r>
            <w:r>
              <w:rPr>
                <w:rFonts w:hint="eastAsia" w:ascii="楷体_GB2312" w:hAnsi="楷体_GB2312" w:eastAsia="楷体_GB2312" w:cs="楷体_GB2312"/>
                <w:b w:val="0"/>
                <w:bCs/>
                <w:color w:val="000000"/>
                <w:kern w:val="0"/>
                <w:sz w:val="24"/>
                <w:szCs w:val="24"/>
                <w:lang w:val="en-US" w:eastAsia="zh-CN" w:bidi="ar-SA"/>
              </w:rPr>
              <w:t>（省发改委、省商务厅）</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b w:val="0"/>
                <w:bCs w:val="0"/>
                <w:color w:val="000000"/>
                <w:sz w:val="24"/>
                <w:szCs w:val="24"/>
                <w:lang w:val="en-US" w:eastAsia="zh-CN"/>
              </w:rPr>
              <w:t>支持商贸物流企业</w:t>
            </w:r>
            <w:r>
              <w:rPr>
                <w:rFonts w:hint="eastAsia" w:ascii="仿宋_GB2312" w:hAnsi="仿宋_GB2312" w:eastAsia="仿宋_GB2312" w:cs="仿宋_GB2312"/>
                <w:b w:val="0"/>
                <w:i w:val="0"/>
                <w:caps w:val="0"/>
                <w:color w:val="000000"/>
                <w:spacing w:val="0"/>
                <w:sz w:val="24"/>
                <w:szCs w:val="24"/>
              </w:rPr>
              <w:t>利用社区网点和物业资源，建设</w:t>
            </w:r>
            <w:r>
              <w:rPr>
                <w:rFonts w:hint="eastAsia" w:ascii="仿宋_GB2312" w:hAnsi="仿宋_GB2312" w:eastAsia="仿宋_GB2312" w:cs="仿宋_GB2312"/>
                <w:b w:val="0"/>
                <w:i w:val="0"/>
                <w:caps w:val="0"/>
                <w:color w:val="000000"/>
                <w:spacing w:val="0"/>
                <w:sz w:val="24"/>
                <w:szCs w:val="24"/>
                <w:lang w:val="en-US" w:eastAsia="zh-CN"/>
              </w:rPr>
              <w:t>自助提货柜、智能</w:t>
            </w:r>
            <w:r>
              <w:rPr>
                <w:rFonts w:hint="eastAsia" w:ascii="仿宋_GB2312" w:hAnsi="仿宋_GB2312" w:eastAsia="仿宋_GB2312" w:cs="仿宋_GB2312"/>
                <w:b w:val="0"/>
                <w:i w:val="0"/>
                <w:caps w:val="0"/>
                <w:color w:val="000000"/>
                <w:spacing w:val="0"/>
                <w:sz w:val="24"/>
                <w:szCs w:val="24"/>
              </w:rPr>
              <w:t>生鲜柜</w:t>
            </w:r>
            <w:r>
              <w:rPr>
                <w:rFonts w:hint="eastAsia" w:ascii="仿宋_GB2312" w:hAnsi="仿宋_GB2312" w:eastAsia="仿宋_GB2312" w:cs="仿宋_GB2312"/>
                <w:b w:val="0"/>
                <w:i w:val="0"/>
                <w:caps w:val="0"/>
                <w:color w:val="000000"/>
                <w:spacing w:val="0"/>
                <w:sz w:val="24"/>
                <w:szCs w:val="24"/>
                <w:lang w:eastAsia="zh-CN"/>
              </w:rPr>
              <w:t>、</w:t>
            </w:r>
            <w:r>
              <w:rPr>
                <w:rFonts w:hint="eastAsia" w:ascii="仿宋_GB2312" w:hAnsi="仿宋_GB2312" w:eastAsia="仿宋_GB2312" w:cs="仿宋_GB2312"/>
                <w:b w:val="0"/>
                <w:i w:val="0"/>
                <w:caps w:val="0"/>
                <w:color w:val="000000"/>
                <w:spacing w:val="0"/>
                <w:sz w:val="24"/>
                <w:szCs w:val="24"/>
              </w:rPr>
              <w:t>智能快件箱</w:t>
            </w:r>
            <w:r>
              <w:rPr>
                <w:rFonts w:hint="eastAsia" w:ascii="仿宋_GB2312" w:hAnsi="仿宋_GB2312" w:eastAsia="仿宋_GB2312" w:cs="仿宋_GB2312"/>
                <w:b w:val="0"/>
                <w:i w:val="0"/>
                <w:caps w:val="0"/>
                <w:color w:val="000000"/>
                <w:spacing w:val="0"/>
                <w:sz w:val="24"/>
                <w:szCs w:val="24"/>
                <w:lang w:eastAsia="zh-CN"/>
              </w:rPr>
              <w:t>，</w:t>
            </w:r>
            <w:r>
              <w:rPr>
                <w:rFonts w:hint="eastAsia" w:ascii="仿宋_GB2312" w:hAnsi="仿宋_GB2312" w:eastAsia="仿宋_GB2312" w:cs="仿宋_GB2312"/>
                <w:b w:val="0"/>
                <w:i w:val="0"/>
                <w:caps w:val="0"/>
                <w:color w:val="000000"/>
                <w:spacing w:val="0"/>
                <w:sz w:val="24"/>
                <w:szCs w:val="24"/>
              </w:rPr>
              <w:t>提高末端配送效率和服务质量</w:t>
            </w:r>
            <w:r>
              <w:rPr>
                <w:rFonts w:hint="eastAsia" w:ascii="楷体_GB2312" w:hAnsi="楷体_GB2312" w:eastAsia="楷体_GB2312" w:cs="楷体_GB2312"/>
                <w:b w:val="0"/>
                <w:bCs/>
                <w:color w:val="000000"/>
                <w:kern w:val="0"/>
                <w:sz w:val="24"/>
                <w:szCs w:val="24"/>
                <w:lang w:val="en-US" w:eastAsia="zh-CN" w:bidi="ar-SA"/>
              </w:rPr>
              <w:t>（省商务厅、省邮政管理局、省住建厅）</w:t>
            </w:r>
            <w:r>
              <w:rPr>
                <w:rFonts w:hint="eastAsia" w:ascii="仿宋_GB2312" w:hAnsi="仿宋_GB2312" w:eastAsia="仿宋_GB2312" w:cs="仿宋_GB2312"/>
                <w:b w:val="0"/>
                <w:i w:val="0"/>
                <w:caps w:val="0"/>
                <w:color w:val="000000"/>
                <w:spacing w:val="0"/>
                <w:sz w:val="24"/>
                <w:szCs w:val="24"/>
              </w:rPr>
              <w:t>。</w:t>
            </w:r>
          </w:p>
        </w:tc>
        <w:tc>
          <w:tcPr>
            <w:tcW w:w="2119"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right="0" w:rightChars="0"/>
              <w:jc w:val="lef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到2025年底建成商贸物流园区（配送中心）数字化、智能化改造项目10个以上，打造“5G+物流”智慧场景20个以上。</w:t>
            </w:r>
          </w:p>
        </w:tc>
        <w:tc>
          <w:tcPr>
            <w:tcW w:w="807"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spacing w:line="280" w:lineRule="exact"/>
              <w:ind w:right="0" w:rightChars="0"/>
              <w:jc w:val="left"/>
              <w:textAlignment w:val="auto"/>
              <w:rPr>
                <w:rFonts w:hint="default" w:ascii="Times New Roman" w:hAnsi="Times New Roman" w:eastAsia="华文楷体" w:cs="Times New Roman"/>
                <w:b w:val="0"/>
                <w:bCs/>
                <w:color w:val="000000"/>
                <w:kern w:val="0"/>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39" w:hRule="atLeast"/>
          <w:jc w:val="center"/>
        </w:trPr>
        <w:tc>
          <w:tcPr>
            <w:tcW w:w="870" w:type="dxa"/>
            <w:vMerge w:val="continue"/>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spacing w:line="280" w:lineRule="exact"/>
              <w:textAlignment w:val="auto"/>
              <w:rPr>
                <w:rFonts w:hint="default" w:ascii="Times New Roman" w:hAnsi="Times New Roman" w:eastAsia="楷体" w:cs="Times New Roman"/>
                <w:b/>
                <w:i w:val="0"/>
                <w:caps w:val="0"/>
                <w:color w:val="000000"/>
                <w:spacing w:val="0"/>
                <w:sz w:val="24"/>
                <w:szCs w:val="24"/>
                <w:lang w:val="en-US" w:eastAsia="zh-CN"/>
              </w:rPr>
            </w:pPr>
          </w:p>
        </w:tc>
        <w:tc>
          <w:tcPr>
            <w:tcW w:w="4982"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240" w:firstLineChars="100"/>
              <w:jc w:val="both"/>
              <w:textAlignment w:val="auto"/>
              <w:rPr>
                <w:rFonts w:hint="default" w:ascii="Times New Roman" w:hAnsi="Times New Roman" w:eastAsia="楷体" w:cs="Times New Roman"/>
                <w:color w:val="000000"/>
                <w:sz w:val="24"/>
                <w:szCs w:val="24"/>
                <w:lang w:val="en-US" w:eastAsia="zh-CN"/>
              </w:rPr>
            </w:pPr>
            <w:r>
              <w:rPr>
                <w:rFonts w:hint="eastAsia" w:ascii="仿宋_GB2312" w:hAnsi="仿宋_GB2312" w:eastAsia="仿宋_GB2312" w:cs="仿宋_GB2312"/>
                <w:color w:val="000000"/>
                <w:sz w:val="24"/>
                <w:szCs w:val="24"/>
                <w:lang w:val="en-US" w:eastAsia="zh-CN"/>
              </w:rPr>
              <w:t>6.提升供应链管理水平。</w:t>
            </w:r>
            <w:r>
              <w:rPr>
                <w:rFonts w:hint="eastAsia" w:ascii="仿宋_GB2312" w:hAnsi="仿宋_GB2312" w:eastAsia="仿宋_GB2312" w:cs="仿宋_GB2312"/>
                <w:color w:val="000000"/>
                <w:sz w:val="24"/>
                <w:szCs w:val="24"/>
              </w:rPr>
              <w:t>鼓励物流企业为制造业提供供应链管理</w:t>
            </w:r>
            <w:r>
              <w:rPr>
                <w:rFonts w:hint="eastAsia" w:ascii="仿宋_GB2312" w:hAnsi="仿宋_GB2312" w:eastAsia="仿宋_GB2312" w:cs="仿宋_GB2312"/>
                <w:color w:val="000000"/>
                <w:sz w:val="24"/>
                <w:szCs w:val="24"/>
                <w:lang w:val="en-US" w:eastAsia="zh-CN"/>
              </w:rPr>
              <w:t>库</w:t>
            </w:r>
            <w:r>
              <w:rPr>
                <w:rFonts w:hint="eastAsia" w:ascii="仿宋_GB2312" w:hAnsi="仿宋_GB2312" w:eastAsia="仿宋_GB2312" w:cs="仿宋_GB2312"/>
                <w:color w:val="000000"/>
                <w:sz w:val="24"/>
                <w:szCs w:val="24"/>
              </w:rPr>
              <w:t>存、线边物流、供应链</w:t>
            </w:r>
            <w:r>
              <w:rPr>
                <w:rFonts w:hint="eastAsia" w:ascii="仿宋_GB2312" w:hAnsi="仿宋_GB2312" w:eastAsia="仿宋_GB2312" w:cs="仿宋_GB2312"/>
                <w:color w:val="000000"/>
                <w:sz w:val="24"/>
                <w:szCs w:val="24"/>
                <w:lang w:val="en-US" w:eastAsia="zh-CN"/>
              </w:rPr>
              <w:t>一</w:t>
            </w:r>
            <w:r>
              <w:rPr>
                <w:rFonts w:hint="eastAsia" w:ascii="仿宋_GB2312" w:hAnsi="仿宋_GB2312" w:eastAsia="仿宋_GB2312" w:cs="仿宋_GB2312"/>
                <w:color w:val="000000"/>
                <w:sz w:val="24"/>
                <w:szCs w:val="24"/>
              </w:rPr>
              <w:t>体化服务等个性化物流解决方案，大力发展以柔性化生产、资源髙度共享为特征的现代供应链模式。结合商贸服务型国家物流枢纽申报建设，推动物流企业与商贸企业共同打造一体化供应链服务平台，实现供需对接、集中采购、共同库存、支付结算、物流配送等功能集成，提高快速响应及资源共享能力</w:t>
            </w:r>
            <w:r>
              <w:rPr>
                <w:rFonts w:hint="eastAsia" w:ascii="楷体_GB2312" w:hAnsi="楷体_GB2312" w:eastAsia="楷体_GB2312" w:cs="楷体_GB2312"/>
                <w:b w:val="0"/>
                <w:bCs/>
                <w:color w:val="000000"/>
                <w:kern w:val="0"/>
                <w:sz w:val="24"/>
                <w:szCs w:val="24"/>
                <w:lang w:val="en-US" w:eastAsia="zh-CN"/>
              </w:rPr>
              <w:t>（省发改委、省商务厅）</w:t>
            </w:r>
            <w:r>
              <w:rPr>
                <w:rFonts w:hint="eastAsia" w:ascii="仿宋_GB2312" w:hAnsi="仿宋_GB2312" w:eastAsia="仿宋_GB2312" w:cs="仿宋_GB2312"/>
                <w:color w:val="000000"/>
                <w:sz w:val="24"/>
                <w:szCs w:val="24"/>
              </w:rPr>
              <w:t>。依托农产品电商、物流信息平台，推进产地与销地、批发市场线上线下融合发展，拓展安全检测、加工包装、统仓统配溯源查询等功能，培育发展农产品供应链，完善基于农产品流通大数据的产销对接机制，引导农产品规模种养殖</w:t>
            </w:r>
            <w:r>
              <w:rPr>
                <w:rFonts w:hint="eastAsia" w:ascii="楷体_GB2312" w:hAnsi="楷体_GB2312" w:eastAsia="楷体_GB2312" w:cs="楷体_GB2312"/>
                <w:b w:val="0"/>
                <w:bCs/>
                <w:color w:val="000000"/>
                <w:kern w:val="0"/>
                <w:sz w:val="24"/>
                <w:szCs w:val="24"/>
                <w:lang w:val="en-US" w:eastAsia="zh-CN"/>
              </w:rPr>
              <w:t>（省商务厅、省农业农村厅、省市场监管局）</w:t>
            </w:r>
            <w:r>
              <w:rPr>
                <w:rFonts w:hint="eastAsia" w:ascii="仿宋_GB2312" w:hAnsi="仿宋_GB2312" w:eastAsia="仿宋_GB2312" w:cs="仿宋_GB2312"/>
                <w:color w:val="000000"/>
                <w:sz w:val="24"/>
                <w:szCs w:val="24"/>
              </w:rPr>
              <w:t>。</w:t>
            </w:r>
          </w:p>
        </w:tc>
        <w:tc>
          <w:tcPr>
            <w:tcW w:w="2119"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争取国家财政资金支持我省供应链创新与应用试点工作；到2025年参与供应链试点建设企业达100家.</w:t>
            </w:r>
          </w:p>
        </w:tc>
        <w:tc>
          <w:tcPr>
            <w:tcW w:w="807"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spacing w:line="280" w:lineRule="exact"/>
              <w:ind w:right="0" w:rightChars="0"/>
              <w:jc w:val="left"/>
              <w:textAlignment w:val="auto"/>
              <w:rPr>
                <w:rFonts w:hint="default" w:ascii="Times New Roman" w:hAnsi="Times New Roman" w:eastAsia="华文楷体" w:cs="Times New Roman"/>
                <w:color w:val="000000"/>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58" w:hRule="atLeast"/>
          <w:jc w:val="center"/>
        </w:trPr>
        <w:tc>
          <w:tcPr>
            <w:tcW w:w="870" w:type="dxa"/>
            <w:vMerge w:val="restar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spacing w:line="280" w:lineRule="exact"/>
              <w:textAlignment w:val="auto"/>
              <w:rPr>
                <w:rFonts w:hint="default" w:ascii="Times New Roman" w:hAnsi="Times New Roman" w:eastAsia="楷体" w:cs="Times New Roman"/>
                <w:b/>
                <w:i w:val="0"/>
                <w:caps w:val="0"/>
                <w:color w:val="000000"/>
                <w:spacing w:val="0"/>
                <w:sz w:val="24"/>
                <w:szCs w:val="24"/>
                <w:lang w:val="en-US" w:eastAsia="zh-CN"/>
              </w:rPr>
            </w:pPr>
            <w:r>
              <w:rPr>
                <w:rFonts w:hint="default" w:ascii="Times New Roman" w:hAnsi="Times New Roman" w:eastAsia="华文楷体" w:cs="Times New Roman"/>
                <w:b/>
                <w:bCs/>
                <w:color w:val="000000"/>
                <w:sz w:val="24"/>
                <w:szCs w:val="24"/>
                <w:lang w:val="en-US" w:eastAsia="zh-CN"/>
              </w:rPr>
              <w:t>三、推进通关便利化，保障国际物流畅通</w:t>
            </w:r>
          </w:p>
        </w:tc>
        <w:tc>
          <w:tcPr>
            <w:tcW w:w="498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firstLine="240" w:firstLineChars="100"/>
              <w:jc w:val="both"/>
              <w:textAlignment w:val="auto"/>
              <w:rPr>
                <w:rFonts w:hint="default" w:ascii="Times New Roman" w:hAnsi="Times New Roman" w:eastAsia="楷体" w:cs="Times New Roman"/>
                <w:color w:val="000000"/>
                <w:sz w:val="24"/>
                <w:szCs w:val="24"/>
                <w:lang w:val="en-US" w:eastAsia="zh-CN"/>
              </w:rPr>
            </w:pPr>
            <w:r>
              <w:rPr>
                <w:rFonts w:hint="eastAsia" w:ascii="仿宋_GB2312" w:hAnsi="仿宋_GB2312" w:eastAsia="仿宋_GB2312" w:cs="仿宋_GB2312"/>
                <w:color w:val="000000"/>
                <w:sz w:val="24"/>
                <w:szCs w:val="24"/>
                <w:lang w:val="en-US" w:eastAsia="zh-CN"/>
              </w:rPr>
              <w:t>7.推动口岸</w:t>
            </w:r>
            <w:r>
              <w:rPr>
                <w:rFonts w:hint="eastAsia" w:ascii="仿宋_GB2312" w:hAnsi="仿宋_GB2312" w:eastAsia="仿宋_GB2312" w:cs="仿宋_GB2312"/>
                <w:color w:val="000000"/>
                <w:kern w:val="0"/>
                <w:sz w:val="24"/>
                <w:szCs w:val="24"/>
                <w:lang w:val="en-US" w:eastAsia="zh-CN"/>
              </w:rPr>
              <w:t>通关降费提效。</w:t>
            </w:r>
            <w:r>
              <w:rPr>
                <w:rFonts w:hint="eastAsia" w:ascii="仿宋_GB2312" w:hAnsi="仿宋_GB2312" w:eastAsia="仿宋_GB2312" w:cs="仿宋_GB2312"/>
                <w:color w:val="000000"/>
                <w:sz w:val="24"/>
                <w:szCs w:val="24"/>
                <w:highlight w:val="none"/>
                <w:vertAlign w:val="baseline"/>
                <w:lang w:val="en-US" w:eastAsia="zh-CN"/>
              </w:rPr>
              <w:t>积极协调联系口岸相关部门和单位</w:t>
            </w:r>
            <w:r>
              <w:rPr>
                <w:rFonts w:hint="eastAsia" w:ascii="楷体_GB2312" w:hAnsi="楷体_GB2312" w:eastAsia="楷体_GB2312" w:cs="楷体_GB2312"/>
                <w:b w:val="0"/>
                <w:bCs/>
                <w:color w:val="000000"/>
                <w:kern w:val="0"/>
                <w:sz w:val="24"/>
                <w:szCs w:val="24"/>
                <w:lang w:val="en-US" w:eastAsia="zh-CN"/>
              </w:rPr>
              <w:t>（管委会、铁路、航空、货代、报关企业、进出口企业等）</w:t>
            </w:r>
            <w:r>
              <w:rPr>
                <w:rFonts w:hint="eastAsia" w:ascii="仿宋_GB2312" w:hAnsi="仿宋_GB2312" w:eastAsia="仿宋_GB2312" w:cs="仿宋_GB2312"/>
                <w:color w:val="000000"/>
                <w:sz w:val="24"/>
                <w:szCs w:val="24"/>
                <w:highlight w:val="none"/>
                <w:vertAlign w:val="baseline"/>
                <w:lang w:val="en-US" w:eastAsia="zh-CN"/>
              </w:rPr>
              <w:t>，大力压缩超长报关单数量，稳固整体通关时间压缩成效在合理区间。全面推广进出口货物“提前申报”“两步申报”、汇总征税等措施。继续做好进出口环节收费的监督工作，不定期开展进出口环节收费情况检查。</w:t>
            </w:r>
            <w:r>
              <w:rPr>
                <w:rFonts w:hint="eastAsia" w:ascii="仿宋_GB2312" w:hAnsi="仿宋_GB2312" w:eastAsia="仿宋_GB2312" w:cs="仿宋_GB2312"/>
                <w:color w:val="000000"/>
                <w:kern w:val="0"/>
                <w:sz w:val="24"/>
                <w:szCs w:val="24"/>
                <w:lang w:val="en-US" w:eastAsia="zh-CN"/>
              </w:rPr>
              <w:t>积极引导督促外贸企业自行在“单一窗口”网站动态更新口岸收费目录清单内容，提高公开公示质量，确保清单以外一律不得收费</w:t>
            </w:r>
            <w:r>
              <w:rPr>
                <w:rFonts w:hint="eastAsia" w:ascii="楷体_GB2312" w:hAnsi="楷体_GB2312" w:eastAsia="楷体_GB2312" w:cs="楷体_GB2312"/>
                <w:b w:val="0"/>
                <w:bCs/>
                <w:color w:val="000000"/>
                <w:kern w:val="0"/>
                <w:sz w:val="24"/>
                <w:szCs w:val="24"/>
                <w:lang w:val="en-US" w:eastAsia="zh-CN"/>
              </w:rPr>
              <w:t>（省商务厅、西安海关）</w:t>
            </w:r>
            <w:r>
              <w:rPr>
                <w:rFonts w:hint="eastAsia" w:ascii="仿宋_GB2312" w:hAnsi="仿宋_GB2312" w:eastAsia="仿宋_GB2312" w:cs="仿宋_GB2312"/>
                <w:color w:val="000000"/>
                <w:kern w:val="0"/>
                <w:sz w:val="24"/>
                <w:szCs w:val="24"/>
                <w:lang w:val="en-US" w:eastAsia="zh-CN"/>
              </w:rPr>
              <w:t>。</w:t>
            </w:r>
          </w:p>
        </w:tc>
        <w:tc>
          <w:tcPr>
            <w:tcW w:w="2119"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spacing w:line="280" w:lineRule="exac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pacing w:val="8"/>
                <w:sz w:val="24"/>
                <w:szCs w:val="24"/>
                <w:shd w:val="clear" w:color="auto" w:fill="FFFFFF"/>
              </w:rPr>
              <w:t>力争2023年进出口货物整体通关时间</w:t>
            </w:r>
            <w:r>
              <w:rPr>
                <w:rFonts w:hint="eastAsia" w:ascii="仿宋_GB2312" w:hAnsi="仿宋_GB2312" w:eastAsia="仿宋_GB2312" w:cs="仿宋_GB2312"/>
                <w:color w:val="000000"/>
                <w:spacing w:val="8"/>
                <w:sz w:val="24"/>
                <w:szCs w:val="24"/>
                <w:shd w:val="clear" w:color="auto" w:fill="FFFFFF"/>
                <w:lang w:eastAsia="zh-CN"/>
              </w:rPr>
              <w:t>（</w:t>
            </w:r>
            <w:r>
              <w:rPr>
                <w:rFonts w:hint="eastAsia" w:ascii="仿宋_GB2312" w:hAnsi="仿宋_GB2312" w:eastAsia="仿宋_GB2312" w:cs="仿宋_GB2312"/>
                <w:color w:val="000000"/>
                <w:spacing w:val="8"/>
                <w:sz w:val="24"/>
                <w:szCs w:val="24"/>
                <w:shd w:val="clear" w:color="auto" w:fill="FFFFFF"/>
                <w:lang w:val="en-US" w:eastAsia="zh-CN"/>
              </w:rPr>
              <w:t>不含中欧班列国内段运输时间</w:t>
            </w:r>
            <w:r>
              <w:rPr>
                <w:rFonts w:hint="eastAsia" w:ascii="仿宋_GB2312" w:hAnsi="仿宋_GB2312" w:eastAsia="仿宋_GB2312" w:cs="仿宋_GB2312"/>
                <w:color w:val="000000"/>
                <w:spacing w:val="8"/>
                <w:sz w:val="24"/>
                <w:szCs w:val="24"/>
                <w:shd w:val="clear" w:color="auto" w:fill="FFFFFF"/>
                <w:lang w:eastAsia="zh-CN"/>
              </w:rPr>
              <w:t>）</w:t>
            </w:r>
            <w:r>
              <w:rPr>
                <w:rFonts w:hint="eastAsia" w:ascii="仿宋_GB2312" w:hAnsi="仿宋_GB2312" w:eastAsia="仿宋_GB2312" w:cs="仿宋_GB2312"/>
                <w:color w:val="000000"/>
                <w:spacing w:val="8"/>
                <w:sz w:val="24"/>
                <w:szCs w:val="24"/>
                <w:shd w:val="clear" w:color="auto" w:fill="FFFFFF"/>
              </w:rPr>
              <w:t>达到全国平均水平。2021年、2022年和2023年每年在“单一窗口”上线运行1-3个具有陕西特色的应用服务功能。</w:t>
            </w:r>
          </w:p>
        </w:tc>
        <w:tc>
          <w:tcPr>
            <w:tcW w:w="807"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spacing w:line="280" w:lineRule="exact"/>
              <w:ind w:right="0" w:rightChars="0"/>
              <w:jc w:val="left"/>
              <w:textAlignment w:val="auto"/>
              <w:rPr>
                <w:rFonts w:hint="default" w:ascii="Times New Roman" w:hAnsi="Times New Roman" w:eastAsia="华文楷体" w:cs="Times New Roman"/>
                <w:color w:val="000000"/>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3" w:hRule="atLeast"/>
          <w:jc w:val="center"/>
        </w:trPr>
        <w:tc>
          <w:tcPr>
            <w:tcW w:w="870" w:type="dxa"/>
            <w:vMerge w:val="continue"/>
            <w:tcBorders>
              <w:tl2br w:val="nil"/>
              <w:tr2bl w:val="nil"/>
            </w:tcBorders>
            <w:noWrap w:val="0"/>
            <w:vAlign w:val="center"/>
          </w:tcPr>
          <w:p>
            <w:pPr>
              <w:pStyle w:val="6"/>
              <w:keepNext w:val="0"/>
              <w:keepLines w:val="0"/>
              <w:pageBreakBefore w:val="0"/>
              <w:widowControl w:val="0"/>
              <w:numPr>
                <w:ilvl w:val="0"/>
                <w:numId w:val="0"/>
              </w:numPr>
              <w:kinsoku/>
              <w:wordWrap/>
              <w:overflowPunct/>
              <w:topLinePunct w:val="0"/>
              <w:autoSpaceDE/>
              <w:autoSpaceDN/>
              <w:bidi w:val="0"/>
              <w:spacing w:line="280" w:lineRule="exact"/>
              <w:ind w:left="0" w:leftChars="0" w:firstLine="0" w:firstLineChars="0"/>
              <w:textAlignment w:val="auto"/>
              <w:rPr>
                <w:rFonts w:hint="default" w:ascii="Times New Roman" w:hAnsi="Times New Roman" w:eastAsia="楷体" w:cs="Times New Roman"/>
                <w:b/>
                <w:i w:val="0"/>
                <w:caps w:val="0"/>
                <w:color w:val="000000"/>
                <w:spacing w:val="0"/>
                <w:sz w:val="24"/>
                <w:szCs w:val="24"/>
                <w:lang w:val="en-US" w:eastAsia="zh-CN"/>
              </w:rPr>
            </w:pPr>
          </w:p>
        </w:tc>
        <w:tc>
          <w:tcPr>
            <w:tcW w:w="498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firstLine="480" w:firstLineChars="200"/>
              <w:jc w:val="both"/>
              <w:textAlignment w:val="auto"/>
              <w:rPr>
                <w:rFonts w:hint="default" w:ascii="Times New Roman" w:hAnsi="Times New Roman" w:eastAsia="楷体" w:cs="Times New Roman"/>
                <w:color w:val="000000"/>
                <w:sz w:val="24"/>
                <w:szCs w:val="24"/>
                <w:lang w:val="en-US" w:eastAsia="zh-CN"/>
              </w:rPr>
            </w:pPr>
            <w:r>
              <w:rPr>
                <w:rFonts w:hint="eastAsia" w:ascii="仿宋_GB2312" w:hAnsi="仿宋_GB2312" w:eastAsia="仿宋_GB2312" w:cs="仿宋_GB2312"/>
                <w:color w:val="000000"/>
                <w:sz w:val="24"/>
                <w:szCs w:val="24"/>
                <w:lang w:val="en-US" w:eastAsia="zh-CN"/>
              </w:rPr>
              <w:t>8.打造国际物流通道。</w:t>
            </w:r>
            <w:r>
              <w:rPr>
                <w:rFonts w:hint="eastAsia" w:ascii="仿宋_GB2312" w:hAnsi="仿宋_GB2312" w:eastAsia="仿宋_GB2312" w:cs="仿宋_GB2312"/>
                <w:color w:val="000000"/>
                <w:sz w:val="24"/>
                <w:szCs w:val="24"/>
              </w:rPr>
              <w:t>依托西安陆港，进一步打通国际铁路物流通道，大力支持中欧班列“长安号”双向运行；加强西安陆港与沿海港口、沿边口岸的合作，引入国际船公司、货代公司，实现港口服务链内移。推动陕西省跨境电商物流服务平台建设，构建 服务我省全球贸易、营销网络和跨境电子商务的物流支撑体系</w:t>
            </w:r>
            <w:r>
              <w:rPr>
                <w:rFonts w:hint="eastAsia" w:ascii="楷体_GB2312" w:hAnsi="楷体_GB2312" w:eastAsia="楷体_GB2312" w:cs="楷体_GB2312"/>
                <w:b w:val="0"/>
                <w:bCs/>
                <w:color w:val="000000"/>
                <w:kern w:val="0"/>
                <w:sz w:val="24"/>
                <w:szCs w:val="24"/>
                <w:lang w:val="en-US" w:eastAsia="zh-CN"/>
              </w:rPr>
              <w:t>（省发改委、省商务厅、西安海关）</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强化政策保障，制定我省《公共海外仓认定支持办法》，引导鼓励我省跨境电商企业和外贸企业通过投资、租赁等方式在境外及中欧班列沿线国家和地区设立海外仓</w:t>
            </w:r>
            <w:r>
              <w:rPr>
                <w:rFonts w:hint="eastAsia" w:ascii="楷体_GB2312" w:hAnsi="楷体_GB2312" w:eastAsia="楷体_GB2312" w:cs="楷体_GB2312"/>
                <w:b w:val="0"/>
                <w:bCs/>
                <w:color w:val="000000"/>
                <w:kern w:val="0"/>
                <w:sz w:val="24"/>
                <w:szCs w:val="24"/>
                <w:lang w:val="en-US" w:eastAsia="zh-CN"/>
              </w:rPr>
              <w:t>（省商务厅、省财政厅、西安海关）</w:t>
            </w:r>
            <w:r>
              <w:rPr>
                <w:rFonts w:hint="eastAsia" w:ascii="仿宋_GB2312" w:hAnsi="仿宋_GB2312" w:eastAsia="仿宋_GB2312" w:cs="仿宋_GB2312"/>
                <w:color w:val="000000"/>
                <w:sz w:val="24"/>
                <w:szCs w:val="24"/>
                <w:lang w:val="en-US" w:eastAsia="zh-CN"/>
              </w:rPr>
              <w:t>。</w:t>
            </w:r>
          </w:p>
        </w:tc>
        <w:tc>
          <w:tcPr>
            <w:tcW w:w="2119"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spacing w:line="300" w:lineRule="exact"/>
              <w:ind w:left="0" w:leftChars="0" w:firstLine="0" w:firstLineChars="0"/>
              <w:textAlignment w:val="auto"/>
              <w:rPr>
                <w:rFonts w:hint="eastAsia" w:ascii="仿宋_GB2312" w:hAnsi="仿宋_GB2312" w:eastAsia="仿宋_GB2312" w:cs="仿宋_GB2312"/>
                <w:color w:val="000000"/>
                <w:spacing w:val="8"/>
                <w:sz w:val="24"/>
                <w:szCs w:val="24"/>
                <w:shd w:val="clear" w:color="auto" w:fill="FFFFFF"/>
              </w:rPr>
            </w:pPr>
            <w:r>
              <w:rPr>
                <w:rFonts w:hint="eastAsia" w:ascii="仿宋_GB2312" w:hAnsi="仿宋_GB2312" w:eastAsia="仿宋_GB2312" w:cs="仿宋_GB2312"/>
                <w:color w:val="000000"/>
                <w:sz w:val="24"/>
                <w:szCs w:val="24"/>
                <w:lang w:val="en-US" w:eastAsia="zh-CN"/>
              </w:rPr>
              <w:t>2022年出台《公共海外仓认定支持办法》；至2025年底全省在境外设立的海外仓50个以上。</w:t>
            </w:r>
          </w:p>
        </w:tc>
        <w:tc>
          <w:tcPr>
            <w:tcW w:w="807"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spacing w:line="280" w:lineRule="exact"/>
              <w:ind w:right="0" w:rightChars="0"/>
              <w:jc w:val="left"/>
              <w:textAlignment w:val="auto"/>
              <w:rPr>
                <w:rFonts w:hint="default" w:ascii="Times New Roman" w:hAnsi="Times New Roman" w:eastAsia="华文楷体" w:cs="Times New Roman"/>
                <w:color w:val="000000"/>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01" w:hRule="atLeast"/>
          <w:jc w:val="center"/>
        </w:trPr>
        <w:tc>
          <w:tcPr>
            <w:tcW w:w="870"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spacing w:line="280" w:lineRule="exact"/>
              <w:textAlignment w:val="auto"/>
              <w:rPr>
                <w:rFonts w:hint="default" w:ascii="Times New Roman" w:hAnsi="Times New Roman" w:eastAsia="楷体" w:cs="Times New Roman"/>
                <w:b/>
                <w:i w:val="0"/>
                <w:caps w:val="0"/>
                <w:color w:val="000000"/>
                <w:spacing w:val="0"/>
                <w:sz w:val="24"/>
                <w:szCs w:val="24"/>
                <w:lang w:val="en-US" w:eastAsia="zh-CN"/>
              </w:rPr>
            </w:pPr>
            <w:r>
              <w:rPr>
                <w:rFonts w:hint="default" w:ascii="Times New Roman" w:hAnsi="Times New Roman" w:eastAsia="华文楷体" w:cs="Times New Roman"/>
                <w:b/>
                <w:bCs/>
                <w:i w:val="0"/>
                <w:caps w:val="0"/>
                <w:color w:val="000000"/>
                <w:spacing w:val="0"/>
                <w:sz w:val="24"/>
                <w:szCs w:val="24"/>
                <w:highlight w:val="none"/>
                <w:shd w:val="clear" w:color="auto" w:fill="FFFFFF"/>
                <w:lang w:val="en-US" w:eastAsia="zh-CN"/>
              </w:rPr>
              <w:t>四、落实新发展理念，构建绿色物流</w:t>
            </w:r>
          </w:p>
        </w:tc>
        <w:tc>
          <w:tcPr>
            <w:tcW w:w="4982" w:type="dxa"/>
            <w:tcBorders>
              <w:tl2br w:val="nil"/>
              <w:tr2bl w:val="nil"/>
            </w:tcBorders>
            <w:noWrap w:val="0"/>
            <w:vAlign w:val="center"/>
          </w:tcPr>
          <w:p>
            <w:pPr>
              <w:pStyle w:val="11"/>
              <w:keepNext w:val="0"/>
              <w:keepLines w:val="0"/>
              <w:pageBreakBefore w:val="0"/>
              <w:widowControl w:val="0"/>
              <w:suppressLineNumbers w:val="0"/>
              <w:kinsoku/>
              <w:wordWrap/>
              <w:overflowPunct/>
              <w:topLinePunct w:val="0"/>
              <w:autoSpaceDE/>
              <w:autoSpaceDN/>
              <w:bidi w:val="0"/>
              <w:adjustRightInd/>
              <w:snapToGrid/>
              <w:spacing w:before="225" w:beforeAutospacing="0" w:after="225" w:afterAutospacing="0" w:line="300" w:lineRule="exact"/>
              <w:ind w:firstLine="240" w:firstLineChars="100"/>
              <w:textAlignment w:val="auto"/>
              <w:rPr>
                <w:rFonts w:hint="default" w:ascii="Times New Roman" w:hAnsi="Times New Roman" w:eastAsia="楷体" w:cs="Times New Roman"/>
                <w:color w:val="000000"/>
                <w:sz w:val="24"/>
                <w:szCs w:val="24"/>
                <w:lang w:val="en-US" w:eastAsia="zh-CN"/>
              </w:rPr>
            </w:pPr>
            <w:r>
              <w:rPr>
                <w:rFonts w:hint="eastAsia" w:ascii="仿宋_GB2312" w:hAnsi="仿宋_GB2312" w:eastAsia="仿宋_GB2312" w:cs="仿宋_GB2312"/>
                <w:color w:val="000000"/>
                <w:sz w:val="24"/>
                <w:szCs w:val="24"/>
                <w:lang w:val="en-US" w:eastAsia="zh-CN"/>
              </w:rPr>
              <w:t>9.健全绿色物流体系。</w:t>
            </w:r>
            <w:r>
              <w:rPr>
                <w:rFonts w:hint="eastAsia" w:ascii="仿宋_GB2312" w:hAnsi="仿宋_GB2312" w:eastAsia="仿宋_GB2312" w:cs="仿宋_GB2312"/>
                <w:color w:val="000000"/>
                <w:sz w:val="24"/>
                <w:szCs w:val="24"/>
              </w:rPr>
              <w:t>深入推进现代物流节能减排</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加大货运车辆适用的充电桩、加氢站等配套设施布局规划建设力度，</w:t>
            </w:r>
            <w:r>
              <w:rPr>
                <w:rFonts w:hint="eastAsia" w:ascii="仿宋_GB2312" w:hAnsi="仿宋_GB2312" w:eastAsia="仿宋_GB2312" w:cs="仿宋_GB2312"/>
                <w:color w:val="000000"/>
                <w:sz w:val="24"/>
                <w:szCs w:val="24"/>
                <w:lang w:val="en-US" w:eastAsia="zh-CN"/>
              </w:rPr>
              <w:t>鼓励</w:t>
            </w:r>
            <w:r>
              <w:rPr>
                <w:rFonts w:hint="eastAsia" w:ascii="仿宋_GB2312" w:hAnsi="仿宋_GB2312" w:eastAsia="仿宋_GB2312" w:cs="仿宋_GB2312"/>
                <w:color w:val="000000"/>
                <w:sz w:val="24"/>
                <w:szCs w:val="24"/>
              </w:rPr>
              <w:t>新能源、清洁能源货运车辆在城市配送领域应用</w:t>
            </w:r>
            <w:r>
              <w:rPr>
                <w:rFonts w:hint="eastAsia" w:ascii="楷体_GB2312" w:hAnsi="楷体_GB2312" w:eastAsia="楷体_GB2312" w:cs="楷体_GB2312"/>
                <w:b w:val="0"/>
                <w:bCs/>
                <w:color w:val="000000"/>
                <w:kern w:val="0"/>
                <w:sz w:val="24"/>
                <w:szCs w:val="24"/>
                <w:lang w:val="en-US" w:eastAsia="zh-CN" w:bidi="ar-SA"/>
              </w:rPr>
              <w:t>（省发改委、省交通运输厅、省住建厅、省邮政管理局）</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加强绿色物流新技术和设备</w:t>
            </w:r>
            <w:r>
              <w:rPr>
                <w:rFonts w:hint="eastAsia" w:ascii="仿宋_GB2312" w:hAnsi="仿宋_GB2312" w:eastAsia="仿宋_GB2312" w:cs="仿宋_GB2312"/>
                <w:color w:val="000000"/>
                <w:sz w:val="24"/>
                <w:szCs w:val="24"/>
                <w:lang w:val="en-US" w:eastAsia="zh-CN"/>
              </w:rPr>
              <w:t>的</w:t>
            </w:r>
            <w:r>
              <w:rPr>
                <w:rFonts w:hint="eastAsia" w:ascii="仿宋_GB2312" w:hAnsi="仿宋_GB2312" w:eastAsia="仿宋_GB2312" w:cs="仿宋_GB2312"/>
                <w:color w:val="000000"/>
                <w:sz w:val="24"/>
                <w:szCs w:val="24"/>
              </w:rPr>
              <w:t>应用，推广使用循环包装和生物降解包装材料，鼓励物流企业与制造、商贸企业包装循环共用，减少过度包装和二次包装，促进包装减量化、再利用。推动托盘循环共用系统建设，促进产品包装和物流器具绿色化、标准化、循环化</w:t>
            </w:r>
            <w:r>
              <w:rPr>
                <w:rFonts w:hint="eastAsia" w:ascii="楷体_GB2312" w:hAnsi="楷体_GB2312" w:eastAsia="楷体_GB2312" w:cs="楷体_GB2312"/>
                <w:b w:val="0"/>
                <w:bCs/>
                <w:color w:val="000000"/>
                <w:kern w:val="0"/>
                <w:sz w:val="24"/>
                <w:szCs w:val="24"/>
                <w:lang w:val="en-US" w:eastAsia="zh-CN" w:bidi="ar-SA"/>
              </w:rPr>
              <w:t>（省发改委、省商务厅）</w:t>
            </w:r>
            <w:r>
              <w:rPr>
                <w:rFonts w:hint="eastAsia" w:ascii="仿宋_GB2312" w:hAnsi="仿宋_GB2312" w:eastAsia="仿宋_GB2312" w:cs="仿宋_GB2312"/>
                <w:color w:val="000000"/>
                <w:sz w:val="24"/>
                <w:szCs w:val="24"/>
                <w:lang w:eastAsia="zh-CN"/>
              </w:rPr>
              <w:t>。</w:t>
            </w:r>
          </w:p>
        </w:tc>
        <w:tc>
          <w:tcPr>
            <w:tcW w:w="2119"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spacing w:line="280" w:lineRule="exac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b w:val="0"/>
                <w:bCs/>
                <w:color w:val="000000"/>
                <w:kern w:val="0"/>
                <w:sz w:val="24"/>
                <w:szCs w:val="24"/>
                <w:lang w:val="en-US" w:eastAsia="zh-CN"/>
              </w:rPr>
              <w:t>到2025年增加充电桩500个，加氢站20个，关中地区的公共领域新增或更新城市物流配送车辆中新能源汽车比例不低于80%。</w:t>
            </w:r>
          </w:p>
        </w:tc>
        <w:tc>
          <w:tcPr>
            <w:tcW w:w="807"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spacing w:line="280" w:lineRule="exact"/>
              <w:ind w:right="0" w:rightChars="0"/>
              <w:jc w:val="left"/>
              <w:textAlignment w:val="auto"/>
              <w:rPr>
                <w:rFonts w:hint="default" w:ascii="Times New Roman" w:hAnsi="Times New Roman" w:eastAsia="华文楷体" w:cs="Times New Roman"/>
                <w:color w:val="000000"/>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41" w:hRule="atLeast"/>
          <w:jc w:val="center"/>
        </w:trPr>
        <w:tc>
          <w:tcPr>
            <w:tcW w:w="870" w:type="dxa"/>
            <w:vMerge w:val="restar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spacing w:line="280" w:lineRule="exact"/>
              <w:ind w:right="0" w:rightChars="0"/>
              <w:jc w:val="left"/>
              <w:textAlignment w:val="auto"/>
              <w:rPr>
                <w:rFonts w:hint="default" w:ascii="Times New Roman" w:hAnsi="Times New Roman" w:eastAsia="楷体" w:cs="Times New Roman"/>
                <w:b/>
                <w:i w:val="0"/>
                <w:caps w:val="0"/>
                <w:color w:val="000000"/>
                <w:spacing w:val="0"/>
                <w:sz w:val="24"/>
                <w:szCs w:val="24"/>
                <w:lang w:val="en-US" w:eastAsia="zh-CN"/>
              </w:rPr>
            </w:pPr>
            <w:r>
              <w:rPr>
                <w:rFonts w:hint="default" w:ascii="Times New Roman" w:hAnsi="Times New Roman" w:eastAsia="华文楷体" w:cs="Times New Roman"/>
                <w:b/>
                <w:bCs/>
                <w:color w:val="000000"/>
                <w:sz w:val="24"/>
                <w:szCs w:val="24"/>
                <w:lang w:val="en-US" w:eastAsia="zh-CN"/>
              </w:rPr>
              <w:t>五、加大支持力度，培</w:t>
            </w:r>
            <w:r>
              <w:rPr>
                <w:rFonts w:hint="default" w:ascii="Times New Roman" w:hAnsi="Times New Roman" w:eastAsia="华文楷体" w:cs="Times New Roman"/>
                <w:b/>
                <w:bCs/>
                <w:color w:val="000000"/>
                <w:spacing w:val="-11"/>
                <w:sz w:val="24"/>
                <w:szCs w:val="24"/>
                <w:lang w:val="en-US" w:eastAsia="zh-CN"/>
              </w:rPr>
              <w:t>育龙头企业</w:t>
            </w:r>
          </w:p>
        </w:tc>
        <w:tc>
          <w:tcPr>
            <w:tcW w:w="4982"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spacing w:line="280" w:lineRule="exact"/>
              <w:ind w:right="0" w:rightChars="0" w:firstLine="236" w:firstLineChars="100"/>
              <w:jc w:val="left"/>
              <w:textAlignment w:val="auto"/>
              <w:rPr>
                <w:rFonts w:hint="default" w:ascii="Times New Roman" w:hAnsi="Times New Roman" w:eastAsia="楷体" w:cs="Times New Roman"/>
                <w:color w:val="000000"/>
                <w:sz w:val="24"/>
                <w:szCs w:val="24"/>
                <w:lang w:val="en-US" w:eastAsia="zh-CN"/>
              </w:rPr>
            </w:pPr>
            <w:r>
              <w:rPr>
                <w:rStyle w:val="22"/>
                <w:rFonts w:hint="default" w:ascii="Times New Roman" w:hAnsi="Times New Roman" w:eastAsia="仿宋_GB2312" w:cs="Times New Roman"/>
                <w:b w:val="0"/>
                <w:bCs/>
                <w:color w:val="000000"/>
                <w:spacing w:val="-2"/>
                <w:sz w:val="24"/>
                <w:szCs w:val="24"/>
                <w:lang w:val="en-US" w:eastAsia="zh-CN"/>
              </w:rPr>
              <w:t>10</w:t>
            </w:r>
            <w:r>
              <w:rPr>
                <w:rStyle w:val="22"/>
                <w:rFonts w:hint="eastAsia" w:ascii="Times New Roman" w:hAnsi="Times New Roman" w:eastAsia="仿宋_GB2312" w:cs="Times New Roman"/>
                <w:b w:val="0"/>
                <w:bCs/>
                <w:color w:val="000000"/>
                <w:spacing w:val="-2"/>
                <w:sz w:val="24"/>
                <w:szCs w:val="24"/>
                <w:lang w:val="en-US" w:eastAsia="zh-CN"/>
              </w:rPr>
              <w:t>.</w:t>
            </w:r>
            <w:r>
              <w:rPr>
                <w:rFonts w:hint="default" w:ascii="Times New Roman" w:hAnsi="Times New Roman" w:eastAsia="仿宋_GB2312" w:cs="Times New Roman"/>
                <w:color w:val="000000"/>
                <w:spacing w:val="-2"/>
                <w:sz w:val="24"/>
                <w:szCs w:val="24"/>
              </w:rPr>
              <w:t>引培行业领军企业。鼓励生产企业、贸易批 零企业、餐饮企业将冷链物流业务剥离外包,推动专业化</w:t>
            </w:r>
            <w:r>
              <w:rPr>
                <w:rFonts w:hint="default" w:ascii="Times New Roman" w:hAnsi="Times New Roman" w:eastAsia="仿宋_GB2312" w:cs="Times New Roman"/>
                <w:color w:val="000000"/>
                <w:spacing w:val="-2"/>
                <w:sz w:val="24"/>
                <w:szCs w:val="24"/>
                <w:lang w:val="en-US" w:eastAsia="zh-CN"/>
              </w:rPr>
              <w:t>物流</w:t>
            </w:r>
            <w:r>
              <w:rPr>
                <w:rFonts w:hint="default" w:ascii="Times New Roman" w:hAnsi="Times New Roman" w:eastAsia="仿宋_GB2312" w:cs="Times New Roman"/>
                <w:color w:val="000000"/>
                <w:spacing w:val="-2"/>
                <w:sz w:val="24"/>
                <w:szCs w:val="24"/>
              </w:rPr>
              <w:t>企业、 第三方运输企业和末端配送企业发展壮大</w:t>
            </w:r>
            <w:r>
              <w:rPr>
                <w:rFonts w:hint="default" w:ascii="Times New Roman" w:hAnsi="Times New Roman" w:eastAsia="仿宋_GB2312" w:cs="Times New Roman"/>
                <w:color w:val="000000"/>
                <w:spacing w:val="-2"/>
                <w:sz w:val="24"/>
                <w:szCs w:val="24"/>
                <w:lang w:eastAsia="zh-CN"/>
              </w:rPr>
              <w:t>（</w:t>
            </w:r>
            <w:r>
              <w:rPr>
                <w:rFonts w:hint="default" w:ascii="Times New Roman" w:hAnsi="Times New Roman" w:eastAsia="华文楷体" w:cs="Times New Roman"/>
                <w:color w:val="000000"/>
                <w:spacing w:val="-2"/>
                <w:sz w:val="24"/>
                <w:szCs w:val="24"/>
                <w:lang w:val="en-US" w:eastAsia="zh-CN"/>
              </w:rPr>
              <w:t>省发改委、省交通运输厅、省商务厅</w:t>
            </w:r>
            <w:r>
              <w:rPr>
                <w:rFonts w:hint="default" w:ascii="Times New Roman" w:hAnsi="Times New Roman" w:eastAsia="仿宋_GB2312" w:cs="Times New Roman"/>
                <w:color w:val="000000"/>
                <w:spacing w:val="-2"/>
                <w:sz w:val="24"/>
                <w:szCs w:val="24"/>
                <w:lang w:eastAsia="zh-CN"/>
              </w:rPr>
              <w:t>）。</w:t>
            </w:r>
            <w:r>
              <w:rPr>
                <w:rFonts w:hint="default" w:ascii="Times New Roman" w:hAnsi="Times New Roman" w:eastAsia="仿宋_GB2312" w:cs="Times New Roman"/>
                <w:color w:val="000000"/>
                <w:spacing w:val="-2"/>
                <w:sz w:val="24"/>
                <w:szCs w:val="24"/>
              </w:rPr>
              <w:t>强化开放招商</w:t>
            </w:r>
            <w:r>
              <w:rPr>
                <w:rFonts w:hint="default" w:ascii="Times New Roman" w:hAnsi="Times New Roman" w:eastAsia="仿宋_GB2312" w:cs="Times New Roman"/>
                <w:color w:val="000000"/>
                <w:spacing w:val="-2"/>
                <w:sz w:val="24"/>
                <w:szCs w:val="24"/>
                <w:lang w:eastAsia="zh-CN"/>
              </w:rPr>
              <w:t>。</w:t>
            </w:r>
            <w:r>
              <w:rPr>
                <w:rFonts w:hint="default" w:ascii="Times New Roman" w:hAnsi="Times New Roman" w:eastAsia="仿宋_GB2312" w:cs="Times New Roman"/>
                <w:color w:val="000000"/>
                <w:spacing w:val="-2"/>
                <w:sz w:val="24"/>
                <w:szCs w:val="24"/>
              </w:rPr>
              <w:t>引导国内外大型物流服务集成商在我省设立全国性物流总部基地和区 域性集散分拨中心，提升国际</w:t>
            </w:r>
            <w:r>
              <w:rPr>
                <w:rFonts w:hint="default" w:ascii="Times New Roman" w:hAnsi="Times New Roman" w:eastAsia="仿宋_GB2312" w:cs="Times New Roman"/>
                <w:color w:val="000000"/>
                <w:spacing w:val="-2"/>
                <w:sz w:val="24"/>
                <w:szCs w:val="24"/>
                <w:lang w:val="en-US" w:eastAsia="zh-CN"/>
              </w:rPr>
              <w:t>物流</w:t>
            </w:r>
            <w:r>
              <w:rPr>
                <w:rFonts w:hint="default" w:ascii="Times New Roman" w:hAnsi="Times New Roman" w:eastAsia="仿宋_GB2312" w:cs="Times New Roman"/>
                <w:color w:val="000000"/>
                <w:spacing w:val="-2"/>
                <w:sz w:val="24"/>
                <w:szCs w:val="24"/>
              </w:rPr>
              <w:t>资源配置能力</w:t>
            </w:r>
            <w:r>
              <w:rPr>
                <w:rFonts w:hint="default" w:ascii="楷体_GB2312" w:hAnsi="楷体_GB2312" w:eastAsia="楷体_GB2312" w:cs="楷体_GB2312"/>
                <w:b w:val="0"/>
                <w:bCs/>
                <w:color w:val="000000"/>
                <w:kern w:val="0"/>
                <w:sz w:val="24"/>
                <w:szCs w:val="24"/>
                <w:lang w:val="en-US" w:eastAsia="zh-CN"/>
              </w:rPr>
              <w:t>（省发改委、省商务厅）</w:t>
            </w:r>
            <w:r>
              <w:rPr>
                <w:rFonts w:hint="default" w:ascii="Times New Roman" w:hAnsi="Times New Roman" w:eastAsia="仿宋_GB2312" w:cs="Times New Roman"/>
                <w:color w:val="000000"/>
                <w:spacing w:val="-2"/>
                <w:sz w:val="24"/>
                <w:szCs w:val="24"/>
                <w:lang w:eastAsia="zh-CN"/>
              </w:rPr>
              <w:t>。</w:t>
            </w:r>
            <w:r>
              <w:rPr>
                <w:rFonts w:hint="default" w:ascii="Times New Roman" w:hAnsi="Times New Roman" w:eastAsia="仿宋_GB2312" w:cs="Times New Roman"/>
                <w:color w:val="000000"/>
                <w:spacing w:val="-2"/>
                <w:sz w:val="24"/>
                <w:szCs w:val="24"/>
                <w:lang w:val="en-US" w:eastAsia="zh-CN"/>
              </w:rPr>
              <w:t>建立动态的省（部）级重点联系商贸物流企业名录，加强对重点企业的跟踪指导，在推进商贸物流试点和政策扶持上予以倾斜</w:t>
            </w:r>
            <w:r>
              <w:rPr>
                <w:rFonts w:hint="default" w:ascii="楷体_GB2312" w:hAnsi="楷体_GB2312" w:eastAsia="楷体_GB2312" w:cs="楷体_GB2312"/>
                <w:b w:val="0"/>
                <w:bCs/>
                <w:color w:val="000000"/>
                <w:kern w:val="0"/>
                <w:sz w:val="24"/>
                <w:szCs w:val="24"/>
                <w:lang w:val="en-US" w:eastAsia="zh-CN"/>
              </w:rPr>
              <w:t>（省商务厅）</w:t>
            </w:r>
            <w:r>
              <w:rPr>
                <w:rFonts w:hint="default" w:ascii="Times New Roman" w:hAnsi="Times New Roman" w:eastAsia="仿宋_GB2312" w:cs="Times New Roman"/>
                <w:color w:val="000000"/>
                <w:spacing w:val="-2"/>
                <w:sz w:val="24"/>
                <w:szCs w:val="24"/>
                <w:lang w:val="en-US" w:eastAsia="zh-CN"/>
              </w:rPr>
              <w:t>。</w:t>
            </w:r>
          </w:p>
        </w:tc>
        <w:tc>
          <w:tcPr>
            <w:tcW w:w="2119"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spacing w:line="280" w:lineRule="exact"/>
              <w:textAlignment w:val="auto"/>
              <w:rPr>
                <w:rFonts w:hint="eastAsia" w:ascii="仿宋_GB2312" w:hAnsi="仿宋_GB2312" w:eastAsia="仿宋_GB2312" w:cs="仿宋_GB2312"/>
                <w:b w:val="0"/>
                <w:bCs/>
                <w:color w:val="000000"/>
                <w:kern w:val="0"/>
                <w:sz w:val="24"/>
                <w:szCs w:val="24"/>
                <w:lang w:val="en-US" w:eastAsia="zh-CN"/>
              </w:rPr>
            </w:pPr>
            <w:r>
              <w:rPr>
                <w:rFonts w:hint="eastAsia" w:ascii="仿宋_GB2312" w:hAnsi="仿宋_GB2312" w:eastAsia="仿宋_GB2312" w:cs="仿宋_GB2312"/>
                <w:b w:val="0"/>
                <w:bCs/>
                <w:color w:val="000000"/>
                <w:kern w:val="0"/>
                <w:sz w:val="24"/>
                <w:szCs w:val="24"/>
                <w:lang w:val="en-US" w:eastAsia="zh-CN"/>
              </w:rPr>
              <w:t>到2025年，全省A级商贸物流企业达到200家以上，国内外大型物流服务集成商在陕西设立总部或分拨中心达10个以上。</w:t>
            </w:r>
          </w:p>
        </w:tc>
        <w:tc>
          <w:tcPr>
            <w:tcW w:w="807"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spacing w:line="280" w:lineRule="exact"/>
              <w:ind w:right="0" w:rightChars="0"/>
              <w:jc w:val="left"/>
              <w:textAlignment w:val="auto"/>
              <w:rPr>
                <w:rFonts w:hint="default" w:ascii="Times New Roman" w:hAnsi="Times New Roman" w:eastAsia="华文楷体" w:cs="Times New Roman"/>
                <w:color w:val="000000"/>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64" w:hRule="atLeast"/>
          <w:jc w:val="center"/>
        </w:trPr>
        <w:tc>
          <w:tcPr>
            <w:tcW w:w="870" w:type="dxa"/>
            <w:vMerge w:val="continue"/>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spacing w:line="280" w:lineRule="exact"/>
              <w:ind w:right="0" w:rightChars="0"/>
              <w:jc w:val="left"/>
              <w:textAlignment w:val="auto"/>
              <w:rPr>
                <w:rFonts w:hint="default" w:ascii="Times New Roman" w:hAnsi="Times New Roman" w:eastAsia="楷体" w:cs="Times New Roman"/>
                <w:b/>
                <w:i w:val="0"/>
                <w:caps w:val="0"/>
                <w:color w:val="000000"/>
                <w:spacing w:val="0"/>
                <w:sz w:val="24"/>
                <w:szCs w:val="24"/>
                <w:lang w:val="en-US" w:eastAsia="zh-CN"/>
              </w:rPr>
            </w:pPr>
          </w:p>
        </w:tc>
        <w:tc>
          <w:tcPr>
            <w:tcW w:w="4982"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spacing w:line="280" w:lineRule="exact"/>
              <w:ind w:left="0" w:leftChars="0" w:firstLine="240" w:firstLineChars="100"/>
              <w:textAlignment w:val="auto"/>
              <w:rPr>
                <w:rFonts w:hint="default" w:ascii="Times New Roman" w:hAnsi="Times New Roman" w:eastAsia="楷体" w:cs="Times New Roman"/>
                <w:color w:val="000000"/>
                <w:sz w:val="24"/>
                <w:szCs w:val="24"/>
                <w:lang w:val="en-US" w:eastAsia="zh-CN"/>
              </w:rPr>
            </w:pPr>
            <w:r>
              <w:rPr>
                <w:rFonts w:hint="eastAsia" w:ascii="仿宋_GB2312" w:hAnsi="仿宋_GB2312" w:eastAsia="仿宋_GB2312" w:cs="仿宋_GB2312"/>
                <w:color w:val="000000"/>
                <w:sz w:val="24"/>
                <w:szCs w:val="24"/>
                <w:lang w:val="en-US" w:eastAsia="zh-CN"/>
              </w:rPr>
              <w:t>11.创新金融服务。鼓励引导银行业金融机构在风险可控的基础上，按照市场化、商业可持续原则，支持商贸物流高质量发展，优化信贷服务，重点提升省级重点商贸物流企业和城乡配送网络建设项目服务水平。（</w:t>
            </w:r>
            <w:r>
              <w:rPr>
                <w:rFonts w:hint="eastAsia" w:ascii="楷体_GB2312" w:hAnsi="楷体_GB2312" w:eastAsia="楷体_GB2312" w:cs="楷体_GB2312"/>
                <w:b w:val="0"/>
                <w:bCs/>
                <w:color w:val="000000"/>
                <w:kern w:val="0"/>
                <w:sz w:val="24"/>
                <w:szCs w:val="24"/>
                <w:lang w:val="en-US" w:eastAsia="zh-CN" w:bidi="ar-SA"/>
              </w:rPr>
              <w:t>人民银行西安分行、省商务厅）</w:t>
            </w:r>
            <w:r>
              <w:rPr>
                <w:rFonts w:hint="eastAsia" w:ascii="仿宋_GB2312" w:hAnsi="仿宋_GB2312" w:eastAsia="仿宋_GB2312" w:cs="仿宋_GB2312"/>
                <w:color w:val="000000"/>
                <w:sz w:val="24"/>
                <w:szCs w:val="24"/>
                <w:lang w:val="en-US" w:eastAsia="zh-CN"/>
              </w:rPr>
              <w:t>。</w:t>
            </w:r>
          </w:p>
        </w:tc>
        <w:tc>
          <w:tcPr>
            <w:tcW w:w="2119"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spacing w:line="280" w:lineRule="exact"/>
              <w:textAlignment w:val="auto"/>
              <w:rPr>
                <w:rFonts w:hint="eastAsia" w:ascii="仿宋_GB2312" w:hAnsi="仿宋_GB2312" w:eastAsia="仿宋_GB2312" w:cs="仿宋_GB2312"/>
                <w:b w:val="0"/>
                <w:bCs/>
                <w:color w:val="000000"/>
                <w:kern w:val="0"/>
                <w:sz w:val="24"/>
                <w:szCs w:val="24"/>
                <w:lang w:val="en-US" w:eastAsia="zh-CN"/>
              </w:rPr>
            </w:pPr>
            <w:r>
              <w:rPr>
                <w:rFonts w:hint="eastAsia" w:ascii="仿宋_GB2312" w:hAnsi="仿宋_GB2312" w:eastAsia="仿宋_GB2312" w:cs="仿宋_GB2312"/>
                <w:b w:val="0"/>
                <w:bCs/>
                <w:color w:val="000000"/>
                <w:kern w:val="0"/>
                <w:sz w:val="24"/>
                <w:szCs w:val="24"/>
                <w:lang w:val="en-US" w:eastAsia="zh-CN"/>
              </w:rPr>
              <w:t>到2025年底商贸物流行业融资额持续增加。</w:t>
            </w:r>
          </w:p>
        </w:tc>
        <w:tc>
          <w:tcPr>
            <w:tcW w:w="807"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spacing w:line="280" w:lineRule="exact"/>
              <w:ind w:right="0" w:rightChars="0"/>
              <w:jc w:val="left"/>
              <w:textAlignment w:val="auto"/>
              <w:rPr>
                <w:rFonts w:hint="default" w:ascii="Times New Roman" w:hAnsi="Times New Roman" w:eastAsia="华文楷体" w:cs="Times New Roman"/>
                <w:color w:val="000000"/>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71" w:hRule="atLeast"/>
          <w:jc w:val="center"/>
        </w:trPr>
        <w:tc>
          <w:tcPr>
            <w:tcW w:w="870" w:type="dxa"/>
            <w:vMerge w:val="continue"/>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spacing w:line="280" w:lineRule="exact"/>
              <w:ind w:right="0" w:rightChars="0"/>
              <w:jc w:val="left"/>
              <w:textAlignment w:val="auto"/>
              <w:rPr>
                <w:rFonts w:hint="default" w:ascii="Times New Roman" w:hAnsi="Times New Roman" w:eastAsia="楷体" w:cs="Times New Roman"/>
                <w:b/>
                <w:i w:val="0"/>
                <w:caps w:val="0"/>
                <w:color w:val="000000"/>
                <w:spacing w:val="0"/>
                <w:sz w:val="24"/>
                <w:szCs w:val="24"/>
                <w:lang w:val="en-US" w:eastAsia="zh-CN"/>
              </w:rPr>
            </w:pPr>
          </w:p>
        </w:tc>
        <w:tc>
          <w:tcPr>
            <w:tcW w:w="498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firstLine="240" w:firstLineChars="100"/>
              <w:textAlignment w:val="auto"/>
              <w:outlineLvl w:val="9"/>
              <w:rPr>
                <w:rFonts w:hint="default" w:ascii="Times New Roman" w:hAnsi="Times New Roman" w:eastAsia="楷体" w:cs="Times New Roman"/>
                <w:color w:val="000000"/>
                <w:sz w:val="24"/>
                <w:szCs w:val="24"/>
                <w:lang w:val="en-US" w:eastAsia="zh-CN"/>
              </w:rPr>
            </w:pPr>
            <w:r>
              <w:rPr>
                <w:rStyle w:val="22"/>
                <w:rFonts w:hint="eastAsia" w:ascii="仿宋_GB2312" w:hAnsi="仿宋_GB2312" w:eastAsia="仿宋_GB2312" w:cs="仿宋_GB2312"/>
                <w:b w:val="0"/>
                <w:bCs/>
                <w:color w:val="000000"/>
                <w:sz w:val="24"/>
                <w:szCs w:val="24"/>
                <w:lang w:val="en-US" w:eastAsia="zh-CN"/>
              </w:rPr>
              <w:t>12.强化政策集成。完善物流设施用地规划，促进城市物流规划与国土空间规划相衔接，保障商贸物流基础设施用地需求。鼓励地方政府合理设置物流用地绩效考核指标，整合盘活存量土地资源用于商贸物流设施建设</w:t>
            </w:r>
            <w:r>
              <w:rPr>
                <w:rStyle w:val="22"/>
                <w:rFonts w:hint="eastAsia" w:ascii="楷体_GB2312" w:hAnsi="楷体_GB2312" w:eastAsia="楷体_GB2312" w:cs="楷体_GB2312"/>
                <w:b w:val="0"/>
                <w:bCs/>
                <w:color w:val="000000"/>
                <w:sz w:val="24"/>
                <w:szCs w:val="24"/>
                <w:lang w:val="en-US" w:eastAsia="zh-CN"/>
              </w:rPr>
              <w:t>（自然资源厅）</w:t>
            </w:r>
            <w:r>
              <w:rPr>
                <w:rStyle w:val="22"/>
                <w:rFonts w:hint="eastAsia" w:ascii="仿宋_GB2312" w:hAnsi="仿宋_GB2312" w:eastAsia="仿宋_GB2312" w:cs="仿宋_GB2312"/>
                <w:b w:val="0"/>
                <w:bCs/>
                <w:color w:val="000000"/>
                <w:sz w:val="24"/>
                <w:szCs w:val="24"/>
                <w:lang w:val="en-US" w:eastAsia="zh-CN"/>
              </w:rPr>
              <w:t>。省级各相关部门</w:t>
            </w:r>
            <w:r>
              <w:rPr>
                <w:rStyle w:val="22"/>
                <w:rFonts w:hint="eastAsia" w:ascii="仿宋_GB2312" w:hAnsi="仿宋_GB2312" w:eastAsia="仿宋_GB2312" w:cs="仿宋_GB2312"/>
                <w:b w:val="0"/>
                <w:bCs/>
                <w:color w:val="000000"/>
                <w:sz w:val="24"/>
                <w:szCs w:val="24"/>
                <w:lang w:eastAsia="zh-CN"/>
              </w:rPr>
              <w:t>要</w:t>
            </w:r>
            <w:r>
              <w:rPr>
                <w:rStyle w:val="22"/>
                <w:rFonts w:hint="eastAsia" w:ascii="仿宋_GB2312" w:hAnsi="仿宋_GB2312" w:eastAsia="仿宋_GB2312" w:cs="仿宋_GB2312"/>
                <w:b w:val="0"/>
                <w:bCs/>
                <w:color w:val="000000"/>
                <w:sz w:val="24"/>
                <w:szCs w:val="24"/>
                <w:lang w:val="en-US" w:eastAsia="zh-CN"/>
              </w:rPr>
              <w:t>结合重点任务分工，</w:t>
            </w:r>
            <w:r>
              <w:rPr>
                <w:rFonts w:hint="eastAsia" w:ascii="仿宋_GB2312" w:hAnsi="仿宋_GB2312" w:eastAsia="仿宋_GB2312" w:cs="仿宋_GB2312"/>
                <w:color w:val="000000"/>
                <w:sz w:val="24"/>
                <w:szCs w:val="24"/>
              </w:rPr>
              <w:t>积极争取</w:t>
            </w:r>
            <w:r>
              <w:rPr>
                <w:rFonts w:hint="eastAsia" w:ascii="仿宋_GB2312" w:hAnsi="仿宋_GB2312" w:eastAsia="仿宋_GB2312" w:cs="仿宋_GB2312"/>
                <w:color w:val="000000"/>
                <w:sz w:val="24"/>
                <w:szCs w:val="24"/>
                <w:lang w:val="en-US" w:eastAsia="zh-CN"/>
              </w:rPr>
              <w:t>中央财政支持，用好现有</w:t>
            </w:r>
            <w:r>
              <w:rPr>
                <w:rStyle w:val="22"/>
                <w:rFonts w:hint="eastAsia" w:ascii="仿宋_GB2312" w:hAnsi="仿宋_GB2312" w:eastAsia="仿宋_GB2312" w:cs="仿宋_GB2312"/>
                <w:b w:val="0"/>
                <w:bCs/>
                <w:color w:val="000000"/>
                <w:sz w:val="24"/>
                <w:szCs w:val="24"/>
                <w:lang w:val="en-US" w:eastAsia="zh-CN"/>
              </w:rPr>
              <w:t>省级相关专项资金支持商贸物流领域发展</w:t>
            </w:r>
            <w:r>
              <w:rPr>
                <w:rFonts w:hint="eastAsia" w:ascii="仿宋_GB2312" w:hAnsi="仿宋_GB2312" w:eastAsia="仿宋_GB2312" w:cs="仿宋_GB2312"/>
                <w:color w:val="000000"/>
                <w:sz w:val="24"/>
                <w:szCs w:val="24"/>
                <w:lang w:eastAsia="zh-CN"/>
              </w:rPr>
              <w:t>（</w:t>
            </w:r>
            <w:r>
              <w:rPr>
                <w:rFonts w:hint="eastAsia" w:ascii="华文楷体" w:hAnsi="华文楷体" w:eastAsia="华文楷体" w:cs="华文楷体"/>
                <w:color w:val="000000"/>
                <w:sz w:val="24"/>
                <w:szCs w:val="24"/>
                <w:lang w:val="en-US" w:eastAsia="zh-CN"/>
              </w:rPr>
              <w:t>省级各相关部门</w:t>
            </w:r>
            <w:r>
              <w:rPr>
                <w:rFonts w:hint="eastAsia" w:ascii="仿宋_GB2312" w:hAnsi="仿宋_GB2312" w:eastAsia="仿宋_GB2312" w:cs="仿宋_GB2312"/>
                <w:color w:val="000000"/>
                <w:sz w:val="24"/>
                <w:szCs w:val="24"/>
                <w:lang w:eastAsia="zh-CN"/>
              </w:rPr>
              <w:t>）。</w:t>
            </w:r>
            <w:r>
              <w:rPr>
                <w:rFonts w:hint="default" w:ascii="Times New Roman" w:hAnsi="Times New Roman" w:eastAsia="仿宋_GB2312" w:cs="Times New Roman"/>
                <w:color w:val="000000"/>
                <w:sz w:val="24"/>
                <w:szCs w:val="24"/>
                <w:lang w:val="en-US" w:eastAsia="zh-CN"/>
              </w:rPr>
              <w:t>各级政府要出台支持商贸物流发展相关政策，落实城乡配送车辆“四统一”（统一车型、统一标识、统一管理、统一标准）工作</w:t>
            </w:r>
            <w:r>
              <w:rPr>
                <w:rFonts w:hint="default" w:ascii="楷体_GB2312" w:hAnsi="楷体_GB2312" w:eastAsia="楷体_GB2312" w:cs="楷体_GB2312"/>
                <w:b w:val="0"/>
                <w:bCs/>
                <w:color w:val="000000"/>
                <w:kern w:val="0"/>
                <w:sz w:val="24"/>
                <w:szCs w:val="24"/>
                <w:lang w:val="en-US" w:eastAsia="zh-CN"/>
              </w:rPr>
              <w:t>（省商务厅、各市（区）政府）</w:t>
            </w:r>
            <w:r>
              <w:rPr>
                <w:rFonts w:hint="default" w:ascii="Times New Roman" w:hAnsi="Times New Roman" w:eastAsia="仿宋_GB2312" w:cs="Times New Roman"/>
                <w:color w:val="000000"/>
                <w:sz w:val="24"/>
                <w:szCs w:val="24"/>
                <w:lang w:val="en-US" w:eastAsia="zh-CN"/>
              </w:rPr>
              <w:t>。</w:t>
            </w:r>
          </w:p>
        </w:tc>
        <w:tc>
          <w:tcPr>
            <w:tcW w:w="2119"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spacing w:line="280" w:lineRule="exact"/>
              <w:textAlignment w:val="auto"/>
              <w:rPr>
                <w:rFonts w:hint="eastAsia" w:ascii="仿宋_GB2312" w:hAnsi="仿宋_GB2312" w:eastAsia="仿宋_GB2312" w:cs="仿宋_GB2312"/>
                <w:b w:val="0"/>
                <w:bCs/>
                <w:color w:val="000000"/>
                <w:kern w:val="0"/>
                <w:sz w:val="24"/>
                <w:szCs w:val="24"/>
                <w:lang w:val="en-US" w:eastAsia="zh-CN"/>
              </w:rPr>
            </w:pPr>
            <w:r>
              <w:rPr>
                <w:rFonts w:hint="eastAsia" w:ascii="仿宋_GB2312" w:hAnsi="仿宋_GB2312" w:eastAsia="仿宋_GB2312" w:cs="仿宋_GB2312"/>
                <w:b w:val="0"/>
                <w:bCs/>
                <w:color w:val="000000"/>
                <w:kern w:val="0"/>
                <w:sz w:val="24"/>
                <w:szCs w:val="24"/>
                <w:lang w:val="en-US" w:eastAsia="zh-CN"/>
              </w:rPr>
              <w:t>积极争取国家财政资金支持陕西开展商贸物流建设试点，省级各部门对商贸物流项目有支持资金；50%以上设区市出台发展商贸物流政策，到2025年，城乡配送车辆“四统一”达到100%</w:t>
            </w:r>
          </w:p>
        </w:tc>
        <w:tc>
          <w:tcPr>
            <w:tcW w:w="80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outlineLvl w:val="9"/>
              <w:rPr>
                <w:rFonts w:hint="default" w:ascii="Times New Roman" w:hAnsi="Times New Roman" w:eastAsia="华文楷体" w:cs="Times New Roman"/>
                <w:color w:val="000000"/>
                <w:sz w:val="24"/>
                <w:szCs w:val="24"/>
                <w:lang w:val="en-US" w:eastAsia="zh-CN"/>
              </w:rPr>
            </w:pPr>
          </w:p>
        </w:tc>
      </w:tr>
    </w:tbl>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jc w:val="both"/>
        <w:textAlignment w:val="auto"/>
        <w:rPr>
          <w:rFonts w:hint="eastAsia" w:ascii="楷体_GB2312" w:hAnsi="楷体_GB2312" w:eastAsia="楷体_GB2312" w:cs="楷体_GB2312"/>
          <w:color w:val="333333"/>
          <w:sz w:val="32"/>
          <w:szCs w:val="32"/>
          <w:shd w:val="clear" w:color="auto"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1"/>
    <w:family w:val="auto"/>
    <w:pitch w:val="default"/>
    <w:sig w:usb0="00000000" w:usb1="00000000" w:usb2="00000009" w:usb3="00000000" w:csb0="400001FF" w:csb1="FFFF0000"/>
  </w:font>
  <w:font w:name="宋体">
    <w:altName w:val="方正书宋_GBK"/>
    <w:panose1 w:val="02010600030101010101"/>
    <w:charset w:val="00"/>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楷体_GB2312">
    <w:altName w:val="方正楷体_GBK"/>
    <w:panose1 w:val="02010609030101010101"/>
    <w:charset w:val="86"/>
    <w:family w:val="modern"/>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C059">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楷体_GB2312">
    <w:altName w:val="方正楷体_GBK"/>
    <w:panose1 w:val="02010609030101010101"/>
    <w:charset w:val="00"/>
    <w:family w:val="modern"/>
    <w:pitch w:val="default"/>
    <w:sig w:usb0="00000000" w:usb1="00000000" w:usb2="00000010" w:usb3="00000000" w:csb0="00040000" w:csb1="00000000"/>
  </w:font>
  <w:font w:name="仿宋_GB2312">
    <w:altName w:val="方正仿宋_GBK"/>
    <w:panose1 w:val="02010609030101010101"/>
    <w:charset w:val="00"/>
    <w:family w:val="modern"/>
    <w:pitch w:val="default"/>
    <w:sig w:usb0="00000000" w:usb1="00000000" w:usb2="00000010" w:usb3="00000000" w:csb0="00040000" w:csb1="00000000"/>
  </w:font>
  <w:font w:name="sans-serif">
    <w:altName w:val="URW Bookman"/>
    <w:panose1 w:val="00000000000000000000"/>
    <w:charset w:val="00"/>
    <w:family w:val="auto"/>
    <w:pitch w:val="default"/>
    <w:sig w:usb0="00000000" w:usb1="00000000" w:usb2="00000000" w:usb3="00000000" w:csb0="00040001" w:csb1="00000000"/>
  </w:font>
  <w:font w:name="URW Bookman">
    <w:panose1 w:val="00000400000000000000"/>
    <w:charset w:val="00"/>
    <w:family w:val="auto"/>
    <w:pitch w:val="default"/>
    <w:sig w:usb0="00000287" w:usb1="00000800" w:usb2="00000000" w:usb3="00000000" w:csb0="6000009F" w:csb1="00000000"/>
  </w:font>
  <w:font w:name="方正黑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00"/>
    <w:family w:val="auto"/>
    <w:pitch w:val="default"/>
    <w:sig w:usb0="00000000" w:usb1="00000000"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4788" w:leftChars="2280" w:firstLine="6400" w:firstLineChars="2000"/>
      <w:rPr>
        <w:rFonts w:eastAsia="仿宋"/>
        <w:sz w:val="32"/>
        <w:szCs w:val="48"/>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45135" cy="230505"/>
              <wp:effectExtent l="0" t="0" r="0" b="0"/>
              <wp:wrapNone/>
              <wp:docPr id="3" name="文本框 8"/>
              <wp:cNvGraphicFramePr/>
              <a:graphic xmlns:a="http://schemas.openxmlformats.org/drawingml/2006/main">
                <a:graphicData uri="http://schemas.microsoft.com/office/word/2010/wordprocessingShape">
                  <wps:wsp>
                    <wps:cNvSpPr>
                      <a:spLocks noChangeArrowheads="true"/>
                    </wps:cNvSpPr>
                    <wps:spPr bwMode="auto">
                      <a:xfrm>
                        <a:off x="0" y="0"/>
                        <a:ext cx="445135" cy="230505"/>
                      </a:xfrm>
                      <a:prstGeom prst="rect">
                        <a:avLst/>
                      </a:prstGeom>
                      <a:noFill/>
                      <a:ln>
                        <a:noFill/>
                      </a:ln>
                    </wps:spPr>
                    <wps:txbx>
                      <w:txbxContent>
                        <w:p>
                          <w:pPr>
                            <w:pStyle w:val="9"/>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vert="horz" wrap="none" lIns="0" tIns="0" rIns="0" bIns="0" anchor="t" anchorCtr="false" upright="true">
                      <a:spAutoFit/>
                    </wps:bodyPr>
                  </wps:wsp>
                </a:graphicData>
              </a:graphic>
            </wp:anchor>
          </w:drawing>
        </mc:Choice>
        <mc:Fallback>
          <w:pict>
            <v:rect id="文本框 8" o:spid="_x0000_s1026" o:spt="1" style="position:absolute;left:0pt;margin-top:0pt;height:18.15pt;width:35.05pt;mso-position-horizontal:outside;mso-position-horizontal-relative:margin;mso-wrap-style:none;z-index:251660288;mso-width-relative:page;mso-height-relative:page;" filled="f" stroked="f" coordsize="21600,21600" o:gfxdata="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DslI2s0gAAAAMBAAAPAAAAAAAAAAEAIAAAADgAAABkcnMvZG93&#10;bnJldi54bWxQSwECFAAUAAAACACHTuJAgRwSDvABAAC0AwAADgAAAAAAAAABACAAAAA3AQAAZHJz&#10;L2Uyb0RvYy54bWxQSwUGAAAAAAYABgBZAQAAmQUAAAAA&#10;">
              <v:fill on="f" focussize="0,0"/>
              <v:stroke on="f"/>
              <v:imagedata o:title=""/>
              <o:lock v:ext="edit" aspectratio="f"/>
              <v:textbox inset="0mm,0mm,0mm,0mm" style="mso-fit-shape-to-text:t;">
                <w:txbxContent>
                  <w:p>
                    <w:pPr>
                      <w:pStyle w:val="9"/>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rect>
          </w:pict>
        </mc:Fallback>
      </mc:AlternateContent>
    </w:r>
    <w:r>
      <w:rPr>
        <w:rFonts w:hint="eastAsia" w:eastAsia="仿宋"/>
        <w:sz w:val="32"/>
        <w:szCs w:val="48"/>
      </w:rPr>
      <w:t xml:space="preserve">  </w:t>
    </w:r>
  </w:p>
  <w:p>
    <w:pPr>
      <w:pStyle w:val="10"/>
      <w:wordWrap w:val="0"/>
      <w:ind w:left="4788" w:leftChars="2280" w:firstLine="6400" w:firstLineChars="2000"/>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19050" t="17145" r="12700" b="19050"/>
              <wp:wrapNone/>
              <wp:docPr id="2"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5616575" cy="1905"/>
                      </a:xfrm>
                      <a:prstGeom prst="line">
                        <a:avLst/>
                      </a:prstGeom>
                      <a:noFill/>
                      <a:ln w="22225">
                        <a:solidFill>
                          <a:srgbClr val="005192"/>
                        </a:solidFill>
                        <a:round/>
                      </a:ln>
                    </wps:spPr>
                    <wps:bodyPr/>
                  </wps:wsp>
                </a:graphicData>
              </a:graphic>
            </wp:anchor>
          </w:drawing>
        </mc:Choice>
        <mc:Fallback>
          <w:pict>
            <v:line id="直接连接符 5" o:spid="_x0000_s1026" o:spt="20" style="position:absolute;left:0pt;margin-left:0pt;margin-top:5.85pt;height:0.15pt;width:442.25pt;z-index:251659264;mso-width-relative:page;mso-height-relative:page;" filled="f" stroked="t" coordsize="21600,21600" o:gfxdata="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O/yR1fSAAAABgEA&#10;AA8AAAAAAAAAAQAgAAAAOAAAAGRycy9kb3ducmV2LnhtbFBLAQIUABQAAAAIAIdO4kCEZ37Q0QEA&#10;AGMDAAAOAAAAAAAAAAEAIAAAADcBAABkcnMvZTJvRG9jLnhtbFBLBQYAAAAABgAGAFkBAAB6BQAA&#10;AAA=&#10;">
              <v:fill on="f" focussize="0,0"/>
              <v:stroke weight="1.75pt" color="#005192" joinstyle="round"/>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rPr>
      <w:t>陕西省</w:t>
    </w:r>
    <w:r>
      <w:rPr>
        <w:rFonts w:hint="eastAsia" w:ascii="宋体" w:hAnsi="宋体" w:cs="宋体"/>
        <w:b/>
        <w:bCs/>
        <w:color w:val="005192"/>
        <w:sz w:val="28"/>
        <w:szCs w:val="44"/>
        <w:lang w:eastAsia="zh-CN"/>
      </w:rPr>
      <w:t>商务厅</w:t>
    </w:r>
    <w:r>
      <w:rPr>
        <w:rFonts w:hint="eastAsia" w:ascii="宋体" w:hAnsi="宋体" w:cs="宋体"/>
        <w:b/>
        <w:bCs/>
        <w:color w:val="005192"/>
        <w:sz w:val="28"/>
        <w:szCs w:val="44"/>
      </w:rPr>
      <w:t xml:space="preserve">发布     </w:t>
    </w:r>
  </w:p>
  <w:p>
    <w:pPr>
      <w:pStyle w:val="10"/>
      <w:wordWrap w:val="0"/>
      <w:ind w:left="4788" w:leftChars="2280" w:firstLine="5621"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extAlignment w:val="center"/>
      <w:rPr>
        <w:rFonts w:ascii="宋体" w:hAnsi="宋体" w:cs="宋体"/>
        <w:b/>
        <w:bCs/>
        <w:color w:val="005192"/>
        <w:sz w:val="32"/>
      </w:rPr>
    </w:pPr>
    <w:r>
      <w:rPr>
        <w:rFonts w:ascii="宋体" w:hAnsi="宋体" w:cs="宋体"/>
        <w:b/>
        <w:bCs/>
        <w:color w:val="005192"/>
        <w:sz w:val="32"/>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690245</wp:posOffset>
              </wp:positionV>
              <wp:extent cx="5620385" cy="635"/>
              <wp:effectExtent l="15240" t="13970" r="12700" b="13970"/>
              <wp:wrapNone/>
              <wp:docPr id="4" name="直接连接符 4"/>
              <wp:cNvGraphicFramePr/>
              <a:graphic xmlns:a="http://schemas.openxmlformats.org/drawingml/2006/main">
                <a:graphicData uri="http://schemas.microsoft.com/office/word/2010/wordprocessingShape">
                  <wps:wsp>
                    <wps:cNvCnPr>
                      <a:cxnSpLocks noChangeShapeType="true"/>
                    </wps:cNvCnPr>
                    <wps:spPr bwMode="auto">
                      <a:xfrm>
                        <a:off x="0" y="0"/>
                        <a:ext cx="5620385" cy="635"/>
                      </a:xfrm>
                      <a:prstGeom prst="line">
                        <a:avLst/>
                      </a:prstGeom>
                      <a:noFill/>
                      <a:ln w="22225">
                        <a:solidFill>
                          <a:srgbClr val="005192"/>
                        </a:solidFill>
                        <a:round/>
                      </a:ln>
                    </wps:spPr>
                    <wps:bodyPr/>
                  </wps:wsp>
                </a:graphicData>
              </a:graphic>
            </wp:anchor>
          </w:drawing>
        </mc:Choice>
        <mc:Fallback>
          <w:pict>
            <v:line id="_x0000_s1026" o:spid="_x0000_s1026" o:spt="20" style="position:absolute;left:0pt;margin-left:-0.3pt;margin-top:54.35pt;height:0.05pt;width:442.55pt;z-index:251658240;mso-width-relative:page;mso-height-relative:page;" filled="f" stroked="t" coordsize="21600,21600" o:gfxdata="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M2hKwnSAAAACQEA&#10;AA8AAAAAAAAAAQAgAAAAOAAAAGRycy9kb3ducmV2LnhtbFBLAQIUABQAAAAIAIdO4kCqUxRQ0QEA&#10;AGIDAAAOAAAAAAAAAAEAIAAAADcBAABkcnMvZTJvRG9jLnhtbFBLBQYAAAAABgAGAFkBAAB6BQAA&#10;AAA=&#10;">
              <v:fill on="f" focussize="0,0"/>
              <v:stroke weight="1.75pt" color="#005192" joinstyle="round"/>
              <v:imagedata o:title=""/>
              <o:lock v:ext="edit" aspectratio="f"/>
            </v:line>
          </w:pict>
        </mc:Fallback>
      </mc:AlternateContent>
    </w:r>
  </w:p>
  <w:p>
    <w:pPr>
      <w:pStyle w:val="10"/>
      <w:textAlignment w:val="center"/>
      <w:rPr>
        <w:rFonts w:ascii="宋体" w:hAnsi="宋体" w:cs="宋体"/>
        <w:b/>
        <w:bCs/>
        <w:color w:val="005192"/>
        <w:sz w:val="32"/>
        <w:szCs w:val="32"/>
      </w:rPr>
    </w:pPr>
    <w:r>
      <w:rPr>
        <w:rFonts w:ascii="宋体" w:hAnsi="宋体" w:cs="宋体"/>
        <w:b/>
        <w:bCs/>
        <w:color w:val="005192"/>
        <w:sz w:val="32"/>
      </w:rPr>
      <w:drawing>
        <wp:inline distT="0" distB="0" distL="0" distR="0">
          <wp:extent cx="311150" cy="311150"/>
          <wp:effectExtent l="0" t="0" r="0" b="0"/>
          <wp:docPr id="1" name="图片 1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1"/>
                  <pic:cNvPicPr>
                    <a:picLocks noChangeAspect="true" noChangeArrowheads="true"/>
                  </pic:cNvPicPr>
                </pic:nvPicPr>
                <pic:blipFill>
                  <a:blip r:embed="rId1">
                    <a:extLst>
                      <a:ext uri="{28A0092B-C50C-407E-A947-70E740481C1C}">
                        <a14:useLocalDpi xmlns:a14="http://schemas.microsoft.com/office/drawing/2010/main" val="false"/>
                      </a:ext>
                    </a:extLst>
                  </a:blip>
                  <a:srcRect/>
                  <a:stretch>
                    <a:fillRect/>
                  </a:stretch>
                </pic:blipFill>
                <pic:spPr>
                  <a:xfrm>
                    <a:off x="0" y="0"/>
                    <a:ext cx="311150" cy="311150"/>
                  </a:xfrm>
                  <a:prstGeom prst="rect">
                    <a:avLst/>
                  </a:prstGeom>
                  <a:noFill/>
                  <a:ln>
                    <a:noFill/>
                  </a:ln>
                </pic:spPr>
              </pic:pic>
            </a:graphicData>
          </a:graphic>
        </wp:inline>
      </w:drawing>
    </w:r>
    <w:bookmarkStart w:id="0" w:name="_Hlk91518048"/>
    <w:r>
      <w:rPr>
        <w:rFonts w:hint="eastAsia" w:ascii="宋体" w:hAnsi="宋体" w:cs="宋体"/>
        <w:b/>
        <w:bCs/>
        <w:color w:val="005192"/>
        <w:sz w:val="32"/>
        <w:szCs w:val="32"/>
      </w:rPr>
      <w:t>陕西省</w:t>
    </w:r>
    <w:bookmarkEnd w:id="0"/>
    <w:r>
      <w:rPr>
        <w:rFonts w:hint="eastAsia" w:ascii="宋体" w:hAnsi="宋体" w:cs="宋体"/>
        <w:b/>
        <w:bCs/>
        <w:color w:val="005192"/>
        <w:sz w:val="32"/>
        <w:szCs w:val="32"/>
        <w:lang w:eastAsia="zh-CN"/>
      </w:rPr>
      <w:t>商务厅</w:t>
    </w:r>
    <w:r>
      <w:rPr>
        <w:rFonts w:hint="eastAsia" w:ascii="宋体" w:hAnsi="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02C8"/>
    <w:rsid w:val="000167BC"/>
    <w:rsid w:val="000226F3"/>
    <w:rsid w:val="00045270"/>
    <w:rsid w:val="00046993"/>
    <w:rsid w:val="000674F0"/>
    <w:rsid w:val="00071571"/>
    <w:rsid w:val="00082A2B"/>
    <w:rsid w:val="00082A6A"/>
    <w:rsid w:val="000B304C"/>
    <w:rsid w:val="000C0D40"/>
    <w:rsid w:val="000C446F"/>
    <w:rsid w:val="000E01DF"/>
    <w:rsid w:val="000F0374"/>
    <w:rsid w:val="000F3B66"/>
    <w:rsid w:val="000F7E2E"/>
    <w:rsid w:val="00141111"/>
    <w:rsid w:val="00172A27"/>
    <w:rsid w:val="00181444"/>
    <w:rsid w:val="00196A77"/>
    <w:rsid w:val="001A3828"/>
    <w:rsid w:val="001B3ADB"/>
    <w:rsid w:val="001C529D"/>
    <w:rsid w:val="001D130E"/>
    <w:rsid w:val="002027B8"/>
    <w:rsid w:val="002108C8"/>
    <w:rsid w:val="002165D5"/>
    <w:rsid w:val="0023005C"/>
    <w:rsid w:val="00240DFD"/>
    <w:rsid w:val="00240E10"/>
    <w:rsid w:val="00245867"/>
    <w:rsid w:val="0024710B"/>
    <w:rsid w:val="00251E7D"/>
    <w:rsid w:val="00264F77"/>
    <w:rsid w:val="0027445A"/>
    <w:rsid w:val="002B5203"/>
    <w:rsid w:val="002D4311"/>
    <w:rsid w:val="002F08DA"/>
    <w:rsid w:val="00300A70"/>
    <w:rsid w:val="0030273D"/>
    <w:rsid w:val="003151B0"/>
    <w:rsid w:val="00325FC8"/>
    <w:rsid w:val="0036697B"/>
    <w:rsid w:val="0036709C"/>
    <w:rsid w:val="0036781B"/>
    <w:rsid w:val="00370FEA"/>
    <w:rsid w:val="003A107A"/>
    <w:rsid w:val="003A2E85"/>
    <w:rsid w:val="003F2D22"/>
    <w:rsid w:val="004B05F0"/>
    <w:rsid w:val="004D5222"/>
    <w:rsid w:val="00551D1C"/>
    <w:rsid w:val="005704E2"/>
    <w:rsid w:val="0057521D"/>
    <w:rsid w:val="005767A1"/>
    <w:rsid w:val="005A7BF0"/>
    <w:rsid w:val="005C02EC"/>
    <w:rsid w:val="005D54D2"/>
    <w:rsid w:val="005E2D42"/>
    <w:rsid w:val="005F08CC"/>
    <w:rsid w:val="00602F3B"/>
    <w:rsid w:val="0060702A"/>
    <w:rsid w:val="0062602D"/>
    <w:rsid w:val="00641B22"/>
    <w:rsid w:val="00641F4E"/>
    <w:rsid w:val="00647BF9"/>
    <w:rsid w:val="006C4486"/>
    <w:rsid w:val="006E48E1"/>
    <w:rsid w:val="00724A00"/>
    <w:rsid w:val="00744087"/>
    <w:rsid w:val="00751763"/>
    <w:rsid w:val="00752648"/>
    <w:rsid w:val="00752757"/>
    <w:rsid w:val="00754135"/>
    <w:rsid w:val="0079152F"/>
    <w:rsid w:val="00794921"/>
    <w:rsid w:val="00796A26"/>
    <w:rsid w:val="007A7922"/>
    <w:rsid w:val="007B34F0"/>
    <w:rsid w:val="007C4CD9"/>
    <w:rsid w:val="007D72DC"/>
    <w:rsid w:val="008024B3"/>
    <w:rsid w:val="00825573"/>
    <w:rsid w:val="008311A0"/>
    <w:rsid w:val="00853A8A"/>
    <w:rsid w:val="00854687"/>
    <w:rsid w:val="008665FE"/>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22BEE"/>
    <w:rsid w:val="00A35990"/>
    <w:rsid w:val="00A364A1"/>
    <w:rsid w:val="00A57232"/>
    <w:rsid w:val="00A91971"/>
    <w:rsid w:val="00B05459"/>
    <w:rsid w:val="00B103B5"/>
    <w:rsid w:val="00B13B27"/>
    <w:rsid w:val="00B14E06"/>
    <w:rsid w:val="00B209BB"/>
    <w:rsid w:val="00B22AC2"/>
    <w:rsid w:val="00B231C1"/>
    <w:rsid w:val="00B30642"/>
    <w:rsid w:val="00B55B17"/>
    <w:rsid w:val="00B67A5B"/>
    <w:rsid w:val="00B71AAE"/>
    <w:rsid w:val="00B90F66"/>
    <w:rsid w:val="00BA2E94"/>
    <w:rsid w:val="00BD3B9A"/>
    <w:rsid w:val="00BF00B2"/>
    <w:rsid w:val="00C006C6"/>
    <w:rsid w:val="00C1088E"/>
    <w:rsid w:val="00C30BED"/>
    <w:rsid w:val="00C6020D"/>
    <w:rsid w:val="00C6303B"/>
    <w:rsid w:val="00C726B1"/>
    <w:rsid w:val="00C732A3"/>
    <w:rsid w:val="00C761D5"/>
    <w:rsid w:val="00CB0E04"/>
    <w:rsid w:val="00CC446A"/>
    <w:rsid w:val="00CE1F22"/>
    <w:rsid w:val="00D16E56"/>
    <w:rsid w:val="00D22822"/>
    <w:rsid w:val="00D232C0"/>
    <w:rsid w:val="00D33EB9"/>
    <w:rsid w:val="00D34292"/>
    <w:rsid w:val="00D628F6"/>
    <w:rsid w:val="00D639B0"/>
    <w:rsid w:val="00D64696"/>
    <w:rsid w:val="00D76B4C"/>
    <w:rsid w:val="00D9223D"/>
    <w:rsid w:val="00D9684C"/>
    <w:rsid w:val="00DB79BC"/>
    <w:rsid w:val="00DC0158"/>
    <w:rsid w:val="00DD0DA2"/>
    <w:rsid w:val="00DE2CB3"/>
    <w:rsid w:val="00DF199A"/>
    <w:rsid w:val="00E3043B"/>
    <w:rsid w:val="00E70787"/>
    <w:rsid w:val="00EA14FF"/>
    <w:rsid w:val="00EC1320"/>
    <w:rsid w:val="00EC515C"/>
    <w:rsid w:val="00F114E6"/>
    <w:rsid w:val="00F20289"/>
    <w:rsid w:val="00F21451"/>
    <w:rsid w:val="00F36366"/>
    <w:rsid w:val="00F47E97"/>
    <w:rsid w:val="00F503E7"/>
    <w:rsid w:val="00F644B8"/>
    <w:rsid w:val="00F67BBB"/>
    <w:rsid w:val="00F806C1"/>
    <w:rsid w:val="00F90DAF"/>
    <w:rsid w:val="00FD5B8A"/>
    <w:rsid w:val="00FD65DD"/>
    <w:rsid w:val="00FE3510"/>
    <w:rsid w:val="00FF5375"/>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72072B5"/>
    <w:rsid w:val="4BC77339"/>
    <w:rsid w:val="4C9236C5"/>
    <w:rsid w:val="505C172E"/>
    <w:rsid w:val="52F46F0B"/>
    <w:rsid w:val="53D8014D"/>
    <w:rsid w:val="55E064E0"/>
    <w:rsid w:val="572C6D10"/>
    <w:rsid w:val="5DC34279"/>
    <w:rsid w:val="608816D1"/>
    <w:rsid w:val="60EF4E7F"/>
    <w:rsid w:val="665233C1"/>
    <w:rsid w:val="6AD9688B"/>
    <w:rsid w:val="6D0E3F22"/>
    <w:rsid w:val="771445FA"/>
    <w:rsid w:val="79FF8B6D"/>
    <w:rsid w:val="7C9011D9"/>
    <w:rsid w:val="7DC651C5"/>
    <w:rsid w:val="7E630178"/>
    <w:rsid w:val="7FCC2834"/>
    <w:rsid w:val="7FDA8736"/>
    <w:rsid w:val="7FFF4DCA"/>
    <w:rsid w:val="AFDBBF0A"/>
    <w:rsid w:val="B7FFCA45"/>
    <w:rsid w:val="BB5B18E2"/>
    <w:rsid w:val="CBBF2B47"/>
    <w:rsid w:val="E2FDEBEE"/>
    <w:rsid w:val="F9A34E15"/>
    <w:rsid w:val="FEDB6ED8"/>
    <w:rsid w:val="FEE31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link w:val="22"/>
    <w:qFormat/>
    <w:uiPriority w:val="0"/>
    <w:pPr>
      <w:spacing w:beforeAutospacing="1" w:afterAutospacing="1"/>
      <w:jc w:val="left"/>
      <w:outlineLvl w:val="0"/>
    </w:pPr>
    <w:rPr>
      <w:rFonts w:hint="eastAsia" w:ascii="宋体" w:hAnsi="宋体" w:cs="Times New Roman"/>
      <w:b/>
      <w:bCs/>
      <w:kern w:val="44"/>
      <w:sz w:val="48"/>
      <w:szCs w:val="48"/>
    </w:rPr>
  </w:style>
  <w:style w:type="paragraph" w:styleId="4">
    <w:name w:val="heading 4"/>
    <w:basedOn w:val="1"/>
    <w:next w:val="1"/>
    <w:unhideWhenUsed/>
    <w:qFormat/>
    <w:uiPriority w:val="0"/>
    <w:pPr>
      <w:keepNext/>
      <w:keepLines/>
      <w:spacing w:beforeLines="0" w:beforeAutospacing="0" w:afterLines="0" w:afterAutospacing="0" w:line="560" w:lineRule="exact"/>
      <w:jc w:val="center"/>
      <w:outlineLvl w:val="3"/>
    </w:pPr>
    <w:rPr>
      <w:rFonts w:ascii="Times New Roman" w:hAnsi="Times New Roman" w:eastAsia="方正小标宋简体"/>
      <w:sz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Normal Indent1"/>
    <w:basedOn w:val="1"/>
    <w:qFormat/>
    <w:uiPriority w:val="0"/>
    <w:pPr>
      <w:ind w:firstLine="200" w:firstLineChars="200"/>
    </w:pPr>
    <w:rPr>
      <w:rFonts w:eastAsia="楷体_GB2312"/>
    </w:rPr>
  </w:style>
  <w:style w:type="paragraph" w:styleId="5">
    <w:name w:val="annotation text"/>
    <w:basedOn w:val="1"/>
    <w:qFormat/>
    <w:uiPriority w:val="0"/>
    <w:pPr>
      <w:jc w:val="left"/>
    </w:pPr>
  </w:style>
  <w:style w:type="paragraph" w:styleId="6">
    <w:name w:val="Body Text"/>
    <w:basedOn w:val="1"/>
    <w:qFormat/>
    <w:uiPriority w:val="0"/>
    <w:pPr>
      <w:jc w:val="center"/>
    </w:pPr>
    <w:rPr>
      <w:rFonts w:eastAsia="仿宋_GB2312"/>
      <w:sz w:val="36"/>
    </w:rPr>
  </w:style>
  <w:style w:type="paragraph" w:styleId="7">
    <w:name w:val="toc 3"/>
    <w:basedOn w:val="1"/>
    <w:next w:val="1"/>
    <w:unhideWhenUsed/>
    <w:qFormat/>
    <w:uiPriority w:val="39"/>
    <w:pPr>
      <w:ind w:left="420"/>
    </w:pPr>
    <w:rPr>
      <w:rFonts w:ascii="等线" w:hAnsi="等线" w:eastAsia="等线"/>
      <w:b/>
      <w:sz w:val="30"/>
      <w:szCs w:val="30"/>
    </w:rPr>
  </w:style>
  <w:style w:type="paragraph" w:styleId="8">
    <w:name w:val="Date"/>
    <w:basedOn w:val="1"/>
    <w:next w:val="1"/>
    <w:link w:val="21"/>
    <w:qFormat/>
    <w:uiPriority w:val="0"/>
    <w:pPr>
      <w:ind w:left="100" w:leftChars="25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b/>
    </w:rPr>
  </w:style>
  <w:style w:type="character" w:styleId="16">
    <w:name w:val="page number"/>
    <w:basedOn w:val="14"/>
    <w:qFormat/>
    <w:uiPriority w:val="0"/>
  </w:style>
  <w:style w:type="character" w:styleId="17">
    <w:name w:val="Hyperlink"/>
    <w:basedOn w:val="14"/>
    <w:qFormat/>
    <w:uiPriority w:val="0"/>
    <w:rPr>
      <w:color w:val="0000FF"/>
      <w:u w:val="single"/>
    </w:rPr>
  </w:style>
  <w:style w:type="character" w:styleId="18">
    <w:name w:val="annotation reference"/>
    <w:basedOn w:val="14"/>
    <w:qFormat/>
    <w:uiPriority w:val="0"/>
    <w:rPr>
      <w:sz w:val="21"/>
      <w:szCs w:val="21"/>
    </w:rPr>
  </w:style>
  <w:style w:type="paragraph" w:customStyle="1" w:styleId="19">
    <w:name w:val="列表段落1"/>
    <w:basedOn w:val="1"/>
    <w:qFormat/>
    <w:uiPriority w:val="99"/>
    <w:pPr>
      <w:ind w:firstLine="420" w:firstLineChars="200"/>
    </w:pPr>
  </w:style>
  <w:style w:type="character" w:customStyle="1" w:styleId="20">
    <w:name w:val="标题 1 字符"/>
    <w:basedOn w:val="14"/>
    <w:link w:val="3"/>
    <w:qFormat/>
    <w:uiPriority w:val="0"/>
    <w:rPr>
      <w:rFonts w:ascii="宋体" w:hAnsi="宋体"/>
      <w:b/>
      <w:bCs/>
      <w:kern w:val="44"/>
      <w:sz w:val="48"/>
      <w:szCs w:val="48"/>
    </w:rPr>
  </w:style>
  <w:style w:type="character" w:customStyle="1" w:styleId="21">
    <w:name w:val="日期 字符"/>
    <w:basedOn w:val="14"/>
    <w:link w:val="8"/>
    <w:qFormat/>
    <w:uiPriority w:val="0"/>
    <w:rPr>
      <w:rFonts w:ascii="Calibri" w:hAnsi="Calibri" w:cs="黑体"/>
      <w:kern w:val="2"/>
      <w:sz w:val="21"/>
      <w:szCs w:val="24"/>
    </w:rPr>
  </w:style>
  <w:style w:type="character" w:customStyle="1" w:styleId="22">
    <w:name w:val="标题 1 Char"/>
    <w:link w:val="3"/>
    <w:qFormat/>
    <w:uiPriority w:val="0"/>
    <w:rPr>
      <w:rFonts w:eastAsia="黑体"/>
      <w:b/>
      <w:kern w:val="44"/>
    </w:rPr>
  </w:style>
  <w:style w:type="paragraph" w:customStyle="1" w:styleId="23">
    <w:name w:val="正文缩进1"/>
    <w:basedOn w:val="1"/>
    <w:qFormat/>
    <w:uiPriority w:val="0"/>
    <w:pPr>
      <w:ind w:firstLine="200" w:firstLineChars="200"/>
    </w:pPr>
    <w:rPr>
      <w:rFonts w:eastAsia="楷体_GB2312"/>
    </w:rPr>
  </w:style>
  <w:style w:type="paragraph" w:customStyle="1" w:styleId="24">
    <w:name w:val=" Char Char Char Char Char Char Char Char Char"/>
    <w:basedOn w:val="1"/>
    <w:qFormat/>
    <w:uiPriority w:val="0"/>
    <w:pPr>
      <w:widowControl/>
      <w:spacing w:after="160" w:afterLines="0" w:line="240" w:lineRule="exact"/>
      <w:jc w:val="left"/>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591</Words>
  <Characters>3370</Characters>
  <Lines>28</Lines>
  <Paragraphs>7</Paragraphs>
  <TotalTime>6</TotalTime>
  <ScaleCrop>false</ScaleCrop>
  <LinksUpToDate>false</LinksUpToDate>
  <CharactersWithSpaces>3954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2022-08-12T07:12:00Z</dcterms:created>
  <dc:creator>t</dc:creator>
  <cp:lastModifiedBy>user</cp:lastModifiedBy>
  <cp:lastPrinted>2021-12-30T07:02:00Z</cp:lastPrinted>
  <dcterms:modified xsi:type="dcterms:W3CDTF">2022-09-15T11:04:30Z</dcterms:modified>
  <dc:title>陕西省人民政府办公厅关于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48C61CB29D3F4D9384F5922CF0F7FFB4</vt:lpwstr>
  </property>
</Properties>
</file>