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4"/>
          <w:szCs w:val="44"/>
        </w:rPr>
      </w:pPr>
    </w:p>
    <w:p>
      <w:pPr>
        <w:jc w:val="center"/>
        <w:rPr>
          <w:rFonts w:ascii="宋体" w:hAnsi="宋体" w:cs="宋体"/>
          <w:b/>
          <w:bCs/>
          <w:sz w:val="44"/>
          <w:szCs w:val="44"/>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0"/>
        <w:jc w:val="center"/>
        <w:rPr>
          <w:rFonts w:hint="eastAsia" w:asciiTheme="minorEastAsia" w:hAnsiTheme="minorEastAsia" w:eastAsiaTheme="minorEastAsia" w:cstheme="minorEastAsia"/>
          <w:b/>
          <w:bCs/>
          <w:kern w:val="2"/>
          <w:sz w:val="44"/>
          <w:szCs w:val="44"/>
          <w:lang w:val="en-US" w:eastAsia="zh-CN" w:bidi="ar-SA"/>
        </w:rPr>
      </w:pPr>
      <w:r>
        <w:rPr>
          <w:rFonts w:hint="eastAsia" w:asciiTheme="minorEastAsia" w:hAnsiTheme="minorEastAsia" w:eastAsiaTheme="minorEastAsia" w:cstheme="minorEastAsia"/>
          <w:b/>
          <w:bCs/>
          <w:kern w:val="2"/>
          <w:sz w:val="44"/>
          <w:szCs w:val="44"/>
          <w:lang w:val="en-US" w:eastAsia="zh-CN" w:bidi="ar-SA"/>
        </w:rPr>
        <w:t>陕西省商务厅关于公布第三批省级</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0"/>
        <w:jc w:val="center"/>
        <w:rPr>
          <w:rFonts w:hint="eastAsia" w:asciiTheme="minorEastAsia" w:hAnsiTheme="minorEastAsia" w:eastAsiaTheme="minorEastAsia" w:cstheme="minorEastAsia"/>
          <w:b/>
          <w:bCs/>
          <w:kern w:val="2"/>
          <w:sz w:val="44"/>
          <w:szCs w:val="44"/>
          <w:lang w:val="en-US" w:eastAsia="zh-CN" w:bidi="ar-SA"/>
        </w:rPr>
      </w:pPr>
      <w:r>
        <w:rPr>
          <w:rFonts w:hint="eastAsia" w:asciiTheme="minorEastAsia" w:hAnsiTheme="minorEastAsia" w:eastAsiaTheme="minorEastAsia" w:cstheme="minorEastAsia"/>
          <w:b/>
          <w:bCs/>
          <w:kern w:val="2"/>
          <w:sz w:val="44"/>
          <w:szCs w:val="44"/>
          <w:lang w:val="en-US" w:eastAsia="zh-CN" w:bidi="ar-SA"/>
        </w:rPr>
        <w:t>试点步行街的通知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uto"/>
        <w:ind w:left="0" w:right="0" w:firstLine="0"/>
        <w:jc w:val="center"/>
        <w:rPr>
          <w:rFonts w:hint="eastAsia" w:ascii="楷体_GB2312" w:hAnsi="楷体_GB2312" w:eastAsia="楷体_GB2312" w:cs="楷体_GB2312"/>
          <w:color w:val="333333"/>
          <w:kern w:val="2"/>
          <w:sz w:val="32"/>
          <w:szCs w:val="32"/>
          <w:shd w:val="clear" w:color="auto" w:fill="FFFFFF"/>
          <w:lang w:val="en-US" w:eastAsia="zh-CN" w:bidi="ar-SA"/>
        </w:rPr>
      </w:pPr>
      <w:r>
        <w:rPr>
          <w:rFonts w:hint="eastAsia" w:ascii="楷体_GB2312" w:hAnsi="楷体_GB2312" w:eastAsia="楷体_GB2312" w:cs="楷体_GB2312"/>
          <w:color w:val="333333"/>
          <w:kern w:val="2"/>
          <w:sz w:val="32"/>
          <w:szCs w:val="32"/>
          <w:shd w:val="clear" w:color="auto" w:fill="FFFFFF"/>
          <w:lang w:val="en-US" w:eastAsia="zh-CN" w:bidi="ar-SA"/>
        </w:rPr>
        <w:t>陕商函〔2022〕16号</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jc w:val="both"/>
        <w:textAlignment w:val="auto"/>
        <w:rPr>
          <w:rFonts w:hint="eastAsia" w:ascii="楷体_GB2312" w:hAnsi="楷体_GB2312" w:eastAsia="楷体_GB2312" w:cs="楷体_GB2312"/>
          <w:color w:val="333333"/>
          <w:sz w:val="32"/>
          <w:szCs w:val="32"/>
          <w:shd w:val="clear" w:color="auto" w:fill="FFFFFF"/>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textAlignment w:val="auto"/>
        <w:rPr>
          <w:rFonts w:ascii="sans-serif" w:hAnsi="sans-serif" w:eastAsia="sans-serif" w:cs="sans-serif"/>
          <w:i w:val="0"/>
          <w:caps w:val="0"/>
          <w:color w:val="000000"/>
          <w:spacing w:val="0"/>
          <w:sz w:val="27"/>
          <w:szCs w:val="27"/>
        </w:rPr>
      </w:pPr>
      <w:r>
        <w:rPr>
          <w:rFonts w:hint="eastAsia" w:ascii="仿宋_GB2312" w:hAnsi="仿宋_GB2312" w:eastAsia="仿宋_GB2312" w:cs="仿宋_GB2312"/>
          <w:color w:val="333333"/>
          <w:kern w:val="2"/>
          <w:sz w:val="32"/>
          <w:szCs w:val="32"/>
          <w:shd w:val="clear" w:color="auto" w:fill="FFFFFF"/>
          <w:lang w:val="en-US" w:eastAsia="zh-CN" w:bidi="ar-SA"/>
        </w:rPr>
        <w:t>各设区市（区）、韩城市商务主管部门：</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    近日，商务部等10部门印发《关于开展第二批城市一刻钟便民生活圈建设试点申报工作的通知》（商办流通函〔2022〕100号，以下简称“通知”商务部官网</w:t>
      </w:r>
      <w:r>
        <w:rPr>
          <w:rFonts w:hint="default" w:ascii="仿宋_GB2312" w:hAnsi="sans-serif" w:eastAsia="仿宋_GB2312" w:cs="仿宋_GB2312"/>
          <w:i w:val="0"/>
          <w:caps w:val="0"/>
          <w:spacing w:val="0"/>
          <w:sz w:val="31"/>
          <w:szCs w:val="31"/>
        </w:rPr>
        <w:fldChar w:fldCharType="begin"/>
      </w:r>
      <w:r>
        <w:rPr>
          <w:rFonts w:hint="default" w:ascii="仿宋_GB2312" w:hAnsi="sans-serif" w:eastAsia="仿宋_GB2312" w:cs="仿宋_GB2312"/>
          <w:i w:val="0"/>
          <w:caps w:val="0"/>
          <w:spacing w:val="0"/>
          <w:sz w:val="31"/>
          <w:szCs w:val="31"/>
        </w:rPr>
        <w:instrText xml:space="preserve"> HYPERLINK "http://www.mofcom.gov.cn/" </w:instrText>
      </w:r>
      <w:r>
        <w:rPr>
          <w:rFonts w:hint="default" w:ascii="仿宋_GB2312" w:hAnsi="sans-serif" w:eastAsia="仿宋_GB2312" w:cs="仿宋_GB2312"/>
          <w:i w:val="0"/>
          <w:caps w:val="0"/>
          <w:spacing w:val="0"/>
          <w:sz w:val="31"/>
          <w:szCs w:val="31"/>
        </w:rPr>
        <w:fldChar w:fldCharType="separate"/>
      </w:r>
      <w:r>
        <w:rPr>
          <w:rStyle w:val="14"/>
          <w:rFonts w:hint="default" w:ascii="仿宋_GB2312" w:hAnsi="sans-serif" w:eastAsia="仿宋_GB2312" w:cs="仿宋_GB2312"/>
          <w:i w:val="0"/>
          <w:caps w:val="0"/>
          <w:spacing w:val="0"/>
          <w:sz w:val="31"/>
          <w:szCs w:val="31"/>
        </w:rPr>
        <w:t>http://www.mofcom.gov.cn/</w:t>
      </w:r>
      <w:r>
        <w:rPr>
          <w:rFonts w:hint="default" w:ascii="仿宋_GB2312" w:hAnsi="sans-serif" w:eastAsia="仿宋_GB2312" w:cs="仿宋_GB2312"/>
          <w:i w:val="0"/>
          <w:caps w:val="0"/>
          <w:spacing w:val="0"/>
          <w:sz w:val="31"/>
          <w:szCs w:val="31"/>
        </w:rPr>
        <w:fldChar w:fldCharType="end"/>
      </w:r>
      <w:r>
        <w:rPr>
          <w:rFonts w:hint="default" w:ascii="仿宋_GB2312" w:hAnsi="仿宋_GB2312" w:eastAsia="仿宋_GB2312" w:cs="仿宋_GB2312"/>
          <w:color w:val="333333"/>
          <w:kern w:val="2"/>
          <w:sz w:val="32"/>
          <w:szCs w:val="32"/>
          <w:shd w:val="clear" w:color="auto" w:fill="FFFFFF"/>
          <w:lang w:val="en-US" w:eastAsia="zh-CN" w:bidi="ar-SA"/>
        </w:rPr>
        <w:t>工作通知栏），将在全国范围启动第二批城市一刻钟便民生活圈建设试点申报工作，为全面做好我省试点申报有关工作。现就有关事宜通知如下：</w:t>
      </w:r>
      <w:r>
        <w:rPr>
          <w:rFonts w:hint="default" w:ascii="仿宋_GB2312" w:hAnsi="sans-serif" w:eastAsia="仿宋_GB2312" w:cs="仿宋_GB2312"/>
          <w:i w:val="0"/>
          <w:caps w:val="0"/>
          <w:color w:val="000000"/>
          <w:spacing w:val="0"/>
          <w:sz w:val="31"/>
          <w:szCs w:val="31"/>
        </w:rPr>
        <w:br w:type="textWrapping"/>
      </w:r>
      <w:r>
        <w:rPr>
          <w:rFonts w:hint="default" w:ascii="仿宋_GB2312" w:hAnsi="sans-serif" w:eastAsia="仿宋_GB2312" w:cs="仿宋_GB2312"/>
          <w:i w:val="0"/>
          <w:caps w:val="0"/>
          <w:color w:val="000000"/>
          <w:spacing w:val="0"/>
          <w:sz w:val="31"/>
          <w:szCs w:val="31"/>
        </w:rPr>
        <w:t>    </w:t>
      </w:r>
      <w:r>
        <w:rPr>
          <w:rFonts w:hint="default" w:ascii="黑体" w:hAnsi="黑体" w:eastAsia="黑体" w:cs="黑体"/>
          <w:color w:val="333333"/>
          <w:kern w:val="2"/>
          <w:sz w:val="32"/>
          <w:szCs w:val="32"/>
          <w:shd w:val="clear" w:color="auto" w:fill="FFFFFF"/>
          <w:lang w:val="en-US" w:eastAsia="zh-CN" w:bidi="ar-SA"/>
        </w:rPr>
        <w:t>一、全面加强组织领导</w:t>
      </w:r>
      <w:r>
        <w:rPr>
          <w:rFonts w:hint="default" w:ascii="黑体" w:hAnsi="黑体" w:eastAsia="黑体" w:cs="黑体"/>
          <w:color w:val="333333"/>
          <w:kern w:val="2"/>
          <w:sz w:val="32"/>
          <w:szCs w:val="32"/>
          <w:shd w:val="clear" w:color="auto" w:fill="FFFFFF"/>
          <w:lang w:val="en-US" w:eastAsia="zh-CN" w:bidi="ar-SA"/>
        </w:rPr>
        <w:br w:type="textWrapping"/>
      </w:r>
      <w:r>
        <w:rPr>
          <w:rFonts w:hint="default" w:ascii="仿宋_GB2312" w:hAnsi="sans-serif" w:eastAsia="仿宋_GB2312" w:cs="仿宋_GB2312"/>
          <w:i w:val="0"/>
          <w:caps w:val="0"/>
          <w:color w:val="000000"/>
          <w:spacing w:val="0"/>
          <w:sz w:val="31"/>
          <w:szCs w:val="31"/>
        </w:rPr>
        <w:t>    </w:t>
      </w:r>
      <w:r>
        <w:rPr>
          <w:rFonts w:hint="default" w:ascii="仿宋_GB2312" w:hAnsi="仿宋_GB2312" w:eastAsia="仿宋_GB2312" w:cs="仿宋_GB2312"/>
          <w:color w:val="333333"/>
          <w:kern w:val="2"/>
          <w:sz w:val="32"/>
          <w:szCs w:val="32"/>
          <w:shd w:val="clear" w:color="auto" w:fill="FFFFFF"/>
          <w:lang w:val="en-US" w:eastAsia="zh-CN" w:bidi="ar-SA"/>
        </w:rPr>
        <w:t>开展城市一刻钟便民生活圈建设，是提升城市功能品质、打造宜居宜业环境、满足便利消费的重要举措，是解决群众“急难愁盼”问题、提高人民幸福指数、一举多效的民心工程，是推动零售、餐饮等便民服务行业恢复发展的具体行动。各设区市人民政府作为试点申报实施主体，要全面加强组织领导，建立健全工作联动机制，将便民生活圈建设纳入政府保民生重点工程，实行市长（区长）负责制。商务主管部门要积极会同相关职能部门，按照商务部和省商务厅等部门印发的关于开展城市一刻钟便民生活圈建设试点工作有关文件精神，在抓好现有政策落地的基础上，多措并举，加大配套扶持政策的研究和制定，重点在用地、用房、财政、金融、营商环境等领域加大政策扶持力度，在解决居民消费难点痛点问题上出实招、见成效，为城市一刻钟便民生活圈建设试点工作的顺利推进提供有效支撑。</w:t>
      </w:r>
      <w:r>
        <w:rPr>
          <w:rFonts w:hint="default" w:ascii="仿宋_GB2312" w:hAnsi="sans-serif" w:eastAsia="仿宋_GB2312" w:cs="仿宋_GB2312"/>
          <w:i w:val="0"/>
          <w:caps w:val="0"/>
          <w:color w:val="000000"/>
          <w:spacing w:val="0"/>
          <w:sz w:val="31"/>
          <w:szCs w:val="31"/>
        </w:rPr>
        <w:br w:type="textWrapping"/>
      </w:r>
      <w:r>
        <w:rPr>
          <w:rFonts w:hint="default" w:ascii="仿宋_GB2312" w:hAnsi="sans-serif" w:eastAsia="仿宋_GB2312" w:cs="仿宋_GB2312"/>
          <w:i w:val="0"/>
          <w:caps w:val="0"/>
          <w:color w:val="000000"/>
          <w:spacing w:val="0"/>
          <w:sz w:val="31"/>
          <w:szCs w:val="31"/>
        </w:rPr>
        <w:t>   </w:t>
      </w:r>
      <w:r>
        <w:rPr>
          <w:rFonts w:hint="default" w:ascii="黑体" w:hAnsi="黑体" w:eastAsia="黑体" w:cs="黑体"/>
          <w:color w:val="333333"/>
          <w:kern w:val="2"/>
          <w:sz w:val="32"/>
          <w:szCs w:val="32"/>
          <w:shd w:val="clear" w:color="auto" w:fill="FFFFFF"/>
          <w:lang w:val="en-US" w:eastAsia="zh-CN" w:bidi="ar-SA"/>
        </w:rPr>
        <w:t> 二、认真做好方案编制</w:t>
      </w:r>
      <w:r>
        <w:rPr>
          <w:rFonts w:hint="default" w:ascii="黑体" w:hAnsi="黑体" w:eastAsia="黑体" w:cs="黑体"/>
          <w:color w:val="333333"/>
          <w:kern w:val="2"/>
          <w:sz w:val="32"/>
          <w:szCs w:val="32"/>
          <w:shd w:val="clear" w:color="auto" w:fill="FFFFFF"/>
          <w:lang w:val="en-US" w:eastAsia="zh-CN" w:bidi="ar-SA"/>
        </w:rPr>
        <w:br w:type="textWrapping"/>
      </w:r>
      <w:r>
        <w:rPr>
          <w:rFonts w:hint="default" w:ascii="仿宋_GB2312" w:hAnsi="sans-serif" w:eastAsia="仿宋_GB2312" w:cs="仿宋_GB2312"/>
          <w:i w:val="0"/>
          <w:caps w:val="0"/>
          <w:color w:val="000000"/>
          <w:spacing w:val="0"/>
          <w:sz w:val="31"/>
          <w:szCs w:val="31"/>
        </w:rPr>
        <w:t>    </w:t>
      </w:r>
      <w:r>
        <w:rPr>
          <w:rFonts w:hint="default" w:ascii="仿宋_GB2312" w:hAnsi="仿宋_GB2312" w:eastAsia="仿宋_GB2312" w:cs="仿宋_GB2312"/>
          <w:color w:val="333333"/>
          <w:kern w:val="2"/>
          <w:sz w:val="32"/>
          <w:szCs w:val="32"/>
          <w:shd w:val="clear" w:color="auto" w:fill="FFFFFF"/>
          <w:lang w:val="en-US" w:eastAsia="zh-CN" w:bidi="ar-SA"/>
        </w:rPr>
        <w:t>城市一刻钟便民生活圈建设，涉及行业监管部门多，便民服务业态多，各设区市（区）商务主管部门要积极会同住房和城乡建设等部门，充分发挥各部门职能作用，按照”缺什么、补什么“的原则，在深入实地调查摸底、搞清楚人民群众“急难愁盼”具体问题的基础上，根据《意见》、《指南》和《城市一刻钟便民生活圈建设试点方案》具体要求，紧紧围绕科学优化布局、补齐设施短板、丰富商业业态、壮大市场主体、创新服务能力、引导规范经营等重点任务，探索政策创新、制度创新、管理创新、模式创新的方法和路径。申报方案编制要符合中省两级的文件要求，方案要思路清晰、目标明确、任务清楚、数据真实、政策务实、特色突出、图文并茂，确保试点工作顺利推进，各项举措可落地可实施可考核。</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sans-serif" w:eastAsia="仿宋_GB2312" w:cs="仿宋_GB2312"/>
          <w:i w:val="0"/>
          <w:caps w:val="0"/>
          <w:color w:val="000000"/>
          <w:spacing w:val="0"/>
          <w:sz w:val="31"/>
          <w:szCs w:val="31"/>
        </w:rPr>
        <w:t>    </w:t>
      </w:r>
      <w:r>
        <w:rPr>
          <w:rFonts w:hint="default" w:ascii="黑体" w:hAnsi="黑体" w:eastAsia="黑体" w:cs="黑体"/>
          <w:color w:val="333333"/>
          <w:kern w:val="2"/>
          <w:sz w:val="32"/>
          <w:szCs w:val="32"/>
          <w:shd w:val="clear" w:color="auto" w:fill="FFFFFF"/>
          <w:lang w:val="en-US" w:eastAsia="zh-CN" w:bidi="ar-SA"/>
        </w:rPr>
        <w:t>三、按时报送申报材料</w:t>
      </w:r>
      <w:r>
        <w:rPr>
          <w:rFonts w:hint="default" w:ascii="黑体" w:hAnsi="黑体" w:eastAsia="黑体" w:cs="黑体"/>
          <w:color w:val="333333"/>
          <w:kern w:val="2"/>
          <w:sz w:val="32"/>
          <w:szCs w:val="32"/>
          <w:shd w:val="clear" w:color="auto" w:fill="FFFFFF"/>
          <w:lang w:val="en-US" w:eastAsia="zh-CN" w:bidi="ar-SA"/>
        </w:rPr>
        <w:br w:type="textWrapping"/>
      </w:r>
      <w:r>
        <w:rPr>
          <w:rFonts w:hint="default" w:ascii="仿宋_GB2312" w:hAnsi="sans-serif" w:eastAsia="仿宋_GB2312" w:cs="仿宋_GB2312"/>
          <w:i w:val="0"/>
          <w:caps w:val="0"/>
          <w:color w:val="000000"/>
          <w:spacing w:val="0"/>
          <w:sz w:val="31"/>
          <w:szCs w:val="31"/>
        </w:rPr>
        <w:t>    </w:t>
      </w:r>
      <w:r>
        <w:rPr>
          <w:rFonts w:hint="default" w:ascii="仿宋_GB2312" w:hAnsi="仿宋_GB2312" w:eastAsia="仿宋_GB2312" w:cs="仿宋_GB2312"/>
          <w:color w:val="333333"/>
          <w:kern w:val="2"/>
          <w:sz w:val="32"/>
          <w:szCs w:val="32"/>
          <w:shd w:val="clear" w:color="auto" w:fill="FFFFFF"/>
          <w:lang w:val="en-US" w:eastAsia="zh-CN" w:bidi="ar-SA"/>
        </w:rPr>
        <w:t>第二批城市一刻钟便民生活圈建设试点申报工作时间紧、任务重、要求严，各市（区）要严格按照申报时间节点要求和《城市一刻钟便民生活圈建设试点方案》编制规范，于5月25日前以设区市人民政府文件方式，将试点申报方案、附表、地方政策文件等汇编材料，一式5份（含电子版）报至省商务厅（流通业发展处）。逾期未报送视为自动放弃。</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地方人民政府积极性高，发展基础好，实施方案实，已落实或出台财税、信贷、就业等配套支持政策，已开展便民生活圈试点或社区商业相关工作，并取得成熟经验和阶段性成效的城市；承诺实行“市长（区长）负责制”的城市，省商务厅将按照有关程序择优推荐。</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申报实施方案要采用专业软件制作，A4页面、横向排版，单面彩色打印，内页用157克铜板纸，封面封底用300克铜板纸，左侧胶装，其它内容可另附。封面由城市照片和文字组合而成，文字采用“某市（区）一刻钟便民生活圈建设试点方案”字样，落款为“某市（区）人民政府”。</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630" w:leftChars="300" w:firstLine="0" w:firstLineChars="0"/>
        <w:textAlignment w:val="auto"/>
        <w:rPr>
          <w:rFonts w:hint="default"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联系人：高泽  </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联系及传真电话：029—63913884</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firstLine="640" w:firstLineChars="200"/>
        <w:jc w:val="center"/>
        <w:textAlignment w:val="auto"/>
        <w:rPr>
          <w:rFonts w:hint="eastAsia" w:ascii="仿宋_GB2312" w:hAnsi="sans-serif" w:eastAsia="仿宋_GB2312" w:cs="仿宋_GB2312"/>
          <w:i w:val="0"/>
          <w:caps w:val="0"/>
          <w:color w:val="000000"/>
          <w:spacing w:val="0"/>
          <w:sz w:val="31"/>
          <w:szCs w:val="31"/>
          <w:lang w:val="en-US" w:eastAsia="zh-CN"/>
        </w:rPr>
      </w:pPr>
      <w:r>
        <w:rPr>
          <w:rFonts w:hint="default" w:ascii="仿宋_GB2312" w:hAnsi="仿宋_GB2312" w:eastAsia="仿宋_GB2312" w:cs="仿宋_GB2312"/>
          <w:color w:val="333333"/>
          <w:kern w:val="2"/>
          <w:sz w:val="32"/>
          <w:szCs w:val="32"/>
          <w:shd w:val="clear" w:color="auto" w:fill="FFFFFF"/>
          <w:lang w:val="en" w:eastAsia="zh-CN" w:bidi="ar-SA"/>
        </w:rPr>
        <w:t xml:space="preserve">                          </w:t>
      </w:r>
      <w:r>
        <w:rPr>
          <w:rFonts w:hint="default" w:ascii="仿宋_GB2312" w:hAnsi="仿宋_GB2312" w:eastAsia="仿宋_GB2312" w:cs="仿宋_GB2312"/>
          <w:color w:val="333333"/>
          <w:kern w:val="2"/>
          <w:sz w:val="32"/>
          <w:szCs w:val="32"/>
          <w:shd w:val="clear" w:color="auto" w:fill="FFFFFF"/>
          <w:lang w:val="en-US" w:eastAsia="zh-CN" w:bidi="ar-SA"/>
        </w:rPr>
        <w:t>陕西省商务厅</w:t>
      </w:r>
      <w:r>
        <w:rPr>
          <w:rFonts w:hint="default" w:ascii="仿宋_GB2312" w:hAnsi="仿宋_GB2312" w:eastAsia="仿宋_GB2312" w:cs="仿宋_GB2312"/>
          <w:color w:val="333333"/>
          <w:kern w:val="2"/>
          <w:sz w:val="32"/>
          <w:szCs w:val="32"/>
          <w:shd w:val="clear" w:color="auto" w:fill="FFFFFF"/>
          <w:lang w:val="en-US" w:eastAsia="zh-CN" w:bidi="ar-SA"/>
        </w:rPr>
        <w:br w:type="textWrapping"/>
      </w:r>
      <w:r>
        <w:rPr>
          <w:rFonts w:hint="default" w:ascii="仿宋_GB2312" w:hAnsi="仿宋_GB2312" w:eastAsia="仿宋_GB2312" w:cs="仿宋_GB2312"/>
          <w:color w:val="333333"/>
          <w:kern w:val="2"/>
          <w:sz w:val="32"/>
          <w:szCs w:val="32"/>
          <w:shd w:val="clear" w:color="auto" w:fill="FFFFFF"/>
          <w:lang w:val="en-US" w:eastAsia="zh-CN" w:bidi="ar-SA"/>
        </w:rPr>
        <w:t>                        </w:t>
      </w:r>
      <w:r>
        <w:rPr>
          <w:rFonts w:hint="default" w:ascii="仿宋_GB2312" w:hAnsi="仿宋_GB2312" w:eastAsia="仿宋_GB2312" w:cs="仿宋_GB2312"/>
          <w:color w:val="333333"/>
          <w:kern w:val="2"/>
          <w:sz w:val="32"/>
          <w:szCs w:val="32"/>
          <w:shd w:val="clear" w:color="auto" w:fill="FFFFFF"/>
          <w:lang w:val="en" w:eastAsia="zh-CN" w:bidi="ar-SA"/>
        </w:rPr>
        <w:t xml:space="preserve">    </w:t>
      </w:r>
      <w:r>
        <w:rPr>
          <w:rFonts w:hint="default" w:ascii="仿宋_GB2312" w:hAnsi="仿宋_GB2312" w:eastAsia="仿宋_GB2312" w:cs="仿宋_GB2312"/>
          <w:color w:val="333333"/>
          <w:kern w:val="2"/>
          <w:sz w:val="32"/>
          <w:szCs w:val="32"/>
          <w:shd w:val="clear" w:color="auto" w:fill="FFFFFF"/>
          <w:lang w:val="en-US" w:eastAsia="zh-CN" w:bidi="ar-SA"/>
        </w:rPr>
        <w:t>2022年5月10日</w:t>
      </w:r>
      <w:r>
        <w:rPr>
          <w:rFonts w:hint="eastAsia" w:ascii="仿宋_GB2312" w:hAnsi="sans-serif" w:eastAsia="仿宋_GB2312" w:cs="仿宋_GB2312"/>
          <w:i w:val="0"/>
          <w:caps w:val="0"/>
          <w:color w:val="000000"/>
          <w:spacing w:val="0"/>
          <w:sz w:val="31"/>
          <w:szCs w:val="31"/>
          <w:lang w:val="en-US" w:eastAsia="zh-CN"/>
        </w:rPr>
        <w:t xml:space="preserve"> </w:t>
      </w:r>
    </w:p>
    <w:p>
      <w:pPr>
        <w:numPr>
          <w:ilvl w:val="0"/>
          <w:numId w:val="0"/>
        </w:numPr>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附件</w:t>
      </w:r>
    </w:p>
    <w:p>
      <w:pPr>
        <w:numPr>
          <w:ilvl w:val="0"/>
          <w:numId w:val="0"/>
        </w:numPr>
        <w:rPr>
          <w:rFonts w:hint="eastAsia" w:ascii="黑体" w:hAnsi="黑体" w:eastAsia="黑体" w:cs="黑体"/>
          <w:color w:val="333333"/>
          <w:kern w:val="2"/>
          <w:sz w:val="32"/>
          <w:szCs w:val="32"/>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第三批省级试点步行街名单</w:t>
      </w:r>
    </w:p>
    <w:p>
      <w:pPr>
        <w:numPr>
          <w:ilvl w:val="0"/>
          <w:numId w:val="0"/>
        </w:numPr>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（排名不分先后）</w:t>
      </w:r>
    </w:p>
    <w:p>
      <w:pPr>
        <w:numPr>
          <w:ilvl w:val="0"/>
          <w:numId w:val="0"/>
        </w:numPr>
        <w:jc w:val="center"/>
        <w:rPr>
          <w:rFonts w:hint="eastAsia" w:ascii="仿宋" w:hAnsi="仿宋" w:eastAsia="仿宋" w:cs="仿宋"/>
          <w:sz w:val="32"/>
          <w:szCs w:val="32"/>
          <w:lang w:val="en-US" w:eastAsia="zh-CN"/>
        </w:rPr>
      </w:pPr>
    </w:p>
    <w:p>
      <w:pPr>
        <w:numPr>
          <w:ilvl w:val="0"/>
          <w:numId w:val="0"/>
        </w:numPr>
        <w:ind w:left="480" w:leftChars="0"/>
        <w:jc w:val="left"/>
        <w:rPr>
          <w:rFonts w:hint="default"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1.西安市四海唐人街</w:t>
      </w:r>
    </w:p>
    <w:p>
      <w:pPr>
        <w:numPr>
          <w:ilvl w:val="0"/>
          <w:numId w:val="0"/>
        </w:numPr>
        <w:ind w:left="480" w:leftChars="0"/>
        <w:jc w:val="left"/>
        <w:rPr>
          <w:rFonts w:hint="default"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2.宝鸡市新民路步行街</w:t>
      </w:r>
    </w:p>
    <w:p>
      <w:pPr>
        <w:numPr>
          <w:ilvl w:val="0"/>
          <w:numId w:val="0"/>
        </w:numPr>
        <w:ind w:left="480" w:leftChars="0"/>
        <w:jc w:val="left"/>
        <w:rPr>
          <w:rFonts w:hint="default"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3.咸阳市“电影里”步行街</w:t>
      </w:r>
    </w:p>
    <w:p>
      <w:pPr>
        <w:numPr>
          <w:ilvl w:val="0"/>
          <w:numId w:val="0"/>
        </w:numPr>
        <w:ind w:left="480" w:leftChars="0"/>
        <w:jc w:val="left"/>
        <w:rPr>
          <w:rFonts w:hint="default"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4.铜川市文化宫步行街</w:t>
      </w:r>
      <w:bookmarkStart w:id="1" w:name="_GoBack"/>
      <w:bookmarkEnd w:id="1"/>
    </w:p>
    <w:p>
      <w:pPr>
        <w:numPr>
          <w:ilvl w:val="0"/>
          <w:numId w:val="0"/>
        </w:numPr>
        <w:ind w:left="480" w:leftChars="0"/>
        <w:jc w:val="left"/>
        <w:rPr>
          <w:rFonts w:hint="default"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5.渭南市宏帆步行街</w:t>
      </w:r>
    </w:p>
    <w:p>
      <w:pPr>
        <w:numPr>
          <w:ilvl w:val="0"/>
          <w:numId w:val="0"/>
        </w:numPr>
        <w:ind w:left="480" w:leftChars="0"/>
        <w:jc w:val="left"/>
        <w:rPr>
          <w:rFonts w:hint="default"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6.延安市金延安步行街</w:t>
      </w:r>
    </w:p>
    <w:p>
      <w:pPr>
        <w:numPr>
          <w:ilvl w:val="0"/>
          <w:numId w:val="0"/>
        </w:numPr>
        <w:ind w:left="480" w:leftChars="0"/>
        <w:jc w:val="left"/>
        <w:rPr>
          <w:rFonts w:hint="default"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7.榆林市榆林老街</w:t>
      </w:r>
    </w:p>
    <w:p>
      <w:pPr>
        <w:numPr>
          <w:ilvl w:val="0"/>
          <w:numId w:val="0"/>
        </w:numPr>
        <w:ind w:left="480" w:leftChars="0"/>
        <w:jc w:val="left"/>
        <w:rPr>
          <w:rFonts w:hint="default" w:ascii="仿宋_GB2312" w:hAnsi="仿宋_GB2312" w:eastAsia="仿宋_GB2312" w:cs="仿宋_GB2312"/>
          <w:color w:val="333333"/>
          <w:kern w:val="2"/>
          <w:sz w:val="32"/>
          <w:szCs w:val="32"/>
          <w:shd w:val="clear" w:color="auto" w:fill="FFFFFF"/>
          <w:lang w:val="en-US" w:eastAsia="zh-CN" w:bidi="ar-SA"/>
        </w:rPr>
      </w:pPr>
      <w:r>
        <w:rPr>
          <w:rFonts w:hint="default" w:ascii="仿宋_GB2312" w:hAnsi="仿宋_GB2312" w:eastAsia="仿宋_GB2312" w:cs="仿宋_GB2312"/>
          <w:color w:val="333333"/>
          <w:kern w:val="2"/>
          <w:sz w:val="32"/>
          <w:szCs w:val="32"/>
          <w:shd w:val="clear" w:color="auto" w:fill="FFFFFF"/>
          <w:lang w:val="en-US" w:eastAsia="zh-CN" w:bidi="ar-SA"/>
        </w:rPr>
        <w:t>8.汉中市汉人老家街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firstLine="640" w:firstLineChars="200"/>
        <w:jc w:val="center"/>
        <w:textAlignment w:val="auto"/>
        <w:rPr>
          <w:rFonts w:hint="eastAsia" w:ascii="楷体_GB2312" w:hAnsi="楷体_GB2312" w:eastAsia="楷体_GB2312" w:cs="楷体_GB2312"/>
          <w:color w:val="333333"/>
          <w:sz w:val="32"/>
          <w:szCs w:val="32"/>
          <w:shd w:val="clear" w:color="auto" w:fill="FFFFFF"/>
          <w:lang w:val="en-US" w:eastAsia="zh-CN"/>
        </w:rPr>
      </w:pPr>
      <w:r>
        <w:rPr>
          <w:rFonts w:hint="default" w:ascii="仿宋_GB2312" w:hAnsi="仿宋_GB2312" w:eastAsia="仿宋_GB2312" w:cs="仿宋_GB2312"/>
          <w:color w:val="333333"/>
          <w:kern w:val="2"/>
          <w:sz w:val="32"/>
          <w:szCs w:val="32"/>
          <w:shd w:val="clear" w:color="auto" w:fill="FFFFFF"/>
          <w:lang w:val="en" w:eastAsia="zh-CN" w:bidi="ar-SA"/>
        </w:rPr>
        <w:t xml:space="preserve">  </w:t>
      </w:r>
    </w:p>
    <w:sectPr>
      <w:headerReference r:id="rId3" w:type="default"/>
      <w:footerReference r:id="rId4" w:type="default"/>
      <w:pgSz w:w="11906" w:h="16838"/>
      <w:pgMar w:top="1962" w:right="1304" w:bottom="1848" w:left="1417"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楷体_GB2312">
    <w:altName w:val="方正楷体_GBK"/>
    <w:panose1 w:val="02010609030101010101"/>
    <w:charset w:val="86"/>
    <w:family w:val="modern"/>
    <w:pitch w:val="default"/>
    <w:sig w:usb0="00000000" w:usb1="00000000" w:usb2="00000010" w:usb3="00000000" w:csb0="00040000" w:csb1="00000000"/>
  </w:font>
  <w:font w:name="sans-serif">
    <w:altName w:val="URW Bookman"/>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00"/>
    <w:family w:val="modern"/>
    <w:pitch w:val="default"/>
    <w:sig w:usb0="00000000" w:usb1="00000000" w:usb2="00000010" w:usb3="00000000" w:csb0="00040000" w:csb1="00000000"/>
  </w:font>
  <w:font w:name="Standard Symbols PS">
    <w:panose1 w:val="05050102010706020507"/>
    <w:charset w:val="00"/>
    <w:family w:val="auto"/>
    <w:pitch w:val="default"/>
    <w:sig w:usb0="00000003" w:usb1="00000000" w:usb2="00000000" w:usb3="00000000" w:csb0="00000001"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3" name="文本框 8"/>
              <wp:cNvGraphicFramePr/>
              <a:graphic xmlns:a="http://schemas.openxmlformats.org/drawingml/2006/main">
                <a:graphicData uri="http://schemas.microsoft.com/office/word/2010/wordprocessingShape">
                  <wps:wsp>
                    <wps:cNvSpPr>
                      <a:spLocks noChangeArrowheads="true"/>
                    </wps:cNvSpPr>
                    <wps:spPr bwMode="auto">
                      <a:xfrm>
                        <a:off x="0" y="0"/>
                        <a:ext cx="445135" cy="230505"/>
                      </a:xfrm>
                      <a:prstGeom prst="rect">
                        <a:avLst/>
                      </a:prstGeom>
                      <a:noFill/>
                      <a:ln>
                        <a:noFill/>
                      </a:ln>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false" upright="true">
                      <a:spAutoFit/>
                    </wps:bodyPr>
                  </wps:wsp>
                </a:graphicData>
              </a:graphic>
            </wp:anchor>
          </w:drawing>
        </mc:Choice>
        <mc:Fallback>
          <w:pict>
            <v:rect id="文本框 8" o:spid="_x0000_s1026" o:spt="1" style="position:absolute;left:0pt;margin-top:0pt;height:18.15pt;width:35.05pt;mso-position-horizontal:outside;mso-position-horizontal-relative:margin;mso-wrap-style:none;z-index:251660288;mso-width-relative:page;mso-height-relative:page;" filled="f" stroked="f" coordsize="21600,21600" o:gfxdata="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slI2s0gAAAAMBAAAPAAAAAAAAAAEAIAAAADgAAABkcnMvZG93&#10;bnJldi54bWxQSwECFAAUAAAACACHTuJAgRwSDvABAAC0AwAADgAAAAAAAAABACAAAAA3AQAAZHJz&#10;L2Uyb0RvYy54bWxQSwUGAAAAAAYABgBZAQAAmQUAAAAA&#10;">
              <v:fill on="f" focussize="0,0"/>
              <v:stroke on="f"/>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rect>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19050" t="17145" r="12700" b="19050"/>
              <wp:wrapNone/>
              <wp:docPr id="2"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5616575" cy="1905"/>
                      </a:xfrm>
                      <a:prstGeom prst="line">
                        <a:avLst/>
                      </a:prstGeom>
                      <a:noFill/>
                      <a:ln w="22225">
                        <a:solidFill>
                          <a:srgbClr val="005192"/>
                        </a:solidFill>
                        <a:round/>
                      </a:ln>
                    </wps:spPr>
                    <wps:bodyPr/>
                  </wps:wsp>
                </a:graphicData>
              </a:graphic>
            </wp:anchor>
          </w:drawing>
        </mc:Choice>
        <mc:Fallback>
          <w:pict>
            <v:line id="直接连接符 5"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O/yR1fSAAAABgEA&#10;AA8AAAAAAAAAAQAgAAAAOAAAAGRycy9kb3ducmV2LnhtbFBLAQIUABQAAAAIAIdO4kCEZ37Q0QEA&#10;AGMDAAAOAAAAAAAAAAEAIAAAADcBAABkcnMvZTJvRG9jLnhtbFBLBQYAAAAABgAGAFkBAAB6BQAA&#10;AAA=&#10;">
              <v:fill on="f" focussize="0,0"/>
              <v:stroke weight="1.75pt" color="#005192" joinstyle="round"/>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陕西省</w:t>
    </w:r>
    <w:r>
      <w:rPr>
        <w:rFonts w:hint="eastAsia" w:ascii="宋体" w:hAnsi="宋体" w:cs="宋体"/>
        <w:b/>
        <w:bCs/>
        <w:color w:val="005192"/>
        <w:sz w:val="28"/>
        <w:szCs w:val="44"/>
        <w:lang w:eastAsia="zh-CN"/>
      </w:rPr>
      <w:t>商务厅</w:t>
    </w:r>
    <w:r>
      <w:rPr>
        <w:rFonts w:hint="eastAsia" w:ascii="宋体" w:hAnsi="宋体" w:cs="宋体"/>
        <w:b/>
        <w:bCs/>
        <w:color w:val="005192"/>
        <w:sz w:val="28"/>
        <w:szCs w:val="44"/>
      </w:rPr>
      <w:t xml:space="preserve">发布     </w:t>
    </w:r>
  </w:p>
  <w:p>
    <w:pPr>
      <w:pStyle w:val="8"/>
      <w:wordWrap w:val="0"/>
      <w:ind w:left="4788" w:leftChars="2280" w:firstLine="5621"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690245</wp:posOffset>
              </wp:positionV>
              <wp:extent cx="5620385" cy="635"/>
              <wp:effectExtent l="15240" t="13970" r="12700" b="13970"/>
              <wp:wrapNone/>
              <wp:docPr id="4" name="直接连接符 4"/>
              <wp:cNvGraphicFramePr/>
              <a:graphic xmlns:a="http://schemas.openxmlformats.org/drawingml/2006/main">
                <a:graphicData uri="http://schemas.microsoft.com/office/word/2010/wordprocessingShape">
                  <wps:wsp>
                    <wps:cNvCnPr>
                      <a:cxnSpLocks noChangeShapeType="true"/>
                    </wps:cNvCnPr>
                    <wps:spPr bwMode="auto">
                      <a:xfrm>
                        <a:off x="0" y="0"/>
                        <a:ext cx="5620385" cy="635"/>
                      </a:xfrm>
                      <a:prstGeom prst="line">
                        <a:avLst/>
                      </a:prstGeom>
                      <a:noFill/>
                      <a:ln w="22225">
                        <a:solidFill>
                          <a:srgbClr val="005192"/>
                        </a:solidFill>
                        <a:round/>
                      </a:ln>
                    </wps:spPr>
                    <wps:bodyPr/>
                  </wps:wsp>
                </a:graphicData>
              </a:graphic>
            </wp:anchor>
          </w:drawing>
        </mc:Choice>
        <mc:Fallback>
          <w:pict>
            <v:line id="_x0000_s1026" o:spid="_x0000_s1026" o:spt="20" style="position:absolute;left:0pt;margin-left:-0.3pt;margin-top:54.35pt;height:0.05pt;width:442.55pt;z-index:251658240;mso-width-relative:page;mso-height-relative:page;" filled="f" stroked="t" coordsize="21600,21600" o:gfxdata="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2hKwnSAAAACQEA&#10;AA8AAAAAAAAAAQAgAAAAOAAAAGRycy9kb3ducmV2LnhtbFBLAQIUABQAAAAIAIdO4kCqUxRQ0QEA&#10;AGIDAAAOAAAAAAAAAAEAIAAAADcBAABkcnMvZTJvRG9jLnhtbFBLBQYAAAAABgAGAFkBAAB6BQAA&#10;AAA=&#10;">
              <v:fill on="f" focussize="0,0"/>
              <v:stroke weight="1.75pt" color="#005192" joinstyle="round"/>
              <v:imagedata o:title=""/>
              <o:lock v:ext="edit" aspectratio="f"/>
            </v:line>
          </w:pict>
        </mc:Fallback>
      </mc:AlternateContent>
    </w:r>
  </w:p>
  <w:p>
    <w:pPr>
      <w:pStyle w:val="8"/>
      <w:textAlignment w:val="center"/>
      <w:rPr>
        <w:rFonts w:ascii="宋体" w:hAnsi="宋体" w:cs="宋体"/>
        <w:b/>
        <w:bCs/>
        <w:color w:val="005192"/>
        <w:sz w:val="32"/>
        <w:szCs w:val="32"/>
      </w:rPr>
    </w:pPr>
    <w:r>
      <w:rPr>
        <w:rFonts w:ascii="宋体" w:hAnsi="宋体" w:cs="宋体"/>
        <w:b/>
        <w:bCs/>
        <w:color w:val="005192"/>
        <w:sz w:val="32"/>
      </w:rPr>
      <w:drawing>
        <wp:inline distT="0" distB="0" distL="0" distR="0">
          <wp:extent cx="311150" cy="311150"/>
          <wp:effectExtent l="0" t="0" r="0" b="0"/>
          <wp:docPr id="1" name="图片 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1"/>
                  <pic:cNvPicPr>
                    <a:picLocks noChangeAspect="true" noChangeArrowheads="true"/>
                  </pic:cNvPicPr>
                </pic:nvPicPr>
                <pic:blipFill>
                  <a:blip r:embed="rId1">
                    <a:extLst>
                      <a:ext uri="{28A0092B-C50C-407E-A947-70E740481C1C}">
                        <a14:useLocalDpi xmlns:a14="http://schemas.microsoft.com/office/drawing/2010/main" val="false"/>
                      </a:ext>
                    </a:extLst>
                  </a:blip>
                  <a:srcRect/>
                  <a:stretch>
                    <a:fillRect/>
                  </a:stretch>
                </pic:blipFill>
                <pic:spPr>
                  <a:xfrm>
                    <a:off x="0" y="0"/>
                    <a:ext cx="311150" cy="311150"/>
                  </a:xfrm>
                  <a:prstGeom prst="rect">
                    <a:avLst/>
                  </a:prstGeom>
                  <a:noFill/>
                  <a:ln>
                    <a:noFill/>
                  </a:ln>
                </pic:spPr>
              </pic:pic>
            </a:graphicData>
          </a:graphic>
        </wp:inline>
      </w:drawing>
    </w:r>
    <w:bookmarkStart w:id="0" w:name="_Hlk91518048"/>
    <w:r>
      <w:rPr>
        <w:rFonts w:hint="eastAsia" w:ascii="宋体" w:hAnsi="宋体" w:cs="宋体"/>
        <w:b/>
        <w:bCs/>
        <w:color w:val="005192"/>
        <w:sz w:val="32"/>
        <w:szCs w:val="32"/>
      </w:rPr>
      <w:t>陕西省</w:t>
    </w:r>
    <w:bookmarkEnd w:id="0"/>
    <w:r>
      <w:rPr>
        <w:rFonts w:hint="eastAsia" w:ascii="宋体" w:hAnsi="宋体" w:cs="宋体"/>
        <w:b/>
        <w:bCs/>
        <w:color w:val="005192"/>
        <w:sz w:val="32"/>
        <w:szCs w:val="32"/>
        <w:lang w:eastAsia="zh-CN"/>
      </w:rPr>
      <w:t>商务厅</w:t>
    </w:r>
    <w:r>
      <w:rPr>
        <w:rFonts w:hint="eastAsia" w:ascii="宋体" w:hAnsi="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2C8"/>
    <w:rsid w:val="000167BC"/>
    <w:rsid w:val="000226F3"/>
    <w:rsid w:val="00045270"/>
    <w:rsid w:val="00046993"/>
    <w:rsid w:val="000674F0"/>
    <w:rsid w:val="00071571"/>
    <w:rsid w:val="00082A2B"/>
    <w:rsid w:val="00082A6A"/>
    <w:rsid w:val="000B304C"/>
    <w:rsid w:val="000C0D40"/>
    <w:rsid w:val="000C446F"/>
    <w:rsid w:val="000E01DF"/>
    <w:rsid w:val="000F0374"/>
    <w:rsid w:val="000F3B66"/>
    <w:rsid w:val="000F7E2E"/>
    <w:rsid w:val="00141111"/>
    <w:rsid w:val="00172A27"/>
    <w:rsid w:val="00181444"/>
    <w:rsid w:val="00196A77"/>
    <w:rsid w:val="001A3828"/>
    <w:rsid w:val="001B3ADB"/>
    <w:rsid w:val="001C529D"/>
    <w:rsid w:val="001D130E"/>
    <w:rsid w:val="002027B8"/>
    <w:rsid w:val="002108C8"/>
    <w:rsid w:val="002165D5"/>
    <w:rsid w:val="0023005C"/>
    <w:rsid w:val="00240DFD"/>
    <w:rsid w:val="00240E10"/>
    <w:rsid w:val="00245867"/>
    <w:rsid w:val="0024710B"/>
    <w:rsid w:val="00251E7D"/>
    <w:rsid w:val="00264F77"/>
    <w:rsid w:val="0027445A"/>
    <w:rsid w:val="002B5203"/>
    <w:rsid w:val="002D4311"/>
    <w:rsid w:val="002F08DA"/>
    <w:rsid w:val="00300A70"/>
    <w:rsid w:val="0030273D"/>
    <w:rsid w:val="003151B0"/>
    <w:rsid w:val="00325FC8"/>
    <w:rsid w:val="0036697B"/>
    <w:rsid w:val="0036709C"/>
    <w:rsid w:val="0036781B"/>
    <w:rsid w:val="00370FEA"/>
    <w:rsid w:val="003A107A"/>
    <w:rsid w:val="003A2E85"/>
    <w:rsid w:val="003F2D22"/>
    <w:rsid w:val="004B05F0"/>
    <w:rsid w:val="004D5222"/>
    <w:rsid w:val="00551D1C"/>
    <w:rsid w:val="005704E2"/>
    <w:rsid w:val="0057521D"/>
    <w:rsid w:val="005767A1"/>
    <w:rsid w:val="005A7BF0"/>
    <w:rsid w:val="005C02EC"/>
    <w:rsid w:val="005D54D2"/>
    <w:rsid w:val="005E2D42"/>
    <w:rsid w:val="005F08CC"/>
    <w:rsid w:val="00602F3B"/>
    <w:rsid w:val="0060702A"/>
    <w:rsid w:val="0062602D"/>
    <w:rsid w:val="00641B22"/>
    <w:rsid w:val="00641F4E"/>
    <w:rsid w:val="00647BF9"/>
    <w:rsid w:val="006C4486"/>
    <w:rsid w:val="006E48E1"/>
    <w:rsid w:val="00724A00"/>
    <w:rsid w:val="00744087"/>
    <w:rsid w:val="00751763"/>
    <w:rsid w:val="00752648"/>
    <w:rsid w:val="00752757"/>
    <w:rsid w:val="00754135"/>
    <w:rsid w:val="0079152F"/>
    <w:rsid w:val="00794921"/>
    <w:rsid w:val="00796A26"/>
    <w:rsid w:val="007A7922"/>
    <w:rsid w:val="007B34F0"/>
    <w:rsid w:val="007C4CD9"/>
    <w:rsid w:val="007D72DC"/>
    <w:rsid w:val="008024B3"/>
    <w:rsid w:val="00825573"/>
    <w:rsid w:val="008311A0"/>
    <w:rsid w:val="00853A8A"/>
    <w:rsid w:val="00854687"/>
    <w:rsid w:val="008665FE"/>
    <w:rsid w:val="00870B2B"/>
    <w:rsid w:val="00870E76"/>
    <w:rsid w:val="0087150A"/>
    <w:rsid w:val="008829E1"/>
    <w:rsid w:val="008876BC"/>
    <w:rsid w:val="00891B2B"/>
    <w:rsid w:val="008F3F5E"/>
    <w:rsid w:val="009013D3"/>
    <w:rsid w:val="0091694C"/>
    <w:rsid w:val="00924BEE"/>
    <w:rsid w:val="00936EFD"/>
    <w:rsid w:val="009549BB"/>
    <w:rsid w:val="00965949"/>
    <w:rsid w:val="009926B1"/>
    <w:rsid w:val="009A243B"/>
    <w:rsid w:val="009C4B74"/>
    <w:rsid w:val="00A01E13"/>
    <w:rsid w:val="00A056C3"/>
    <w:rsid w:val="00A05D64"/>
    <w:rsid w:val="00A13856"/>
    <w:rsid w:val="00A22BEE"/>
    <w:rsid w:val="00A35990"/>
    <w:rsid w:val="00A364A1"/>
    <w:rsid w:val="00A57232"/>
    <w:rsid w:val="00A91971"/>
    <w:rsid w:val="00B05459"/>
    <w:rsid w:val="00B103B5"/>
    <w:rsid w:val="00B13B27"/>
    <w:rsid w:val="00B14E06"/>
    <w:rsid w:val="00B209BB"/>
    <w:rsid w:val="00B22AC2"/>
    <w:rsid w:val="00B231C1"/>
    <w:rsid w:val="00B30642"/>
    <w:rsid w:val="00B55B17"/>
    <w:rsid w:val="00B67A5B"/>
    <w:rsid w:val="00B71AAE"/>
    <w:rsid w:val="00B90F66"/>
    <w:rsid w:val="00BA2E94"/>
    <w:rsid w:val="00BD3B9A"/>
    <w:rsid w:val="00BF00B2"/>
    <w:rsid w:val="00C006C6"/>
    <w:rsid w:val="00C1088E"/>
    <w:rsid w:val="00C30BED"/>
    <w:rsid w:val="00C6020D"/>
    <w:rsid w:val="00C6303B"/>
    <w:rsid w:val="00C726B1"/>
    <w:rsid w:val="00C732A3"/>
    <w:rsid w:val="00C761D5"/>
    <w:rsid w:val="00CB0E04"/>
    <w:rsid w:val="00CC446A"/>
    <w:rsid w:val="00CE1F22"/>
    <w:rsid w:val="00D16E56"/>
    <w:rsid w:val="00D22822"/>
    <w:rsid w:val="00D232C0"/>
    <w:rsid w:val="00D33EB9"/>
    <w:rsid w:val="00D34292"/>
    <w:rsid w:val="00D628F6"/>
    <w:rsid w:val="00D639B0"/>
    <w:rsid w:val="00D64696"/>
    <w:rsid w:val="00D76B4C"/>
    <w:rsid w:val="00D9223D"/>
    <w:rsid w:val="00D9684C"/>
    <w:rsid w:val="00DB79BC"/>
    <w:rsid w:val="00DC0158"/>
    <w:rsid w:val="00DD0DA2"/>
    <w:rsid w:val="00DE2CB3"/>
    <w:rsid w:val="00DF199A"/>
    <w:rsid w:val="00E3043B"/>
    <w:rsid w:val="00E70787"/>
    <w:rsid w:val="00EA14FF"/>
    <w:rsid w:val="00EC1320"/>
    <w:rsid w:val="00EC515C"/>
    <w:rsid w:val="00F114E6"/>
    <w:rsid w:val="00F20289"/>
    <w:rsid w:val="00F21451"/>
    <w:rsid w:val="00F36366"/>
    <w:rsid w:val="00F47E97"/>
    <w:rsid w:val="00F503E7"/>
    <w:rsid w:val="00F644B8"/>
    <w:rsid w:val="00F67BBB"/>
    <w:rsid w:val="00F806C1"/>
    <w:rsid w:val="00F90DAF"/>
    <w:rsid w:val="00FD5B8A"/>
    <w:rsid w:val="00FD65DD"/>
    <w:rsid w:val="00FE3510"/>
    <w:rsid w:val="00FF5375"/>
    <w:rsid w:val="019E71BD"/>
    <w:rsid w:val="04B679C3"/>
    <w:rsid w:val="080F63D8"/>
    <w:rsid w:val="09341458"/>
    <w:rsid w:val="0B0912D7"/>
    <w:rsid w:val="152D2DCA"/>
    <w:rsid w:val="1DEC284C"/>
    <w:rsid w:val="1E6523AC"/>
    <w:rsid w:val="22440422"/>
    <w:rsid w:val="2F8FE94F"/>
    <w:rsid w:val="31A15F24"/>
    <w:rsid w:val="395347B5"/>
    <w:rsid w:val="39A232A0"/>
    <w:rsid w:val="39E745AA"/>
    <w:rsid w:val="3B5A6BBB"/>
    <w:rsid w:val="3EDA13A6"/>
    <w:rsid w:val="42F058B7"/>
    <w:rsid w:val="436109F6"/>
    <w:rsid w:val="441A38D4"/>
    <w:rsid w:val="472072B5"/>
    <w:rsid w:val="4BC77339"/>
    <w:rsid w:val="4C9236C5"/>
    <w:rsid w:val="505C172E"/>
    <w:rsid w:val="52F46F0B"/>
    <w:rsid w:val="53D8014D"/>
    <w:rsid w:val="55E064E0"/>
    <w:rsid w:val="572C6D10"/>
    <w:rsid w:val="5DC34279"/>
    <w:rsid w:val="608816D1"/>
    <w:rsid w:val="60EF4E7F"/>
    <w:rsid w:val="665233C1"/>
    <w:rsid w:val="6AD9688B"/>
    <w:rsid w:val="6D0E3F22"/>
    <w:rsid w:val="771445FA"/>
    <w:rsid w:val="79FF8B6D"/>
    <w:rsid w:val="7C9011D9"/>
    <w:rsid w:val="7DC651C5"/>
    <w:rsid w:val="7E630178"/>
    <w:rsid w:val="7FCC2834"/>
    <w:rsid w:val="7FFF4DCA"/>
    <w:rsid w:val="B7FFCA45"/>
    <w:rsid w:val="CBBF2B47"/>
    <w:rsid w:val="E2FDEBEE"/>
    <w:rsid w:val="F737F4D5"/>
    <w:rsid w:val="F9A34E15"/>
    <w:rsid w:val="FEDB6ED8"/>
    <w:rsid w:val="FEE31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link w:val="17"/>
    <w:qFormat/>
    <w:uiPriority w:val="0"/>
    <w:pPr>
      <w:spacing w:beforeAutospacing="1" w:afterAutospacing="1"/>
      <w:jc w:val="left"/>
      <w:outlineLvl w:val="0"/>
    </w:pPr>
    <w:rPr>
      <w:rFonts w:hint="eastAsia" w:ascii="宋体" w:hAnsi="宋体" w:cs="Times New Roman"/>
      <w:b/>
      <w:bCs/>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0"/>
    </w:rPr>
  </w:style>
  <w:style w:type="paragraph" w:styleId="4">
    <w:name w:val="annotation text"/>
    <w:basedOn w:val="1"/>
    <w:qFormat/>
    <w:uiPriority w:val="0"/>
    <w:pPr>
      <w:jc w:val="left"/>
    </w:pPr>
  </w:style>
  <w:style w:type="paragraph" w:styleId="5">
    <w:name w:val="toc 3"/>
    <w:basedOn w:val="1"/>
    <w:next w:val="1"/>
    <w:unhideWhenUsed/>
    <w:qFormat/>
    <w:uiPriority w:val="39"/>
    <w:pPr>
      <w:ind w:left="420"/>
    </w:pPr>
    <w:rPr>
      <w:rFonts w:ascii="等线" w:hAnsi="等线" w:eastAsia="等线"/>
      <w:b/>
      <w:sz w:val="30"/>
      <w:szCs w:val="30"/>
    </w:rPr>
  </w:style>
  <w:style w:type="paragraph" w:styleId="6">
    <w:name w:val="Date"/>
    <w:basedOn w:val="1"/>
    <w:next w:val="1"/>
    <w:link w:val="18"/>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paragraph" w:customStyle="1" w:styleId="16">
    <w:name w:val="列表段落1"/>
    <w:basedOn w:val="1"/>
    <w:qFormat/>
    <w:uiPriority w:val="99"/>
    <w:pPr>
      <w:ind w:firstLine="420" w:firstLineChars="200"/>
    </w:pPr>
  </w:style>
  <w:style w:type="character" w:customStyle="1" w:styleId="17">
    <w:name w:val="标题 1 字符"/>
    <w:basedOn w:val="12"/>
    <w:link w:val="3"/>
    <w:qFormat/>
    <w:uiPriority w:val="0"/>
    <w:rPr>
      <w:rFonts w:ascii="宋体" w:hAnsi="宋体"/>
      <w:b/>
      <w:bCs/>
      <w:kern w:val="44"/>
      <w:sz w:val="48"/>
      <w:szCs w:val="48"/>
    </w:rPr>
  </w:style>
  <w:style w:type="character" w:customStyle="1" w:styleId="18">
    <w:name w:val="日期 字符"/>
    <w:basedOn w:val="12"/>
    <w:link w:val="6"/>
    <w:qFormat/>
    <w:uiPriority w:val="0"/>
    <w:rPr>
      <w:rFonts w:ascii="Calibri" w:hAnsi="Calibri" w:cs="黑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1364</Words>
  <Characters>1417</Characters>
  <Lines>28</Lines>
  <Paragraphs>7</Paragraphs>
  <TotalTime>1</TotalTime>
  <ScaleCrop>false</ScaleCrop>
  <LinksUpToDate>false</LinksUpToDate>
  <CharactersWithSpaces>1450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2022-08-11T23:12:00Z</dcterms:created>
  <dc:creator>t</dc:creator>
  <cp:lastModifiedBy>user</cp:lastModifiedBy>
  <cp:lastPrinted>2021-12-29T23:02:00Z</cp:lastPrinted>
  <dcterms:modified xsi:type="dcterms:W3CDTF">2022-09-15T10:39:25Z</dcterms:modified>
  <dc:title>陕西省人民政府办公厅关于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48C61CB29D3F4D9384F5922CF0F7FFB4</vt:lpwstr>
  </property>
</Properties>
</file>