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bookmarkStart w:id="1" w:name="_GoBack"/>
      <w:r>
        <w:rPr>
          <w:rFonts w:hint="eastAsia" w:ascii="宋体" w:hAnsi="宋体" w:eastAsia="宋体" w:cs="宋体"/>
          <w:b/>
          <w:bCs/>
          <w:kern w:val="2"/>
          <w:sz w:val="44"/>
          <w:szCs w:val="44"/>
          <w:lang w:val="en-US" w:eastAsia="zh-CN" w:bidi="ar-SA"/>
        </w:rPr>
        <w:t>陕西省商务厅关于加强汽车流通领域行业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监管工作的通知</w:t>
      </w:r>
    </w:p>
    <w:bookmarkEnd w:id="1"/>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陕商函〔2022〕176号</w:t>
      </w:r>
    </w:p>
    <w:p>
      <w:pPr>
        <w:spacing w:line="570" w:lineRule="exact"/>
        <w:jc w:val="center"/>
        <w:rPr>
          <w:rFonts w:hint="default" w:ascii="楷体_GB2312" w:hAnsi="楷体_GB2312" w:eastAsia="楷体_GB2312" w:cs="楷体_GB2312"/>
          <w:color w:val="333333"/>
          <w:sz w:val="32"/>
          <w:szCs w:val="32"/>
          <w:shd w:val="clear" w:color="auto"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line="570" w:lineRule="exact"/>
        <w:ind w:left="0" w:firstLine="0"/>
        <w:textAlignment w:val="auto"/>
        <w:rPr>
          <w:rFonts w:ascii="sans-serif" w:hAnsi="sans-serif" w:eastAsia="sans-serif" w:cs="sans-serif"/>
          <w:i w:val="0"/>
          <w:caps w:val="0"/>
          <w:color w:val="000000"/>
          <w:spacing w:val="0"/>
          <w:sz w:val="31"/>
          <w:szCs w:val="31"/>
        </w:rPr>
      </w:pPr>
      <w:r>
        <w:rPr>
          <w:rFonts w:hint="eastAsia" w:ascii="仿宋_GB2312" w:hAnsi="仿宋_GB2312" w:eastAsia="仿宋_GB2312" w:cs="仿宋_GB2312"/>
          <w:color w:val="333333"/>
          <w:kern w:val="2"/>
          <w:sz w:val="32"/>
          <w:szCs w:val="32"/>
          <w:shd w:val="clear" w:color="auto" w:fill="FFFFFF"/>
          <w:lang w:val="en-US" w:eastAsia="zh-CN" w:bidi="ar-SA"/>
        </w:rPr>
        <w:t>各设区市（区）商务主管部门、韩城市商务局：</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为促进全省汽车流通市场健康发展，维护公平公正的市场秩序，进一步规范汽车销售、二手车交易、报废机动车回收拆解行业经营行为，保护消费者合法权益，根据《汽车销售管理办法》、《二手车流通管理办法》（2017修正）、《报废机动车回收管理办法》及《报废机动车回收管理办法实施细则》规定和商务部相关工作要求，现将有关工作通知如下：</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黑体" w:hAnsi="黑体" w:eastAsia="黑体" w:cs="黑体"/>
          <w:color w:val="333333"/>
          <w:kern w:val="2"/>
          <w:sz w:val="32"/>
          <w:szCs w:val="32"/>
          <w:shd w:val="clear" w:color="auto" w:fill="FFFFFF"/>
          <w:lang w:val="en-US" w:eastAsia="zh-CN" w:bidi="ar-SA"/>
        </w:rPr>
        <w:t>一、继续强化汽车销售行业监管</w:t>
      </w:r>
      <w:r>
        <w:rPr>
          <w:rFonts w:hint="default" w:ascii="黑体" w:hAnsi="黑体" w:eastAsia="黑体" w:cs="黑体"/>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（一）进一步提高汽车销售企业备案率，努力做到应备尽备。</w:t>
      </w:r>
      <w:r>
        <w:rPr>
          <w:rFonts w:hint="default" w:ascii="仿宋_GB2312" w:hAnsi="仿宋_GB2312" w:eastAsia="仿宋_GB2312" w:cs="仿宋_GB2312"/>
          <w:color w:val="333333"/>
          <w:kern w:val="2"/>
          <w:sz w:val="32"/>
          <w:szCs w:val="32"/>
          <w:shd w:val="clear" w:color="auto" w:fill="FFFFFF"/>
          <w:lang w:val="en-US" w:eastAsia="zh-CN" w:bidi="ar-SA"/>
        </w:rPr>
        <w:t>加强与市场监管部门的沟通，督促已注册并正常营业的汽车销售企业及时在“全国汽车流通信息管理系统”中备案，并对已备案企业的备案信息进行核实，对信息不全的督促其尽快完善。</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（二）认真填报统计报表。</w:t>
      </w:r>
      <w:r>
        <w:rPr>
          <w:rFonts w:hint="default" w:ascii="仿宋_GB2312" w:hAnsi="仿宋_GB2312" w:eastAsia="仿宋_GB2312" w:cs="仿宋_GB2312"/>
          <w:color w:val="333333"/>
          <w:kern w:val="2"/>
          <w:sz w:val="32"/>
          <w:szCs w:val="32"/>
          <w:shd w:val="clear" w:color="auto" w:fill="FFFFFF"/>
          <w:lang w:val="en-US" w:eastAsia="zh-CN" w:bidi="ar-SA"/>
        </w:rPr>
        <w:t>按照商务部要求，督促企业按时在“全国汽车流通信息管理系统”中填报统计报表，每月5日前填报上月度报表，每年6月15日前填报上年度报表。</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（三）加强日常监管。</w:t>
      </w:r>
      <w:r>
        <w:rPr>
          <w:rFonts w:hint="default" w:ascii="仿宋_GB2312" w:hAnsi="仿宋_GB2312" w:eastAsia="仿宋_GB2312" w:cs="仿宋_GB2312"/>
          <w:color w:val="333333"/>
          <w:kern w:val="2"/>
          <w:sz w:val="32"/>
          <w:szCs w:val="32"/>
          <w:shd w:val="clear" w:color="auto" w:fill="FFFFFF"/>
          <w:lang w:val="en-US" w:eastAsia="zh-CN" w:bidi="ar-SA"/>
        </w:rPr>
        <w:t>会同相关部门采取“双随机一公开”方式开展现场检查，加强对汽车销售企业经营行为监管，对违法违规行为及时纠正和查处，对消费者的咨询和投诉及时回应解决，切实保护消费者的合法权益。</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黑体" w:hAnsi="黑体" w:eastAsia="黑体" w:cs="黑体"/>
          <w:color w:val="333333"/>
          <w:kern w:val="2"/>
          <w:sz w:val="32"/>
          <w:szCs w:val="32"/>
          <w:shd w:val="clear" w:color="auto" w:fill="FFFFFF"/>
          <w:lang w:val="en-US" w:eastAsia="zh-CN" w:bidi="ar-SA"/>
        </w:rPr>
        <w:t>二、进一步加强报废机动车回收拆解行业监管</w:t>
      </w:r>
      <w:r>
        <w:rPr>
          <w:rFonts w:hint="default" w:ascii="黑体" w:hAnsi="黑体" w:eastAsia="黑体" w:cs="黑体"/>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（一）开展部门联合检查。</w:t>
      </w:r>
      <w:r>
        <w:rPr>
          <w:rFonts w:hint="default" w:ascii="仿宋_GB2312" w:hAnsi="仿宋_GB2312" w:eastAsia="仿宋_GB2312" w:cs="仿宋_GB2312"/>
          <w:color w:val="333333"/>
          <w:kern w:val="2"/>
          <w:sz w:val="32"/>
          <w:szCs w:val="32"/>
          <w:shd w:val="clear" w:color="auto" w:fill="FFFFFF"/>
          <w:lang w:val="en-US" w:eastAsia="zh-CN" w:bidi="ar-SA"/>
        </w:rPr>
        <w:t>会同市场监管、公安等部门开展“双随机一公开”部门联合检查，重点检查企业拆解场地、设施设备、各项管理制度、回收拆解程序等达标情况，促进企业提高安全生产意识，强化安全生产管理，加强环境保护，规范经营行为；通过全国汽车流通信息管理系统适时检查“五大总成”流向、《回收证明》使用、车辆回收注销、相关信息报送等情况，切实加强日常监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（二）督促资质企业开展升级改造。</w:t>
      </w:r>
      <w:r>
        <w:rPr>
          <w:rFonts w:hint="default" w:ascii="仿宋_GB2312" w:hAnsi="仿宋_GB2312" w:eastAsia="仿宋_GB2312" w:cs="仿宋_GB2312"/>
          <w:color w:val="333333"/>
          <w:kern w:val="2"/>
          <w:sz w:val="32"/>
          <w:szCs w:val="32"/>
          <w:shd w:val="clear" w:color="auto" w:fill="FFFFFF"/>
          <w:lang w:val="en-US" w:eastAsia="zh-CN" w:bidi="ar-SA"/>
        </w:rPr>
        <w:t>《报废机动车回收管理办法实施细则》实施前取得报废机动车回收资质的企业，要对照《报废机动车回收拆解企业技术规范》及商务部相关要求加快升级改造，尽快完成达标工作并在2022年9月1日前完成重新资质认定，届时不能完成的其《资质认定书》将到期作废，停用《报废机动车回收证明》，禁止开展报废机动车回收拆解业务。</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（三）依法查处非法拆解等违法行为。</w:t>
      </w:r>
      <w:r>
        <w:rPr>
          <w:rFonts w:hint="default" w:ascii="仿宋_GB2312" w:hAnsi="仿宋_GB2312" w:eastAsia="仿宋_GB2312" w:cs="仿宋_GB2312"/>
          <w:color w:val="333333"/>
          <w:kern w:val="2"/>
          <w:sz w:val="32"/>
          <w:szCs w:val="32"/>
          <w:shd w:val="clear" w:color="auto" w:fill="FFFFFF"/>
          <w:lang w:val="en-US" w:eastAsia="zh-CN" w:bidi="ar-SA"/>
        </w:rPr>
        <w:t>持续采取明察暗访、鼓励群众举报等方式，摸排无资质企业或个人进行非法回收和拆解报废机动车问题，并联合相关部门依法查处，并将查处情况及时上报省商务厅。</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黑体" w:hAnsi="黑体" w:eastAsia="黑体" w:cs="黑体"/>
          <w:color w:val="333333"/>
          <w:kern w:val="2"/>
          <w:sz w:val="32"/>
          <w:szCs w:val="32"/>
          <w:shd w:val="clear" w:color="auto" w:fill="FFFFFF"/>
          <w:lang w:val="en-US" w:eastAsia="zh-CN" w:bidi="ar-SA"/>
        </w:rPr>
        <w:t>三、进一步加强二手车流通管理</w:t>
      </w:r>
      <w:r>
        <w:rPr>
          <w:rFonts w:hint="default" w:ascii="黑体" w:hAnsi="黑体" w:eastAsia="黑体" w:cs="黑体"/>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kern w:val="2"/>
          <w:sz w:val="32"/>
          <w:szCs w:val="32"/>
          <w:shd w:val="clear" w:color="auto" w:fill="FFFFFF"/>
          <w:lang w:val="en-US" w:eastAsia="zh-CN" w:bidi="ar-SA"/>
        </w:rPr>
        <w:t> （一）全面摸清二手车市场底数。</w:t>
      </w:r>
      <w:r>
        <w:rPr>
          <w:rFonts w:hint="default" w:ascii="仿宋_GB2312" w:hAnsi="仿宋_GB2312" w:eastAsia="仿宋_GB2312" w:cs="仿宋_GB2312"/>
          <w:color w:val="333333"/>
          <w:kern w:val="2"/>
          <w:sz w:val="32"/>
          <w:szCs w:val="32"/>
          <w:shd w:val="clear" w:color="auto" w:fill="FFFFFF"/>
          <w:lang w:val="en-US" w:eastAsia="zh-CN" w:bidi="ar-SA"/>
        </w:rPr>
        <w:t>各地商务主管部门要对本地二手行业进行调查摸底，摸清二手车市场主体底数和年度交易量，指导二手车市场主体做好备案、车辆交易信息上传“全国汽车流通信息管理系统”工作，二手车交易市场经营者和经销企业要实时准确采集和报送每次交易相关信息。</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 （二）推动二手车便利交易和规范发展。</w:t>
      </w:r>
      <w:r>
        <w:rPr>
          <w:rFonts w:hint="default" w:ascii="仿宋_GB2312" w:hAnsi="仿宋_GB2312" w:eastAsia="仿宋_GB2312" w:cs="仿宋_GB2312"/>
          <w:color w:val="333333"/>
          <w:kern w:val="2"/>
          <w:sz w:val="32"/>
          <w:szCs w:val="32"/>
          <w:shd w:val="clear" w:color="auto" w:fill="FFFFFF"/>
          <w:lang w:val="en-US" w:eastAsia="zh-CN" w:bidi="ar-SA"/>
        </w:rPr>
        <w:t>认真落实《陕西省商务厅、陕西省公安厅、国家税务总局陕西省税务局关于推进二手车交易登记跨省通办便利二手车异地交易的通知》（陕商发〔2021〕16号），推行二手车异地便利交易，强化交易信息采集，各地要协调与公安交管部门建设二手车交易登记监管信息系统，从车辆交易登记过户环节解决二手车经销企业不按照规定要求备案和报送相关信息的问题，推动二手车交易规范发展。</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kern w:val="2"/>
          <w:sz w:val="32"/>
          <w:szCs w:val="32"/>
          <w:shd w:val="clear" w:color="auto" w:fill="FFFFFF"/>
          <w:lang w:val="en-US" w:eastAsia="zh-CN" w:bidi="ar-SA"/>
        </w:rPr>
        <w:t>（三）加强日常监督检查。</w:t>
      </w:r>
      <w:r>
        <w:rPr>
          <w:rFonts w:hint="default" w:ascii="仿宋_GB2312" w:hAnsi="仿宋_GB2312" w:eastAsia="仿宋_GB2312" w:cs="仿宋_GB2312"/>
          <w:color w:val="333333"/>
          <w:kern w:val="2"/>
          <w:sz w:val="32"/>
          <w:szCs w:val="32"/>
          <w:shd w:val="clear" w:color="auto" w:fill="FFFFFF"/>
          <w:lang w:val="en-US" w:eastAsia="zh-CN" w:bidi="ar-SA"/>
        </w:rPr>
        <w:t>各级商务主管部门依据职责，采取“双随机一公开”方式对二手车流通企业相关经营活动实施日常监督检查，切实减少涉企检查数量。</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黑体" w:hAnsi="黑体" w:eastAsia="黑体" w:cs="黑体"/>
          <w:color w:val="333333"/>
          <w:kern w:val="2"/>
          <w:sz w:val="32"/>
          <w:szCs w:val="32"/>
          <w:shd w:val="clear" w:color="auto" w:fill="FFFFFF"/>
          <w:lang w:val="en-US" w:eastAsia="zh-CN" w:bidi="ar-SA"/>
        </w:rPr>
        <w:t>四、切实落实安全生产主体责任</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各地商务主管部门要督导相关汽车流通企业严格执行相关管理办法规定，规范经营行为，遵守相关法律法规，履行日常管理职责，自觉维护消费者合法权益，切实落实安全生产主体责任，保证生产经营及消防安全。</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    请各设区市（区）商务主管部门于2022年5月20日前将二手车交易市场、二手车经销企业情况表报送省商务厅市场体系建设处。</w:t>
      </w:r>
    </w:p>
    <w:p>
      <w:pPr>
        <w:pStyle w:val="9"/>
        <w:keepNext w:val="0"/>
        <w:keepLines w:val="0"/>
        <w:widowControl/>
        <w:suppressLineNumbers w:val="0"/>
        <w:spacing w:line="315" w:lineRule="atLeast"/>
        <w:ind w:left="0" w:firstLine="630"/>
        <w:jc w:val="right"/>
        <w:rPr>
          <w:rFonts w:hint="default" w:ascii="sans-serif" w:hAnsi="sans-serif" w:eastAsia="sans-serif" w:cs="sans-serif"/>
          <w:i w:val="0"/>
          <w:caps w:val="0"/>
          <w:color w:val="000000"/>
          <w:spacing w:val="0"/>
          <w:sz w:val="31"/>
          <w:szCs w:val="31"/>
        </w:rPr>
      </w:pPr>
    </w:p>
    <w:p>
      <w:pPr>
        <w:pStyle w:val="9"/>
        <w:keepNext w:val="0"/>
        <w:keepLines w:val="0"/>
        <w:widowControl/>
        <w:suppressLineNumbers w:val="0"/>
        <w:spacing w:line="315" w:lineRule="atLeast"/>
        <w:ind w:left="0" w:firstLine="630"/>
        <w:jc w:val="right"/>
        <w:rPr>
          <w:rFonts w:hint="default" w:ascii="sans-serif" w:hAnsi="sans-serif" w:eastAsia="sans-serif" w:cs="sans-serif"/>
          <w:i w:val="0"/>
          <w:caps w:val="0"/>
          <w:color w:val="000000"/>
          <w:spacing w:val="0"/>
          <w:sz w:val="31"/>
          <w:szCs w:val="31"/>
        </w:rPr>
      </w:pPr>
    </w:p>
    <w:p>
      <w:pPr>
        <w:ind w:firstLine="5920" w:firstLineChars="1850"/>
        <w:jc w:val="both"/>
        <w:rPr>
          <w:rFonts w:hint="default" w:ascii="sans-serif" w:hAnsi="sans-serif" w:eastAsia="sans-serif" w:cs="sans-serif"/>
          <w:i w:val="0"/>
          <w:caps w:val="0"/>
          <w:color w:val="000000"/>
          <w:spacing w:val="0"/>
          <w:sz w:val="31"/>
          <w:szCs w:val="31"/>
        </w:rPr>
      </w:pPr>
      <w:r>
        <w:rPr>
          <w:rFonts w:hint="default" w:ascii="仿宋_GB2312" w:hAnsi="仿宋_GB2312" w:eastAsia="仿宋_GB2312" w:cs="仿宋_GB2312"/>
          <w:color w:val="333333"/>
          <w:sz w:val="32"/>
          <w:szCs w:val="32"/>
          <w:shd w:val="clear" w:color="auto" w:fill="FFFFFF"/>
          <w:lang w:val="en-US" w:eastAsia="zh-CN"/>
        </w:rPr>
        <w:t>陕西省商务厅</w:t>
      </w:r>
      <w:r>
        <w:rPr>
          <w:rFonts w:hint="default" w:ascii="仿宋_GB2312" w:hAnsi="仿宋_GB2312" w:eastAsia="仿宋_GB2312" w:cs="仿宋_GB2312"/>
          <w:color w:val="333333"/>
          <w:sz w:val="32"/>
          <w:szCs w:val="32"/>
          <w:shd w:val="clear" w:color="auto" w:fill="FFFFFF"/>
          <w:lang w:val="en-US" w:eastAsia="zh-CN"/>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                                2022年4月12日</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二手车交易市场、二手车经销企业情况表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lang w:val="en-US" w:eastAsia="zh-CN"/>
        </w:rPr>
      </w:pPr>
    </w:p>
    <w:p>
      <w:pPr>
        <w:pStyle w:val="2"/>
        <w:ind w:left="0" w:leftChars="0" w:firstLine="0" w:firstLineChars="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填报市（区）：</w:t>
      </w:r>
    </w:p>
    <w:tbl>
      <w:tblPr>
        <w:tblStyle w:val="11"/>
        <w:tblW w:w="9974"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569"/>
        <w:gridCol w:w="748"/>
        <w:gridCol w:w="739"/>
        <w:gridCol w:w="799"/>
        <w:gridCol w:w="853"/>
        <w:gridCol w:w="1169"/>
        <w:gridCol w:w="573"/>
        <w:gridCol w:w="645"/>
        <w:gridCol w:w="871"/>
        <w:gridCol w:w="69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2"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序号</w:t>
            </w:r>
          </w:p>
        </w:tc>
        <w:tc>
          <w:tcPr>
            <w:tcW w:w="1569"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企业名称</w:t>
            </w:r>
          </w:p>
        </w:tc>
        <w:tc>
          <w:tcPr>
            <w:tcW w:w="1487" w:type="dxa"/>
            <w:gridSpan w:val="2"/>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二手车交易市场</w:t>
            </w:r>
          </w:p>
        </w:tc>
        <w:tc>
          <w:tcPr>
            <w:tcW w:w="1652" w:type="dxa"/>
            <w:gridSpan w:val="2"/>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二手经销企业</w:t>
            </w:r>
          </w:p>
        </w:tc>
        <w:tc>
          <w:tcPr>
            <w:tcW w:w="1169"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经营地址</w:t>
            </w:r>
          </w:p>
        </w:tc>
        <w:tc>
          <w:tcPr>
            <w:tcW w:w="573"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经营</w:t>
            </w:r>
          </w:p>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面积</w:t>
            </w:r>
          </w:p>
          <w:p>
            <w:pPr>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（m2）</w:t>
            </w:r>
          </w:p>
        </w:tc>
        <w:tc>
          <w:tcPr>
            <w:tcW w:w="645"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法定</w:t>
            </w:r>
          </w:p>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代表人</w:t>
            </w:r>
          </w:p>
        </w:tc>
        <w:tc>
          <w:tcPr>
            <w:tcW w:w="871"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联系电话</w:t>
            </w:r>
          </w:p>
        </w:tc>
        <w:tc>
          <w:tcPr>
            <w:tcW w:w="697"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联系人</w:t>
            </w:r>
          </w:p>
        </w:tc>
        <w:tc>
          <w:tcPr>
            <w:tcW w:w="809" w:type="dxa"/>
            <w:vMerge w:val="restart"/>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502" w:type="dxa"/>
            <w:vMerge w:val="continue"/>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p>
        </w:tc>
        <w:tc>
          <w:tcPr>
            <w:tcW w:w="1569" w:type="dxa"/>
            <w:vMerge w:val="continue"/>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p>
        </w:tc>
        <w:tc>
          <w:tcPr>
            <w:tcW w:w="748" w:type="dxa"/>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2021年交易量</w:t>
            </w:r>
          </w:p>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（辆）</w:t>
            </w:r>
          </w:p>
        </w:tc>
        <w:tc>
          <w:tcPr>
            <w:tcW w:w="739" w:type="dxa"/>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2021年交易额（万元）</w:t>
            </w:r>
          </w:p>
        </w:tc>
        <w:tc>
          <w:tcPr>
            <w:tcW w:w="799" w:type="dxa"/>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2021年年销售量（辆）</w:t>
            </w:r>
          </w:p>
        </w:tc>
        <w:tc>
          <w:tcPr>
            <w:tcW w:w="853" w:type="dxa"/>
            <w:noWrap w:val="0"/>
            <w:vAlign w:val="center"/>
          </w:tcPr>
          <w:p>
            <w:pPr>
              <w:pStyle w:val="3"/>
              <w:jc w:val="center"/>
              <w:rPr>
                <w:rFonts w:hint="eastAsia" w:ascii="黑体" w:hAnsi="黑体" w:eastAsia="黑体" w:cs="黑体"/>
                <w:color w:val="333333"/>
                <w:kern w:val="2"/>
                <w:sz w:val="21"/>
                <w:szCs w:val="21"/>
                <w:shd w:val="clear" w:color="auto" w:fill="FFFFFF"/>
                <w:lang w:val="en-US" w:eastAsia="zh-CN" w:bidi="ar-SA"/>
              </w:rPr>
            </w:pPr>
            <w:r>
              <w:rPr>
                <w:rFonts w:hint="eastAsia" w:ascii="黑体" w:hAnsi="黑体" w:eastAsia="黑体" w:cs="黑体"/>
                <w:color w:val="333333"/>
                <w:kern w:val="2"/>
                <w:sz w:val="21"/>
                <w:szCs w:val="21"/>
                <w:shd w:val="clear" w:color="auto" w:fill="FFFFFF"/>
                <w:lang w:val="en-US" w:eastAsia="zh-CN" w:bidi="ar-SA"/>
              </w:rPr>
              <w:t>2021年销售金额（万元）</w:t>
            </w:r>
          </w:p>
        </w:tc>
        <w:tc>
          <w:tcPr>
            <w:tcW w:w="1169" w:type="dxa"/>
            <w:vMerge w:val="continue"/>
            <w:noWrap w:val="0"/>
            <w:vAlign w:val="center"/>
          </w:tcPr>
          <w:p>
            <w:pPr>
              <w:pStyle w:val="3"/>
              <w:jc w:val="center"/>
              <w:rPr>
                <w:rFonts w:hint="default" w:ascii="黑体" w:hAnsi="黑体" w:eastAsia="黑体" w:cs="黑体"/>
                <w:color w:val="333333"/>
                <w:kern w:val="2"/>
                <w:sz w:val="21"/>
                <w:szCs w:val="21"/>
                <w:shd w:val="clear" w:color="auto" w:fill="FFFFFF"/>
                <w:lang w:val="en-US" w:eastAsia="zh-CN" w:bidi="ar-SA"/>
              </w:rPr>
            </w:pPr>
          </w:p>
        </w:tc>
        <w:tc>
          <w:tcPr>
            <w:tcW w:w="573" w:type="dxa"/>
            <w:vMerge w:val="continue"/>
            <w:noWrap w:val="0"/>
            <w:vAlign w:val="center"/>
          </w:tcPr>
          <w:p>
            <w:pPr>
              <w:pStyle w:val="3"/>
              <w:jc w:val="center"/>
              <w:rPr>
                <w:rFonts w:hint="default" w:ascii="黑体" w:hAnsi="黑体" w:eastAsia="黑体" w:cs="黑体"/>
                <w:color w:val="333333"/>
                <w:kern w:val="2"/>
                <w:sz w:val="21"/>
                <w:szCs w:val="21"/>
                <w:shd w:val="clear" w:color="auto" w:fill="FFFFFF"/>
                <w:lang w:val="en-US" w:eastAsia="zh-CN" w:bidi="ar-SA"/>
              </w:rPr>
            </w:pPr>
          </w:p>
        </w:tc>
        <w:tc>
          <w:tcPr>
            <w:tcW w:w="645" w:type="dxa"/>
            <w:vMerge w:val="continue"/>
            <w:noWrap w:val="0"/>
            <w:vAlign w:val="center"/>
          </w:tcPr>
          <w:p>
            <w:pPr>
              <w:pStyle w:val="3"/>
              <w:jc w:val="center"/>
              <w:rPr>
                <w:rFonts w:hint="default" w:ascii="黑体" w:hAnsi="黑体" w:eastAsia="黑体" w:cs="黑体"/>
                <w:color w:val="333333"/>
                <w:kern w:val="2"/>
                <w:sz w:val="21"/>
                <w:szCs w:val="21"/>
                <w:shd w:val="clear" w:color="auto" w:fill="FFFFFF"/>
                <w:lang w:val="en-US" w:eastAsia="zh-CN" w:bidi="ar-SA"/>
              </w:rPr>
            </w:pPr>
          </w:p>
        </w:tc>
        <w:tc>
          <w:tcPr>
            <w:tcW w:w="871" w:type="dxa"/>
            <w:vMerge w:val="continue"/>
            <w:noWrap w:val="0"/>
            <w:vAlign w:val="center"/>
          </w:tcPr>
          <w:p>
            <w:pPr>
              <w:pStyle w:val="3"/>
              <w:jc w:val="center"/>
              <w:rPr>
                <w:rFonts w:hint="default" w:ascii="黑体" w:hAnsi="黑体" w:eastAsia="黑体" w:cs="黑体"/>
                <w:color w:val="333333"/>
                <w:kern w:val="2"/>
                <w:sz w:val="21"/>
                <w:szCs w:val="21"/>
                <w:shd w:val="clear" w:color="auto" w:fill="FFFFFF"/>
                <w:lang w:val="en-US" w:eastAsia="zh-CN" w:bidi="ar-SA"/>
              </w:rPr>
            </w:pPr>
          </w:p>
        </w:tc>
        <w:tc>
          <w:tcPr>
            <w:tcW w:w="697" w:type="dxa"/>
            <w:vMerge w:val="continue"/>
            <w:noWrap w:val="0"/>
            <w:vAlign w:val="center"/>
          </w:tcPr>
          <w:p>
            <w:pPr>
              <w:pStyle w:val="3"/>
              <w:jc w:val="center"/>
              <w:rPr>
                <w:rFonts w:hint="default" w:ascii="黑体" w:hAnsi="黑体" w:eastAsia="黑体" w:cs="黑体"/>
                <w:color w:val="333333"/>
                <w:kern w:val="2"/>
                <w:sz w:val="21"/>
                <w:szCs w:val="21"/>
                <w:shd w:val="clear" w:color="auto" w:fill="FFFFFF"/>
                <w:lang w:val="en-US" w:eastAsia="zh-CN" w:bidi="ar-SA"/>
              </w:rPr>
            </w:pPr>
          </w:p>
        </w:tc>
        <w:tc>
          <w:tcPr>
            <w:tcW w:w="809" w:type="dxa"/>
            <w:vMerge w:val="continue"/>
            <w:noWrap w:val="0"/>
            <w:vAlign w:val="center"/>
          </w:tcPr>
          <w:p>
            <w:pPr>
              <w:pStyle w:val="3"/>
              <w:jc w:val="center"/>
              <w:rPr>
                <w:rFonts w:hint="default" w:ascii="黑体" w:hAnsi="黑体" w:eastAsia="黑体" w:cs="黑体"/>
                <w:color w:val="333333"/>
                <w:kern w:val="2"/>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5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48"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3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9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5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1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5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45"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71"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97"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0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5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48"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3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9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5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1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5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45"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71"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97"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0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5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48"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3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9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5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1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5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45"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71"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97"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0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5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48"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3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9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5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1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5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45"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71"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97"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0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5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48"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3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9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5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1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5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45"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71"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97"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0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2"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5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48"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3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9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5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1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5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45"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71"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97"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0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02"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5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48"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3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79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5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116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573"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45"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71"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697"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c>
          <w:tcPr>
            <w:tcW w:w="809" w:type="dxa"/>
            <w:noWrap w:val="0"/>
            <w:vAlign w:val="top"/>
          </w:tcPr>
          <w:p>
            <w:pPr>
              <w:pStyle w:val="3"/>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黑体" w:hAnsi="黑体" w:eastAsia="黑体" w:cs="黑体"/>
                <w:color w:val="333333"/>
                <w:kern w:val="2"/>
                <w:sz w:val="21"/>
                <w:szCs w:val="21"/>
                <w:shd w:val="clear" w:color="auto" w:fill="FFFFFF"/>
                <w:lang w:val="en-US" w:eastAsia="zh-CN" w:bidi="ar-SA"/>
              </w:rPr>
            </w:pPr>
          </w:p>
        </w:tc>
      </w:tr>
    </w:tbl>
    <w:p>
      <w:pPr>
        <w:rPr>
          <w:sz w:val="20"/>
          <w:szCs w:val="22"/>
        </w:rPr>
      </w:pPr>
      <w:r>
        <w:rPr>
          <w:rFonts w:hint="eastAsia" w:ascii="楷体" w:hAnsi="楷体" w:eastAsia="楷体" w:cs="楷体"/>
          <w:sz w:val="24"/>
          <w:szCs w:val="24"/>
          <w:lang w:val="en-US" w:eastAsia="zh-CN"/>
        </w:rPr>
        <w:t>联系人：           科（处）室：              座机：            手机</w:t>
      </w:r>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sans-serif">
    <w:altName w:val="URW Book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Standard Symbols PS">
    <w:panose1 w:val="05050102010706020507"/>
    <w:charset w:val="00"/>
    <w:family w:val="auto"/>
    <w:pitch w:val="default"/>
    <w:sig w:usb0="00000003" w:usb1="00000000" w:usb2="00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9FF8B6D"/>
    <w:rsid w:val="7C9011D9"/>
    <w:rsid w:val="7DC651C5"/>
    <w:rsid w:val="7E630178"/>
    <w:rsid w:val="7FCC2834"/>
    <w:rsid w:val="7FFF4DCA"/>
    <w:rsid w:val="B7FFCA45"/>
    <w:rsid w:val="CBBF2B47"/>
    <w:rsid w:val="DFB9CEEA"/>
    <w:rsid w:val="F9A34E15"/>
    <w:rsid w:val="FEE3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17"/>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next w:val="3"/>
    <w:qFormat/>
    <w:uiPriority w:val="0"/>
    <w:pPr>
      <w:ind w:firstLine="200" w:firstLineChars="200"/>
    </w:pPr>
    <w:rPr>
      <w:rFonts w:eastAsia="楷体_GB2312"/>
    </w:rPr>
  </w:style>
  <w:style w:type="paragraph" w:styleId="3">
    <w:name w:val="annotation text"/>
    <w:basedOn w:val="1"/>
    <w:next w:val="1"/>
    <w:qFormat/>
    <w:uiPriority w:val="0"/>
    <w:pPr>
      <w:jc w:val="left"/>
    </w:pPr>
  </w:style>
  <w:style w:type="paragraph" w:styleId="5">
    <w:name w:val="toc 3"/>
    <w:basedOn w:val="1"/>
    <w:next w:val="1"/>
    <w:unhideWhenUsed/>
    <w:qFormat/>
    <w:uiPriority w:val="39"/>
    <w:pPr>
      <w:ind w:left="420"/>
    </w:pPr>
    <w:rPr>
      <w:rFonts w:ascii="等线" w:hAnsi="等线" w:eastAsia="等线"/>
      <w:b/>
      <w:sz w:val="30"/>
      <w:szCs w:val="30"/>
    </w:rPr>
  </w:style>
  <w:style w:type="paragraph" w:styleId="6">
    <w:name w:val="Date"/>
    <w:basedOn w:val="1"/>
    <w:next w:val="1"/>
    <w:link w:val="18"/>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qFormat/>
    <w:uiPriority w:val="0"/>
    <w:rPr>
      <w:color w:val="0000FF"/>
      <w:u w:val="single"/>
    </w:rPr>
  </w:style>
  <w:style w:type="character" w:styleId="15">
    <w:name w:val="annotation reference"/>
    <w:basedOn w:val="12"/>
    <w:qFormat/>
    <w:uiPriority w:val="0"/>
    <w:rPr>
      <w:sz w:val="21"/>
      <w:szCs w:val="21"/>
    </w:rPr>
  </w:style>
  <w:style w:type="paragraph" w:customStyle="1" w:styleId="16">
    <w:name w:val="列表段落1"/>
    <w:basedOn w:val="1"/>
    <w:qFormat/>
    <w:uiPriority w:val="99"/>
    <w:pPr>
      <w:ind w:firstLine="420" w:firstLineChars="200"/>
    </w:pPr>
  </w:style>
  <w:style w:type="character" w:customStyle="1" w:styleId="17">
    <w:name w:val="标题 1 字符"/>
    <w:basedOn w:val="12"/>
    <w:link w:val="4"/>
    <w:qFormat/>
    <w:uiPriority w:val="0"/>
    <w:rPr>
      <w:rFonts w:ascii="宋体" w:hAnsi="宋体"/>
      <w:b/>
      <w:bCs/>
      <w:kern w:val="44"/>
      <w:sz w:val="48"/>
      <w:szCs w:val="48"/>
    </w:rPr>
  </w:style>
  <w:style w:type="character" w:customStyle="1" w:styleId="18">
    <w:name w:val="日期 字符"/>
    <w:basedOn w:val="12"/>
    <w:link w:val="6"/>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2</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2022-08-11T07:12:00Z</dcterms:created>
  <dc:creator>t</dc:creator>
  <cp:lastModifiedBy>user</cp:lastModifiedBy>
  <cp:lastPrinted>2021-12-29T07:02:00Z</cp:lastPrinted>
  <dcterms:modified xsi:type="dcterms:W3CDTF">2022-09-14T16:33:22Z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