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关于印发《陕西省商务楼宇宽带接入市场</w:t>
      </w:r>
    </w:p>
    <w:p>
      <w:pPr>
        <w:jc w:val="center"/>
        <w:rPr>
          <w:rFonts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联合整治行动工作方案》的通知</w:t>
      </w:r>
    </w:p>
    <w:p>
      <w:pPr>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陕通局联〔2020〕52号</w:t>
      </w:r>
    </w:p>
    <w:p>
      <w:pPr>
        <w:spacing w:line="570" w:lineRule="exact"/>
        <w:rPr>
          <w:rFonts w:ascii="仿宋_GB2312" w:eastAsia="仿宋_GB2312"/>
          <w:color w:val="333333"/>
          <w:sz w:val="32"/>
          <w:szCs w:val="32"/>
          <w:shd w:val="clear" w:color="auto" w:fill="FFFFFF"/>
        </w:rPr>
      </w:pPr>
    </w:p>
    <w:p>
      <w:pPr>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各设区市、西咸新区、杨凌示范区、韩城市工业和信息化局、公安局、住房和城乡建设局、市场监督管理局，各基础电信企业，陕西广电网络公司，中国铁塔陕西省分公司，各宽带基础设施建设推进办公室，各通信工程质量监督机构，各有关单位：</w:t>
      </w:r>
    </w:p>
    <w:p>
      <w:pPr>
        <w:ind w:firstLine="640" w:firstLineChars="20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为认真贯彻落实工业和信息化部等五部委关于商务楼宇宽带接入市场联合整治行动的工作部署，进一步打通提速降费梗阻，优化中小企业发展环境，省通信管理局、省工业和信息化厅、省公安厅、省住房和城乡建设厅、省市场监督管理局联合制定了《陕西省商务楼宇宽带接入市场联合整治行动工作方案》（以下简称《方案》）。现印发给你们，请认真贯彻执行。</w:t>
      </w:r>
    </w:p>
    <w:p>
      <w:pPr>
        <w:ind w:firstLine="640" w:firstLineChars="200"/>
        <w:rPr>
          <w:rFonts w:hint="eastAsia" w:ascii="仿宋_GB2312" w:eastAsia="仿宋_GB2312"/>
          <w:color w:val="333333"/>
          <w:sz w:val="32"/>
          <w:szCs w:val="32"/>
          <w:shd w:val="clear" w:color="auto" w:fill="FFFFFF"/>
        </w:rPr>
      </w:pPr>
    </w:p>
    <w:p>
      <w:pPr>
        <w:ind w:firstLine="640" w:firstLineChars="200"/>
        <w:rPr>
          <w:rFonts w:ascii="仿宋_GB2312" w:eastAsia="仿宋_GB2312"/>
          <w:color w:val="333333"/>
          <w:sz w:val="32"/>
          <w:szCs w:val="32"/>
          <w:shd w:val="clear" w:color="auto" w:fill="FFFFFF"/>
        </w:rPr>
      </w:pPr>
    </w:p>
    <w:p>
      <w:pPr>
        <w:ind w:firstLine="640" w:firstLineChars="200"/>
        <w:rPr>
          <w:rFonts w:hint="eastAsia" w:ascii="仿宋_GB2312" w:eastAsia="仿宋_GB2312"/>
          <w:color w:val="333333"/>
          <w:sz w:val="32"/>
          <w:szCs w:val="32"/>
          <w:shd w:val="clear" w:color="auto" w:fill="FFFFFF"/>
        </w:rPr>
      </w:pPr>
    </w:p>
    <w:p>
      <w:pPr>
        <w:wordWrap w:val="0"/>
        <w:ind w:firstLine="640" w:firstLineChars="200"/>
        <w:jc w:val="righ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陕西省通信管理局      </w:t>
      </w:r>
    </w:p>
    <w:p>
      <w:pPr>
        <w:wordWrap w:val="0"/>
        <w:ind w:firstLine="640" w:firstLineChars="200"/>
        <w:jc w:val="righ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陕西省工业和信息化厅      </w:t>
      </w:r>
    </w:p>
    <w:p>
      <w:pPr>
        <w:wordWrap w:val="0"/>
        <w:ind w:firstLine="640" w:firstLineChars="200"/>
        <w:jc w:val="righ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陕西省公安厅      </w:t>
      </w:r>
    </w:p>
    <w:p>
      <w:pPr>
        <w:wordWrap w:val="0"/>
        <w:ind w:firstLine="640" w:firstLineChars="200"/>
        <w:jc w:val="righ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陕西省住房和城乡建设厅      </w:t>
      </w:r>
    </w:p>
    <w:p>
      <w:pPr>
        <w:wordWrap w:val="0"/>
        <w:ind w:firstLine="640" w:firstLineChars="200"/>
        <w:jc w:val="righ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陕西省市场监督管理局      </w:t>
      </w:r>
    </w:p>
    <w:p>
      <w:pPr>
        <w:wordWrap w:val="0"/>
        <w:ind w:firstLine="640" w:firstLineChars="200"/>
        <w:jc w:val="righ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2020年12月2日</w:t>
      </w:r>
      <w:r>
        <w:rPr>
          <w:rFonts w:ascii="仿宋_GB2312" w:eastAsia="仿宋_GB2312"/>
          <w:color w:val="333333"/>
          <w:sz w:val="32"/>
          <w:szCs w:val="32"/>
          <w:shd w:val="clear" w:color="auto" w:fill="FFFFFF"/>
        </w:rPr>
        <w:t xml:space="preserve">       </w:t>
      </w:r>
    </w:p>
    <w:p>
      <w:pPr>
        <w:ind w:firstLine="640" w:firstLineChars="200"/>
        <w:jc w:val="right"/>
        <w:rPr>
          <w:rFonts w:hint="eastAsia" w:ascii="仿宋_GB2312" w:eastAsia="仿宋_GB2312"/>
          <w:color w:val="333333"/>
          <w:sz w:val="32"/>
          <w:szCs w:val="32"/>
          <w:shd w:val="clear" w:color="auto" w:fill="FFFFFF"/>
        </w:rPr>
      </w:pPr>
    </w:p>
    <w:p>
      <w:pPr>
        <w:ind w:left="0" w:leftChars="0" w:right="0" w:rightChars="0" w:firstLine="0" w:firstLineChars="0"/>
        <w:jc w:val="center"/>
        <w:rPr>
          <w:rFonts w:ascii="黑体" w:hAnsi="黑体" w:eastAsia="黑体"/>
          <w:sz w:val="32"/>
          <w:szCs w:val="32"/>
        </w:rPr>
      </w:pPr>
      <w:r>
        <w:rPr>
          <w:rFonts w:hint="eastAsia" w:ascii="黑体" w:hAnsi="黑体" w:eastAsia="黑体"/>
          <w:sz w:val="32"/>
          <w:szCs w:val="32"/>
        </w:rPr>
        <w:t>陕西省商务楼宇宽带接入市场联合整治行动工作方案</w:t>
      </w:r>
    </w:p>
    <w:p>
      <w:pPr>
        <w:ind w:firstLine="640" w:firstLineChars="200"/>
        <w:jc w:val="center"/>
        <w:rPr>
          <w:rFonts w:hint="eastAsia" w:ascii="黑体" w:hAnsi="黑体" w:eastAsia="黑体"/>
          <w:sz w:val="32"/>
          <w:szCs w:val="32"/>
        </w:rPr>
      </w:pPr>
    </w:p>
    <w:p>
      <w:pPr>
        <w:spacing w:line="570" w:lineRule="exact"/>
        <w:ind w:firstLine="640" w:firstLineChars="200"/>
        <w:rPr>
          <w:rFonts w:ascii="仿宋_GB2312" w:hAnsi="黑体" w:eastAsia="仿宋_GB2312"/>
          <w:sz w:val="32"/>
          <w:szCs w:val="32"/>
        </w:rPr>
      </w:pPr>
      <w:r>
        <w:rPr>
          <w:rFonts w:hint="eastAsia" w:ascii="仿宋_GB2312" w:hAnsi="黑体" w:eastAsia="仿宋_GB2312"/>
          <w:sz w:val="32"/>
          <w:szCs w:val="32"/>
        </w:rPr>
        <w:t>为进一步规范商务楼宇、工业园区、办公建筑等场所（以下统称商务楼宇）宽带接入市场，打通提速降费梗阻，不断优化中小企业发展环境，按照《工业和信息化部 公安部 住房和城乡建设部 国务院国有资产监督管理委员会 国家市场监督管理总局关于开展商务楼宇宽带接入市场联合整治行动的通知》（工信部联通信函〔2020〕212号）要求，结合我省实际，制定本方案。</w:t>
      </w:r>
    </w:p>
    <w:p>
      <w:pPr>
        <w:spacing w:line="570" w:lineRule="exact"/>
        <w:ind w:firstLine="640" w:firstLineChars="200"/>
        <w:rPr>
          <w:rFonts w:ascii="黑体" w:hAnsi="黑体" w:eastAsia="黑体"/>
          <w:sz w:val="32"/>
          <w:szCs w:val="32"/>
        </w:rPr>
      </w:pPr>
      <w:r>
        <w:rPr>
          <w:rFonts w:hint="eastAsia" w:ascii="黑体" w:hAnsi="黑体" w:eastAsia="黑体"/>
          <w:sz w:val="32"/>
          <w:szCs w:val="32"/>
        </w:rPr>
        <w:t>一、总体目标</w:t>
      </w:r>
    </w:p>
    <w:p>
      <w:pPr>
        <w:spacing w:line="570" w:lineRule="exact"/>
        <w:ind w:firstLine="640" w:firstLineChars="200"/>
        <w:rPr>
          <w:rFonts w:ascii="楷体_GB2312" w:hAnsi="黑体" w:eastAsia="楷体_GB2312"/>
          <w:b/>
          <w:bCs/>
          <w:sz w:val="32"/>
          <w:szCs w:val="32"/>
        </w:rPr>
      </w:pPr>
      <w:r>
        <w:rPr>
          <w:rFonts w:hint="eastAsia" w:ascii="仿宋_GB2312" w:hAnsi="黑体" w:eastAsia="仿宋_GB2312"/>
          <w:sz w:val="32"/>
          <w:szCs w:val="32"/>
        </w:rPr>
        <w:t>以习近平新时代中国特色社会主义思想为指导，深入贯彻落实习近平总书记关于促进中小企业和民营经济发展的系列重要论述精神，把整治商务楼宇宽带接入市场作为做好“六稳”工作、落实“六保”任务的重要举措，加强部门统筹协调，加大联合整治力度，严肃查处违规行为，建立健全长效机制，着力打通商务楼宇宽带接入市场梗阻，切实保障用户合法权益，让广大中小企业享受到实实在在的提速降费政策红利。</w:t>
      </w:r>
    </w:p>
    <w:p>
      <w:pPr>
        <w:spacing w:line="570" w:lineRule="exact"/>
        <w:ind w:firstLine="640" w:firstLineChars="200"/>
        <w:rPr>
          <w:rFonts w:ascii="黑体" w:hAnsi="黑体" w:eastAsia="黑体"/>
          <w:sz w:val="32"/>
          <w:szCs w:val="32"/>
        </w:rPr>
      </w:pPr>
      <w:r>
        <w:rPr>
          <w:rFonts w:hint="eastAsia" w:ascii="黑体" w:hAnsi="黑体" w:eastAsia="黑体"/>
          <w:sz w:val="32"/>
          <w:szCs w:val="32"/>
        </w:rPr>
        <w:t>二、整治范围</w:t>
      </w:r>
    </w:p>
    <w:p>
      <w:pPr>
        <w:spacing w:line="570" w:lineRule="exact"/>
        <w:ind w:firstLine="640" w:firstLineChars="200"/>
        <w:rPr>
          <w:rFonts w:ascii="楷体_GB2312" w:hAnsi="黑体" w:eastAsia="楷体_GB2312"/>
          <w:b/>
          <w:bCs/>
          <w:sz w:val="32"/>
          <w:szCs w:val="32"/>
        </w:rPr>
      </w:pPr>
      <w:r>
        <w:rPr>
          <w:rFonts w:hint="eastAsia" w:ascii="仿宋_GB2312" w:hAnsi="黑体" w:eastAsia="仿宋_GB2312"/>
          <w:sz w:val="32"/>
          <w:szCs w:val="32"/>
        </w:rPr>
        <w:t>全省商务楼宇、工业园区、办公建筑等场所（以下统称商务楼宇）宽带网络建设及接入服务。</w:t>
      </w:r>
    </w:p>
    <w:p>
      <w:pPr>
        <w:spacing w:line="570" w:lineRule="exact"/>
        <w:ind w:firstLine="640" w:firstLineChars="200"/>
        <w:rPr>
          <w:rFonts w:ascii="黑体" w:hAnsi="黑体" w:eastAsia="黑体"/>
          <w:sz w:val="32"/>
          <w:szCs w:val="32"/>
        </w:rPr>
      </w:pPr>
      <w:r>
        <w:rPr>
          <w:rFonts w:hint="eastAsia" w:ascii="黑体" w:hAnsi="黑体" w:eastAsia="黑体"/>
          <w:sz w:val="32"/>
          <w:szCs w:val="32"/>
        </w:rPr>
        <w:t>三、整治任务</w:t>
      </w:r>
    </w:p>
    <w:p>
      <w:pPr>
        <w:spacing w:line="570" w:lineRule="exact"/>
        <w:ind w:firstLine="643" w:firstLineChars="200"/>
        <w:rPr>
          <w:rFonts w:hint="eastAsia" w:ascii="楷体_GB2312" w:hAnsi="黑体" w:eastAsia="楷体_GB2312"/>
          <w:b/>
          <w:bCs/>
          <w:sz w:val="32"/>
          <w:szCs w:val="32"/>
        </w:rPr>
      </w:pPr>
      <w:r>
        <w:rPr>
          <w:rFonts w:hint="eastAsia" w:ascii="楷体_GB2312" w:hAnsi="黑体" w:eastAsia="楷体_GB2312"/>
          <w:b/>
          <w:bCs/>
          <w:sz w:val="32"/>
          <w:szCs w:val="32"/>
        </w:rPr>
        <w:t>（</w:t>
      </w:r>
      <w:r>
        <w:rPr>
          <w:rFonts w:hint="eastAsia" w:ascii="楷体_GB2312" w:hAnsi="黑体" w:eastAsia="楷体_GB2312"/>
          <w:b/>
          <w:bCs/>
          <w:sz w:val="32"/>
          <w:szCs w:val="32"/>
          <w:lang w:eastAsia="zh-CN"/>
        </w:rPr>
        <w:t>一</w:t>
      </w:r>
      <w:r>
        <w:rPr>
          <w:rFonts w:hint="eastAsia" w:ascii="楷体_GB2312" w:hAnsi="黑体" w:eastAsia="楷体_GB2312"/>
          <w:b/>
          <w:bCs/>
          <w:sz w:val="32"/>
          <w:szCs w:val="32"/>
        </w:rPr>
        <w:t>）排查整治商务楼宇内宽带业务排他经营和限制竞争行为。</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排查电信运营企业及其业务代理、商务楼宇产权人及其委托的管理人、物业服务企业之间是否签订任何形式排他性质的协议或约定；是否存在约束限制电信运营企业根据用户需求进入商务楼宇提供公共电信服务的行为；是否存在约束限制电信运营企业公平接入和使用商务楼宇内通信管道、管线、机房等设施的行为；是否存在强制商务楼宇承租人接受指定服务并收费的行为；是否存在为无经营许可证的单位或者个人提供用于经营电信业务的电信资源或者提供网络接入、业务接入服务的行为。</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督促电信运营企业及其业务代理、商务楼宇产权人及其委托的管理人、物业服务企业落实主体责任，就是否存在商务楼宇内宽带业务排他经营和限制竞争行为全面开展自查整改，加强行业自律，向社会公开承诺不开展排他经营和限制竞争行为。</w:t>
      </w:r>
    </w:p>
    <w:p>
      <w:pPr>
        <w:spacing w:line="570" w:lineRule="exact"/>
        <w:ind w:firstLine="640" w:firstLineChars="200"/>
        <w:rPr>
          <w:rFonts w:ascii="仿宋_GB2312" w:hAnsi="黑体" w:eastAsia="仿宋_GB2312"/>
          <w:sz w:val="32"/>
          <w:szCs w:val="32"/>
        </w:rPr>
      </w:pPr>
      <w:r>
        <w:rPr>
          <w:rFonts w:hint="eastAsia" w:ascii="仿宋_GB2312" w:hAnsi="黑体" w:eastAsia="仿宋_GB2312"/>
          <w:sz w:val="32"/>
          <w:szCs w:val="32"/>
        </w:rPr>
        <w:t>各市宽带基础设施建设推进办公室会同工业和信息化局、住房和城乡建设局、市场监督管理局等部门组织对辖区内商务楼宇宽带业务排他经营和限制竞争行为进行排查整治。各市宽带基础设施建设推进办公室、工业和信息化局会同住房和城乡建设局将商务楼宇宽带接入市场整治纳入日常监管，对电信运营企业及其业务代理与商务楼宇产权人及其委托的管理人、物业服务企业达成排他性协议或约定限制平等接入，以及约束限制公平接入和使用商务楼宇内通信设施等行为进行查处。省通信管理局依法对无证经营、超范围经营电信业务等违规行为进行查处。各级市场监督管理局依法对相关市场主体存在的不正当竞争等行为进行查处，涉嫌构成垄断行为的，严格依法处理。对以暴力、威胁手段，强迫他人接受指定电信业务服务，或者强迫电信运营企业及其业务代理退出电信业务服务，情节严重，涉嫌强迫交易罪或者其他犯罪的，由公安机关依法严厉打击。</w:t>
      </w:r>
    </w:p>
    <w:p>
      <w:pPr>
        <w:numPr>
          <w:ilvl w:val="0"/>
          <w:numId w:val="1"/>
        </w:numPr>
        <w:spacing w:line="570" w:lineRule="exact"/>
        <w:ind w:firstLine="643" w:firstLineChars="200"/>
        <w:rPr>
          <w:rFonts w:hint="eastAsia" w:ascii="楷体_GB2312" w:hAnsi="黑体" w:eastAsia="楷体_GB2312"/>
          <w:b/>
          <w:bCs/>
          <w:sz w:val="32"/>
          <w:szCs w:val="32"/>
        </w:rPr>
      </w:pPr>
      <w:r>
        <w:rPr>
          <w:rFonts w:hint="eastAsia" w:ascii="楷体_GB2312" w:hAnsi="黑体" w:eastAsia="楷体_GB2312"/>
          <w:b/>
          <w:bCs/>
          <w:sz w:val="32"/>
          <w:szCs w:val="32"/>
        </w:rPr>
        <w:t>排查整治商务楼宇内宽带业务价格违法行为。</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1.排查电信运营企业及其业务代理为用户提供通信服务时，除按照其已公示的电信资费标准收费外，是否另行收取其他费用。</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2.排查商务楼宇产权人及其委托的管理人、物业服务企业在配合提供通信接入服务时，是否向电信运营企业及其业务代理收取公示的收费项目之外的费用。</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排查电信运营企业及其业务代理是否在商务楼宇内醒目位置公示服务项目、服务内容、资费标准、服务监督电话和市场监管投诉举报电话等，商务楼宇产权人及其委托的管理人、物业服务企业是否协助提供信息公布位置，并为电信运营企业及其业务代理开展服务提供便利。</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4.督促电信运营企业及其业务代理、商务楼宇产权人及其委托的管理人、物业服务企业就是否存在商务楼宇内宽带业务价格违法行为全面开展自查整改。</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各市宽带基础设施建设推进办公室会同市场监管部门、工业和信息化局、住房和城乡建设局组织对辖区内商务楼宇内宽带业务价格违法行为进行排查整治。市场监管部门依照《中华人民共和国价格法》对未按规定明码标价、价格欺诈等价格违法行为进行查处。省通信管理局依法对电信运营企业资费营销和计收费行为进行监管。</w:t>
      </w:r>
    </w:p>
    <w:p>
      <w:pPr>
        <w:numPr>
          <w:ilvl w:val="0"/>
          <w:numId w:val="1"/>
        </w:numPr>
        <w:spacing w:line="570" w:lineRule="exact"/>
        <w:ind w:left="0" w:leftChars="0" w:firstLine="643" w:firstLineChars="200"/>
        <w:rPr>
          <w:rFonts w:hint="eastAsia" w:ascii="楷体_GB2312" w:hAnsi="黑体" w:eastAsia="楷体_GB2312"/>
          <w:b/>
          <w:bCs/>
          <w:sz w:val="32"/>
          <w:szCs w:val="32"/>
        </w:rPr>
      </w:pPr>
      <w:r>
        <w:rPr>
          <w:rFonts w:hint="eastAsia" w:ascii="楷体_GB2312" w:hAnsi="黑体" w:eastAsia="楷体_GB2312"/>
          <w:b/>
          <w:bCs/>
          <w:sz w:val="32"/>
          <w:szCs w:val="32"/>
        </w:rPr>
        <w:t>排查整治新建商务楼宇未严格执行国家标准行为。</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排查新建商务楼宇内通信配套设施是否纳入建设项目的设计文件，所需投资是否由建设单位纳入建设项目概算，是否与建设项目同步设计、同步施工、同步验收，是否存在第三方公司作为单独工程项目进行投资建设并经营获利的行为。</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2.排查新建商务楼宇施工图设计文件是否符合《综合布线系统工程设计规范》（GB50311）， 建设单位是否确保商务楼宇内通信配套设施符合相关标准要求后组织竣工验收。</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3.排查电信运营企业是否违规参与或支持新建商务楼宇内通信配套设施建设，对于通信配套设施未按要求竣工验收或验收不合格的商务楼宇，电信运营企业是否仍将其接入公共电信网。</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4.督促商务楼宇建设单位、设计单位、施工图审查机构、电信运营企业就是否严格执行国家标准全面开展自查整改。</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各市住房和城乡建设局、宽带基础设施建设推进办公室组织对2017年4月1日后新建商务楼宇未严格执行《综合布线系统工程设计规范》（GB50311）及相关标准行为进行排查整治，依照法定职责强化管理、严格把关。</w:t>
      </w:r>
    </w:p>
    <w:p>
      <w:pPr>
        <w:numPr>
          <w:ilvl w:val="0"/>
          <w:numId w:val="2"/>
        </w:num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组织实施</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全省商务楼宇宽带接入市场联合整治行动于2020年10月开始，2021年6月底结束，分四个阶段实施。</w:t>
      </w:r>
    </w:p>
    <w:p>
      <w:pPr>
        <w:spacing w:line="570" w:lineRule="exact"/>
        <w:ind w:firstLine="643" w:firstLineChars="200"/>
        <w:rPr>
          <w:rFonts w:ascii="楷体_GB2312" w:hAnsi="黑体" w:eastAsia="楷体_GB2312"/>
          <w:b/>
          <w:bCs/>
          <w:sz w:val="32"/>
          <w:szCs w:val="32"/>
        </w:rPr>
      </w:pPr>
      <w:r>
        <w:rPr>
          <w:rFonts w:hint="eastAsia" w:ascii="楷体_GB2312" w:hAnsi="黑体" w:eastAsia="楷体_GB2312"/>
          <w:b/>
          <w:bCs/>
          <w:sz w:val="32"/>
          <w:szCs w:val="32"/>
        </w:rPr>
        <w:t>（一）组织部署（2020年10月）。</w:t>
      </w:r>
      <w:r>
        <w:rPr>
          <w:rFonts w:hint="eastAsia" w:ascii="仿宋_GB2312" w:hAnsi="黑体" w:eastAsia="仿宋_GB2312"/>
          <w:sz w:val="32"/>
          <w:szCs w:val="32"/>
        </w:rPr>
        <w:t>省通信管理局会同省工业和信息化厅、省公安厅、省住房和城乡建设厅、省市场监督管理局制定联合整治行动工作方案，组织召开全省联合整治行动电视电话会议。各市宽带基础设施建设推进办公室会同工业和信息化局、公安局、住房和城乡建设局、市场监督管理局等部门制定本辖区具体工作计划，并于2020年11月30日前分别报省通信管理局、省工业和信息化厅、省公安厅、省住房和城乡建设厅、省市场监督管理局。省内各基础电信运营企业制定企业自查整改方案，并于2020年11月30日前报省通信管理局。</w:t>
      </w:r>
    </w:p>
    <w:p>
      <w:pPr>
        <w:spacing w:line="570" w:lineRule="exact"/>
        <w:ind w:firstLine="643" w:firstLineChars="200"/>
        <w:rPr>
          <w:rFonts w:ascii="楷体_GB2312" w:hAnsi="黑体" w:eastAsia="楷体_GB2312"/>
          <w:b/>
          <w:bCs/>
          <w:sz w:val="32"/>
          <w:szCs w:val="32"/>
        </w:rPr>
      </w:pPr>
      <w:r>
        <w:rPr>
          <w:rFonts w:hint="eastAsia" w:ascii="楷体_GB2312" w:hAnsi="黑体" w:eastAsia="楷体_GB2312"/>
          <w:b/>
          <w:bCs/>
          <w:sz w:val="32"/>
          <w:szCs w:val="32"/>
        </w:rPr>
        <w:t>（二）自查整改(2020年11月－12月）。</w:t>
      </w:r>
      <w:r>
        <w:rPr>
          <w:rFonts w:hint="eastAsia" w:ascii="仿宋_GB2312" w:hAnsi="黑体" w:eastAsia="仿宋_GB2312"/>
          <w:sz w:val="32"/>
          <w:szCs w:val="32"/>
        </w:rPr>
        <w:t>商务楼宇产权人及其委托的管理人、物业服务企业与电信运营企业及其业务代理要全面开展自查整改，同时要加强行业自律，向社会公开承诺不开展排他经营和限制竞争行为。省内各电信运营企业作为商务楼宇公共电信服务主体，要全面排查商务楼宇宽带网络建设以及接入服务情况，对照集中整治的3大类11项问题，建立问题台账，并根据台账进行销账式整改。各电信运营企业省公司应于2020年11月30前将建立的问题台账报省通信管理局，自查整改总结报告应在12月25日前报省通信管理局。省通信管理局将会同省住房和城乡建设、市场监管部门对自查整改不配合或者整改不到位的企业依法进行查处。</w:t>
      </w:r>
    </w:p>
    <w:p>
      <w:pPr>
        <w:spacing w:line="570" w:lineRule="exact"/>
        <w:ind w:firstLine="643" w:firstLineChars="200"/>
        <w:rPr>
          <w:rFonts w:ascii="楷体_GB2312" w:hAnsi="黑体" w:eastAsia="楷体_GB2312"/>
          <w:b/>
          <w:bCs/>
          <w:sz w:val="32"/>
          <w:szCs w:val="32"/>
        </w:rPr>
      </w:pPr>
      <w:r>
        <w:rPr>
          <w:rFonts w:hint="eastAsia" w:ascii="楷体_GB2312" w:hAnsi="黑体" w:eastAsia="楷体_GB2312"/>
          <w:b/>
          <w:bCs/>
          <w:sz w:val="32"/>
          <w:szCs w:val="32"/>
        </w:rPr>
        <w:t>（三）排查整治(2021年1月－5月）。</w:t>
      </w:r>
      <w:r>
        <w:rPr>
          <w:rFonts w:hint="eastAsia" w:ascii="仿宋_GB2312" w:hAnsi="黑体" w:eastAsia="仿宋_GB2312"/>
          <w:sz w:val="32"/>
          <w:szCs w:val="32"/>
        </w:rPr>
        <w:t>各市宽带基础设施建设推进办公室会同住房和城乡建设局、市场监督管理局等部门采取“四不两直”明查暗访、突击检查和随机抽查等方式，对辖区内商务楼宇宽带接入市场集中排查整治，抽查商务楼宇数量不少于整治清单总数的80%。省通信管理局会同省工业和信息化厅、省公安厅、省住房和城乡建设厅、省市场监督管理局，定期抽查商务楼宇宽带接入问题清单销号情况，抽查数量不少于整治清单总数的20%。</w:t>
      </w:r>
    </w:p>
    <w:p>
      <w:pPr>
        <w:spacing w:line="570" w:lineRule="exact"/>
        <w:ind w:firstLine="643" w:firstLineChars="200"/>
        <w:rPr>
          <w:rFonts w:ascii="楷体_GB2312" w:hAnsi="黑体" w:eastAsia="楷体_GB2312"/>
          <w:b/>
          <w:bCs/>
          <w:sz w:val="32"/>
          <w:szCs w:val="32"/>
        </w:rPr>
      </w:pPr>
      <w:r>
        <w:rPr>
          <w:rFonts w:hint="eastAsia" w:ascii="楷体_GB2312" w:hAnsi="黑体" w:eastAsia="楷体_GB2312"/>
          <w:b/>
          <w:bCs/>
          <w:sz w:val="32"/>
          <w:szCs w:val="32"/>
        </w:rPr>
        <w:t>（四）总结完善(2021年6月）。</w:t>
      </w:r>
      <w:r>
        <w:rPr>
          <w:rFonts w:hint="eastAsia" w:ascii="仿宋_GB2312" w:hAnsi="黑体" w:eastAsia="仿宋_GB2312"/>
          <w:sz w:val="32"/>
          <w:szCs w:val="32"/>
        </w:rPr>
        <w:t>各市宽带基础设施建设推进办公室会同相关部门认真总结本辖区联合整治情况，并于2021年6月20日前报省通信管理局、省工业和信息化厅、省公安厅、省住房和城乡建设厅、省市场监督管理局。省通信管理局会同相关部门总结全省联合整治情况，并于2021年6月底前报工业和信息化部、公安部、住房和城乡建设部、国家市场监督管理总局。</w:t>
      </w:r>
    </w:p>
    <w:p>
      <w:pPr>
        <w:spacing w:line="570" w:lineRule="exact"/>
        <w:ind w:firstLine="640" w:firstLineChars="200"/>
        <w:rPr>
          <w:rFonts w:ascii="黑体" w:hAnsi="黑体" w:eastAsia="黑体"/>
          <w:sz w:val="32"/>
          <w:szCs w:val="32"/>
        </w:rPr>
      </w:pPr>
      <w:r>
        <w:rPr>
          <w:rFonts w:hint="eastAsia" w:ascii="黑体" w:hAnsi="黑体" w:eastAsia="黑体"/>
          <w:sz w:val="32"/>
          <w:szCs w:val="32"/>
        </w:rPr>
        <w:t>五、保障措施</w:t>
      </w:r>
    </w:p>
    <w:p>
      <w:pPr>
        <w:spacing w:line="570" w:lineRule="exact"/>
        <w:ind w:firstLine="643" w:firstLineChars="200"/>
        <w:rPr>
          <w:rFonts w:ascii="仿宋_GB2312" w:hAnsi="黑体" w:eastAsia="仿宋_GB2312"/>
          <w:sz w:val="32"/>
          <w:szCs w:val="32"/>
        </w:rPr>
      </w:pPr>
      <w:r>
        <w:rPr>
          <w:rFonts w:hint="eastAsia" w:ascii="楷体_GB2312" w:hAnsi="黑体" w:eastAsia="楷体_GB2312"/>
          <w:b/>
          <w:bCs/>
          <w:sz w:val="32"/>
          <w:szCs w:val="32"/>
        </w:rPr>
        <w:t>（一）提高政治站位，加强组织协调。</w:t>
      </w:r>
      <w:r>
        <w:rPr>
          <w:rFonts w:hint="eastAsia" w:ascii="仿宋_GB2312" w:hAnsi="黑体" w:eastAsia="仿宋_GB2312"/>
          <w:sz w:val="32"/>
          <w:szCs w:val="32"/>
        </w:rPr>
        <w:t>开展商务楼宇宽带接入市场联合整治行动是落实“六稳六保”要求的一项重要政治任务。省通信管理局牵头成立省联合整治工作组，建立联席会议制度，定期通报工作进展情况，研究解决相关问题。各市要比照省级联合整治工作模式，由宽带基础设施建设推进办公室牵头，建立协同推进机制，推动联合整治工作落到实处。各基础电信运营企业省级公司要根据自查整改方案，督促各市县公司完善工作机制，细化工作举措，压实主体责任，认真开展自查自纠，全面整改。</w:t>
      </w:r>
    </w:p>
    <w:p>
      <w:pPr>
        <w:spacing w:line="570" w:lineRule="exact"/>
        <w:ind w:firstLine="643" w:firstLineChars="200"/>
        <w:rPr>
          <w:rFonts w:ascii="楷体_GB2312" w:hAnsi="黑体" w:eastAsia="楷体_GB2312"/>
          <w:b/>
          <w:bCs/>
          <w:sz w:val="32"/>
          <w:szCs w:val="32"/>
        </w:rPr>
      </w:pPr>
      <w:r>
        <w:rPr>
          <w:rFonts w:hint="eastAsia" w:ascii="楷体_GB2312" w:hAnsi="黑体" w:eastAsia="楷体_GB2312"/>
          <w:b/>
          <w:bCs/>
          <w:sz w:val="32"/>
          <w:szCs w:val="32"/>
        </w:rPr>
        <w:t>（二）深化协同监管，强化联合执法。</w:t>
      </w:r>
      <w:r>
        <w:rPr>
          <w:rFonts w:hint="eastAsia" w:ascii="仿宋_GB2312" w:hAnsi="黑体" w:eastAsia="仿宋_GB2312"/>
          <w:sz w:val="32"/>
          <w:szCs w:val="32"/>
        </w:rPr>
        <w:t>省通信管理局在互联网网络接入市场清理规范专项行动基础上，加大商务楼宇宽带接入执法力度，依法严查无证经营、超范围经营等违规行为。各地住房和城乡建设局、宽带基础设施建设推进办公室要结合工程建设项目审批制度改革，进一步加大对新建商务楼宇落实《综合布线系统工程设计规范》（GB50311）等标准强制性条文的审查把关力度，从源头上杜绝商务楼宇宽带垄断。各市宽带基础设施建设推进办公室要及时收集各方反映的有关问题线索，配合市场监管等部门做好调查取证，对部分开发商或者物业企业收取高额宽带“入场费”的违法违规行为进行查处。公安机关依法严厉打击以暴力、威胁手段，强迫他人接受指定电信业务服务，或者强迫电信运营企业及其业务代理退出电信业务服务的行为。对违法违规行为公开曝光，做到查处一个、影响一片。对于受到行政处罚的企业，要纳入各有关部门建立的企业诚信记录或失信名单。</w:t>
      </w:r>
    </w:p>
    <w:p>
      <w:pPr>
        <w:spacing w:line="570" w:lineRule="exact"/>
        <w:ind w:firstLine="643" w:firstLineChars="200"/>
        <w:rPr>
          <w:rFonts w:hint="eastAsia" w:ascii="仿宋_GB2312" w:hAnsi="黑体" w:eastAsia="仿宋_GB2312"/>
          <w:sz w:val="32"/>
          <w:szCs w:val="32"/>
        </w:rPr>
      </w:pPr>
      <w:r>
        <w:rPr>
          <w:rFonts w:hint="eastAsia" w:ascii="楷体_GB2312" w:hAnsi="黑体" w:eastAsia="楷体_GB2312"/>
          <w:b/>
          <w:bCs/>
          <w:sz w:val="32"/>
          <w:szCs w:val="32"/>
        </w:rPr>
        <w:t>（三）坚持问题导向，实行清单管理。</w:t>
      </w:r>
      <w:r>
        <w:rPr>
          <w:rFonts w:hint="eastAsia" w:ascii="仿宋_GB2312" w:hAnsi="黑体" w:eastAsia="仿宋_GB2312"/>
          <w:sz w:val="32"/>
          <w:szCs w:val="32"/>
        </w:rPr>
        <w:t>省通信管理局、省工业和信息化厅、省公安厅、省住房和城乡建设厅、省市场监督管理局要结合排查整治工作，全面梳理辖区内商务楼宇建设情况以及宽带接入情况。对于存在宽带接入排他经营、限制竟争、价格违法、不严格执行国家标准等问题的商务楼宇，要摸清问题根源，实行清单式管理、销号式督查，并向社会公开。</w:t>
      </w:r>
    </w:p>
    <w:p>
      <w:pPr>
        <w:spacing w:line="570" w:lineRule="exact"/>
        <w:ind w:firstLine="643" w:firstLineChars="200"/>
        <w:rPr>
          <w:rFonts w:hint="eastAsia" w:ascii="仿宋_GB2312" w:hAnsi="黑体" w:eastAsia="仿宋_GB2312"/>
          <w:sz w:val="32"/>
          <w:szCs w:val="32"/>
        </w:rPr>
      </w:pPr>
      <w:r>
        <w:rPr>
          <w:rFonts w:hint="eastAsia" w:ascii="楷体_GB2312" w:hAnsi="黑体" w:eastAsia="楷体_GB2312"/>
          <w:b/>
          <w:bCs/>
          <w:sz w:val="32"/>
          <w:szCs w:val="32"/>
        </w:rPr>
        <w:t>（四）加强共建共享，落实监督考核。</w:t>
      </w:r>
      <w:r>
        <w:rPr>
          <w:rFonts w:hint="eastAsia" w:ascii="仿宋_GB2312" w:hAnsi="黑体" w:eastAsia="仿宋_GB2312"/>
          <w:sz w:val="32"/>
          <w:szCs w:val="32"/>
        </w:rPr>
        <w:t>省内各基础电信运营企业要加强共建共享，严格落实新建商务楼宇公网接入服务有关要求，一是要严格控制新建商务楼宇内通信配套设施的投资，已投资建设的，在具备共享条件下要向其他电信企业开放共享；二是对于通信配套设施未按要求竣工验收或者验收不合格的商务楼宇，不予接入公用电信网。各市宽带基础设施建设推进办公室以及共建共享协调小组，要按季度将辖区内因电信运营企业未落实共建共享，而造成商务楼宇垄断的情况报省通信管理局，省通信管理局将根据《工业和信息化部 国务院国有资产监督管理委员会关于推进电信基础设施共建共享 支撑5G网络加快建设发展的实施意见》（工信部联通信〔2020〕78号），在年度综合考核评分中对违规的基础电信企业省级公司予以减分，并在全省通报。</w:t>
      </w:r>
    </w:p>
    <w:p>
      <w:pPr>
        <w:spacing w:line="570" w:lineRule="exact"/>
        <w:ind w:firstLine="643" w:firstLineChars="200"/>
        <w:rPr>
          <w:rFonts w:hint="eastAsia" w:ascii="仿宋_GB2312" w:hAnsi="黑体" w:eastAsia="仿宋_GB2312"/>
          <w:sz w:val="32"/>
          <w:szCs w:val="32"/>
        </w:rPr>
      </w:pPr>
      <w:r>
        <w:rPr>
          <w:rFonts w:hint="eastAsia" w:ascii="楷体_GB2312" w:hAnsi="黑体" w:eastAsia="楷体_GB2312"/>
          <w:b/>
          <w:bCs/>
          <w:sz w:val="32"/>
          <w:szCs w:val="32"/>
        </w:rPr>
        <w:t>（五）畅通投诉渠道，务求工作实效。</w:t>
      </w:r>
      <w:r>
        <w:rPr>
          <w:rFonts w:hint="eastAsia" w:ascii="仿宋_GB2312" w:hAnsi="黑体" w:eastAsia="仿宋_GB2312"/>
          <w:sz w:val="32"/>
          <w:szCs w:val="32"/>
        </w:rPr>
        <w:t>各地相关部门要加大整治行动的宣传力度，向社会公布举报投诉信箱、网站、电话等，畅通举报投诉渠道，建立健全举报投诉受理、转办、处理、反馈机制，及时协调处理用户反映的问题。对于恶意举报投诉的企业或个人，要予以严肃批评并依法追究责任。</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省商务楼宇宽带接入市场联合整治行动举报受理电话：029-12300。</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网上投诉受理地址：</w:t>
      </w:r>
    </w:p>
    <w:p>
      <w:pPr>
        <w:spacing w:line="57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https://shxca.miit.gov.cn/ztzl/swlyldzxzz/index.html</w:t>
      </w:r>
    </w:p>
    <w:p>
      <w:pPr>
        <w:spacing w:line="570" w:lineRule="exact"/>
        <w:ind w:firstLine="643" w:firstLineChars="200"/>
        <w:rPr>
          <w:rFonts w:hint="eastAsia" w:ascii="仿宋_GB2312" w:hAnsi="黑体" w:eastAsia="仿宋_GB2312"/>
          <w:sz w:val="32"/>
          <w:szCs w:val="32"/>
        </w:rPr>
      </w:pPr>
      <w:r>
        <w:rPr>
          <w:rFonts w:hint="eastAsia" w:ascii="楷体_GB2312" w:hAnsi="黑体" w:eastAsia="楷体_GB2312"/>
          <w:b/>
          <w:bCs/>
          <w:sz w:val="32"/>
          <w:szCs w:val="32"/>
        </w:rPr>
        <w:t>（</w:t>
      </w:r>
      <w:r>
        <w:rPr>
          <w:rFonts w:hint="eastAsia" w:ascii="楷体_GB2312" w:hAnsi="黑体" w:eastAsia="楷体_GB2312"/>
          <w:b/>
          <w:bCs/>
          <w:sz w:val="32"/>
          <w:szCs w:val="32"/>
          <w:lang w:eastAsia="zh-CN"/>
        </w:rPr>
        <w:t>六</w:t>
      </w:r>
      <w:r>
        <w:rPr>
          <w:rFonts w:hint="eastAsia" w:ascii="楷体_GB2312" w:hAnsi="黑体" w:eastAsia="楷体_GB2312"/>
          <w:b/>
          <w:bCs/>
          <w:sz w:val="32"/>
          <w:szCs w:val="32"/>
        </w:rPr>
        <w:t>）健全长效机制。</w:t>
      </w:r>
      <w:r>
        <w:rPr>
          <w:rFonts w:hint="eastAsia" w:ascii="仿宋_GB2312" w:hAnsi="黑体" w:eastAsia="仿宋_GB2312"/>
          <w:sz w:val="32"/>
          <w:szCs w:val="32"/>
        </w:rPr>
        <w:t>各市相关部门要及时梳理典型案例，汇总有关数据，总结经验做法；积极探索建立健全部门协同、省市联动、信息共享、联合执法、联合惩戒的长效工作机制，推动地方出台相关法规，为商务楼宇宽带接入市场提供坚实法治保障。</w:t>
      </w:r>
    </w:p>
    <w:p>
      <w:pPr>
        <w:spacing w:line="570" w:lineRule="exact"/>
        <w:ind w:firstLine="640" w:firstLineChars="200"/>
        <w:rPr>
          <w:rFonts w:hint="eastAsia" w:ascii="仿宋_GB2312" w:hAnsi="黑体" w:eastAsia="仿宋_GB2312"/>
          <w:sz w:val="32"/>
          <w:szCs w:val="32"/>
        </w:rPr>
      </w:pPr>
    </w:p>
    <w:p>
      <w:pPr>
        <w:spacing w:line="570" w:lineRule="exact"/>
        <w:ind w:left="1598" w:leftChars="304" w:hanging="960" w:hangingChars="300"/>
        <w:rPr>
          <w:rFonts w:hint="eastAsia" w:ascii="仿宋_GB2312" w:hAnsi="黑体" w:eastAsia="仿宋_GB2312"/>
          <w:sz w:val="32"/>
          <w:szCs w:val="32"/>
        </w:rPr>
      </w:pPr>
      <w:r>
        <w:rPr>
          <w:rFonts w:hint="eastAsia" w:ascii="仿宋_GB2312" w:hAnsi="黑体" w:eastAsia="仿宋_GB2312"/>
          <w:sz w:val="32"/>
          <w:szCs w:val="32"/>
        </w:rPr>
        <w:t>附件：《陕西省商务楼宇宽带接入市场联合整治行动工作</w:t>
      </w:r>
      <w:bookmarkStart w:id="1" w:name="_GoBack"/>
      <w:bookmarkEnd w:id="1"/>
      <w:r>
        <w:rPr>
          <w:rFonts w:hint="eastAsia" w:ascii="仿宋_GB2312" w:hAnsi="黑体" w:eastAsia="仿宋_GB2312"/>
          <w:sz w:val="32"/>
          <w:szCs w:val="32"/>
        </w:rPr>
        <w:t>清单》</w:t>
      </w:r>
    </w:p>
    <w:tbl>
      <w:tblPr>
        <w:tblStyle w:val="11"/>
        <w:tblW w:w="11515" w:type="dxa"/>
        <w:jc w:val="center"/>
        <w:tblInd w:w="931" w:type="dxa"/>
        <w:tblLayout w:type="fixed"/>
        <w:tblCellMar>
          <w:top w:w="15" w:type="dxa"/>
          <w:left w:w="108" w:type="dxa"/>
          <w:bottom w:w="15" w:type="dxa"/>
          <w:right w:w="108" w:type="dxa"/>
        </w:tblCellMar>
      </w:tblPr>
      <w:tblGrid>
        <w:gridCol w:w="607"/>
        <w:gridCol w:w="696"/>
        <w:gridCol w:w="840"/>
        <w:gridCol w:w="2340"/>
        <w:gridCol w:w="1752"/>
        <w:gridCol w:w="2136"/>
        <w:gridCol w:w="972"/>
        <w:gridCol w:w="2172"/>
      </w:tblGrid>
      <w:tr>
        <w:tblPrEx>
          <w:tblLayout w:type="fixed"/>
          <w:tblCellMar>
            <w:top w:w="15" w:type="dxa"/>
            <w:left w:w="108" w:type="dxa"/>
            <w:bottom w:w="15" w:type="dxa"/>
            <w:right w:w="108" w:type="dxa"/>
          </w:tblCellMar>
        </w:tblPrEx>
        <w:trPr>
          <w:trHeight w:val="525" w:hRule="atLeast"/>
          <w:jc w:val="center"/>
        </w:trPr>
        <w:tc>
          <w:tcPr>
            <w:tcW w:w="1303" w:type="dxa"/>
            <w:gridSpan w:val="2"/>
            <w:vAlign w:val="center"/>
          </w:tcPr>
          <w:p>
            <w:pPr>
              <w:widowControl/>
              <w:jc w:val="left"/>
              <w:rPr>
                <w:rFonts w:ascii="宋体" w:hAnsi="宋体" w:cs="宋体"/>
                <w:color w:val="000000"/>
                <w:kern w:val="0"/>
                <w:sz w:val="22"/>
                <w:szCs w:val="22"/>
              </w:rPr>
            </w:pPr>
            <w:r>
              <w:rPr>
                <w:rFonts w:hint="eastAsia" w:ascii="黑体" w:hAnsi="宋体" w:eastAsia="黑体" w:cs="宋体"/>
                <w:bCs/>
                <w:color w:val="000000"/>
                <w:kern w:val="0"/>
                <w:sz w:val="32"/>
                <w:szCs w:val="32"/>
              </w:rPr>
              <w:t>附件</w:t>
            </w:r>
          </w:p>
        </w:tc>
        <w:tc>
          <w:tcPr>
            <w:tcW w:w="3180" w:type="dxa"/>
            <w:gridSpan w:val="2"/>
            <w:vAlign w:val="center"/>
          </w:tcPr>
          <w:p>
            <w:pPr>
              <w:widowControl/>
              <w:jc w:val="left"/>
              <w:rPr>
                <w:rFonts w:ascii="宋体" w:hAnsi="宋体" w:cs="宋体"/>
                <w:color w:val="000000"/>
                <w:kern w:val="0"/>
                <w:sz w:val="22"/>
                <w:szCs w:val="22"/>
              </w:rPr>
            </w:pPr>
          </w:p>
        </w:tc>
        <w:tc>
          <w:tcPr>
            <w:tcW w:w="1752" w:type="dxa"/>
            <w:vAlign w:val="center"/>
          </w:tcPr>
          <w:p>
            <w:pPr>
              <w:widowControl/>
              <w:jc w:val="left"/>
              <w:rPr>
                <w:rFonts w:ascii="宋体" w:hAnsi="宋体" w:cs="宋体"/>
                <w:color w:val="000000"/>
                <w:kern w:val="0"/>
                <w:sz w:val="22"/>
                <w:szCs w:val="22"/>
              </w:rPr>
            </w:pPr>
          </w:p>
        </w:tc>
        <w:tc>
          <w:tcPr>
            <w:tcW w:w="2136" w:type="dxa"/>
            <w:vAlign w:val="center"/>
          </w:tcPr>
          <w:p>
            <w:pPr>
              <w:widowControl/>
              <w:jc w:val="left"/>
              <w:rPr>
                <w:rFonts w:ascii="宋体" w:hAnsi="宋体" w:cs="宋体"/>
                <w:color w:val="000000"/>
                <w:kern w:val="0"/>
                <w:sz w:val="22"/>
                <w:szCs w:val="22"/>
              </w:rPr>
            </w:pPr>
          </w:p>
        </w:tc>
        <w:tc>
          <w:tcPr>
            <w:tcW w:w="972" w:type="dxa"/>
            <w:vAlign w:val="center"/>
          </w:tcPr>
          <w:p>
            <w:pPr>
              <w:widowControl/>
              <w:jc w:val="left"/>
              <w:rPr>
                <w:rFonts w:ascii="宋体" w:hAnsi="宋体" w:cs="宋体"/>
                <w:color w:val="000000"/>
                <w:kern w:val="0"/>
                <w:sz w:val="22"/>
                <w:szCs w:val="22"/>
              </w:rPr>
            </w:pPr>
          </w:p>
        </w:tc>
        <w:tc>
          <w:tcPr>
            <w:tcW w:w="2172" w:type="dxa"/>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960" w:hRule="atLeast"/>
          <w:jc w:val="center"/>
        </w:trPr>
        <w:tc>
          <w:tcPr>
            <w:tcW w:w="11515" w:type="dxa"/>
            <w:gridSpan w:val="8"/>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陕西省商务楼宇宽带接入市场联合整治行动工作清单</w:t>
            </w:r>
          </w:p>
        </w:tc>
      </w:tr>
      <w:tr>
        <w:tblPrEx>
          <w:tblLayout w:type="fixed"/>
          <w:tblCellMar>
            <w:top w:w="15" w:type="dxa"/>
            <w:left w:w="108" w:type="dxa"/>
            <w:bottom w:w="15" w:type="dxa"/>
            <w:right w:w="108" w:type="dxa"/>
          </w:tblCellMar>
        </w:tblPrEx>
        <w:trPr>
          <w:trHeight w:val="8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地市</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县区</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商务楼宇名称</w:t>
            </w:r>
          </w:p>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（不包括纯住宅小区）</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详细地址</w:t>
            </w:r>
          </w:p>
        </w:tc>
        <w:tc>
          <w:tcPr>
            <w:tcW w:w="21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开发商或物业名称</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宽带业务</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提供商</w:t>
            </w:r>
          </w:p>
        </w:tc>
        <w:tc>
          <w:tcPr>
            <w:tcW w:w="21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形成宽带垄断</w:t>
            </w:r>
          </w:p>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的主要原因</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新城区</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西北商贸中心</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西安市新城区长乐西路218号</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陕西银邦投资发展有限公司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移动正在等待签约</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和记万佳</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西安市东月路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陕西和记万佳实业集团有限公司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移动正在等待签约</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雁塔区</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西部财富中心二期</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高新三路4号</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陕西西部现代物业管理有限公司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联通</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移动正在洽谈中，电信施工存在问题，停工中</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汇豪树中心</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科技三路58号汇豪国际</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西安华枫物业管理有限公司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移动，联通仍未联系到物业相关负责人</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p>
          <w:p>
            <w:pPr>
              <w:widowControl/>
              <w:jc w:val="center"/>
              <w:rPr>
                <w:rFonts w:hint="eastAsia" w:ascii="宋体" w:hAnsi="宋体" w:eastAsia="宋体" w:cs="宋体"/>
                <w:color w:val="000000"/>
                <w:kern w:val="0"/>
                <w:sz w:val="20"/>
                <w:szCs w:val="20"/>
              </w:rPr>
            </w:pPr>
          </w:p>
          <w:p>
            <w:pPr>
              <w:widowControl/>
              <w:jc w:val="center"/>
              <w:rPr>
                <w:rFonts w:hint="eastAsia" w:ascii="宋体" w:hAnsi="宋体" w:eastAsia="宋体" w:cs="宋体"/>
                <w:color w:val="000000"/>
                <w:kern w:val="0"/>
                <w:sz w:val="20"/>
                <w:szCs w:val="20"/>
              </w:rPr>
            </w:pPr>
          </w:p>
          <w:p>
            <w:pPr>
              <w:widowControl/>
              <w:jc w:val="center"/>
              <w:rPr>
                <w:rFonts w:hint="eastAsia" w:ascii="宋体" w:hAnsi="宋体" w:eastAsia="宋体" w:cs="宋体"/>
                <w:color w:val="000000"/>
                <w:kern w:val="0"/>
                <w:sz w:val="20"/>
                <w:szCs w:val="20"/>
              </w:rPr>
            </w:pPr>
          </w:p>
          <w:p>
            <w:pPr>
              <w:widowControl/>
              <w:jc w:val="center"/>
              <w:rPr>
                <w:rFonts w:hint="eastAsia" w:ascii="宋体" w:hAnsi="宋体" w:eastAsia="宋体" w:cs="宋体"/>
                <w:color w:val="000000"/>
                <w:kern w:val="0"/>
                <w:sz w:val="20"/>
                <w:szCs w:val="20"/>
              </w:rPr>
            </w:pPr>
          </w:p>
          <w:p>
            <w:pPr>
              <w:widowControl/>
              <w:jc w:val="center"/>
              <w:rPr>
                <w:rFonts w:hint="eastAsia" w:ascii="宋体" w:hAnsi="宋体" w:eastAsia="宋体" w:cs="宋体"/>
                <w:color w:val="000000"/>
                <w:kern w:val="0"/>
                <w:sz w:val="20"/>
                <w:szCs w:val="20"/>
              </w:rPr>
            </w:pPr>
          </w:p>
          <w:p>
            <w:pPr>
              <w:widowControl/>
              <w:jc w:val="center"/>
              <w:rPr>
                <w:rFonts w:hint="eastAsia" w:ascii="宋体" w:hAnsi="宋体" w:eastAsia="宋体" w:cs="宋体"/>
                <w:color w:val="000000"/>
                <w:kern w:val="0"/>
                <w:sz w:val="20"/>
                <w:szCs w:val="20"/>
              </w:rPr>
            </w:pPr>
          </w:p>
          <w:p>
            <w:pPr>
              <w:widowControl/>
              <w:jc w:val="center"/>
              <w:rPr>
                <w:rFonts w:hint="eastAsia" w:ascii="宋体" w:hAnsi="宋体" w:eastAsia="宋体" w:cs="宋体"/>
                <w:color w:val="000000"/>
                <w:kern w:val="0"/>
                <w:sz w:val="20"/>
                <w:szCs w:val="20"/>
              </w:rPr>
            </w:pP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宝鸡</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陇县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如家酒店</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陇县河滨路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如家酒店</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连锁店总部统谈业务移动进线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文化上林商务区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陇县北大街</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文化上林商务区</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进线费过高（每户500元）</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陇县中医医院</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陇县河滨西路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陇县中医医院</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移动独家进线（不允许电信进线）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渭滨区</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龙石路锌业南苑西侧商务楼</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宝鸡市渭滨区龙石路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龙石路锌业南苑西侧商务楼</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联通</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私人房产，联通独家进入</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嘉隆国际酒店和嘉隆商场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宝鸡市经二路火车站西侧</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嘉隆物业</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历史原因和费用太大</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桥南街道办事处公园路</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公园路1号安装大厦</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安装集团物业公司</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大楼电信免费做的综合布线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陈仓区</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大明建材城</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陈仓宝虢路西段</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大明建材城物业</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联通</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开发商要求购置门面房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麟游县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金林湾商业区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眉麟路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金林湾物业</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广电</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每户交钱</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城区分局</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麟游县杜阳路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九成宫招待所</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广电</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酒店领导指定</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太白县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太白县嘴头镇</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太白县东大街</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太白宾馆</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广电</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广电做了管道酒店内综合布线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太白县嘴头镇</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太白县新建路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太白县中学（高中）</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电信签订班班通独家垄断协议</w:t>
            </w:r>
          </w:p>
        </w:tc>
      </w:tr>
      <w:tr>
        <w:tblPrEx>
          <w:tblLayout w:type="fixed"/>
          <w:tblCellMar>
            <w:top w:w="15" w:type="dxa"/>
            <w:left w:w="108" w:type="dxa"/>
            <w:bottom w:w="15" w:type="dxa"/>
            <w:right w:w="108" w:type="dxa"/>
          </w:tblCellMar>
        </w:tblPrEx>
        <w:trPr>
          <w:trHeight w:val="60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岐山县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岐山县凤鸣国际酒店</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陕西省宝鸡市岐山县凤鸣镇北环路礼乐广场</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岐山县凤鸣国际酒店有限责任公司</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电信做了管道酒店内综合布线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金台区</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冠森大世界建材城</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金台区冠森大世界建材城</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冠森大世界建材城</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电信做了管道酒店内综合布线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金九商务楼</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金台区金九商务楼</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金九商务楼</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电信做了管道酒店内综合布线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三迪广场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金台区三迪广场</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三迪广场</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电信前期已做管道及内线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第五大道</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金台区第五大道</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第五大道</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电信前期已做管道及内线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轩苑世家步行街</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金台区轩苑世家步行街</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轩苑世家步行街</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电信前期已做管道及内线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轩苑盛世生活广场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金台区轩苑盛世生活广场</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轩苑盛世生活广场</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电信前期已做管道及内线</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汉中</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汉台区</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西环路大明宫建材城</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西环路和康复路西南角</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陕西建工集团第二建设有限公司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物业阻止进入</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桥北广场居然之家</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汉台区桥北广场以东</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汉中市嘉辰房地产开发有限公司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开发商阻止进入</w:t>
            </w:r>
          </w:p>
        </w:tc>
      </w:tr>
      <w:tr>
        <w:tblPrEx>
          <w:tblLayout w:type="fixed"/>
          <w:tblCellMar>
            <w:top w:w="15" w:type="dxa"/>
            <w:left w:w="108" w:type="dxa"/>
            <w:bottom w:w="15" w:type="dxa"/>
            <w:right w:w="108" w:type="dxa"/>
          </w:tblCellMar>
        </w:tblPrEx>
        <w:trPr>
          <w:trHeight w:val="67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天汉长街沿街商铺（A、B、C、D和E区）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滨江路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滨江实业开发有限公司、成都中瑞联投资管理有限公司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物业阻止进入</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69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安康</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白河县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构扒镇高庄村贺昌树开发楼</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安康市白河县构扒镇高庄村</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贺昌树</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开发商阻止进入</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696" w:type="dxa"/>
            <w:vMerge w:val="continue"/>
            <w:tcBorders>
              <w:top w:val="single" w:color="000000" w:sz="4" w:space="0"/>
              <w:left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旬阳县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旬阳廊桥</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旬阳县城关镇商贸大街桥沟潭</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旬阳县中昱廊桥置业有限公司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开发商阻止进入</w:t>
            </w:r>
          </w:p>
        </w:tc>
      </w:tr>
      <w:tr>
        <w:tblPrEx>
          <w:tblLayout w:type="fixed"/>
          <w:tblCellMar>
            <w:top w:w="15" w:type="dxa"/>
            <w:left w:w="108" w:type="dxa"/>
            <w:bottom w:w="15" w:type="dxa"/>
            <w:right w:w="108" w:type="dxa"/>
          </w:tblCellMar>
        </w:tblPrEx>
        <w:trPr>
          <w:trHeight w:val="5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696" w:type="dxa"/>
            <w:vMerge w:val="continue"/>
            <w:tcBorders>
              <w:top w:val="single" w:color="000000" w:sz="4" w:space="0"/>
              <w:left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紫阳县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黄金商贸城</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河堤路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宏阳物业18391532880</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电信提前预埋管道，移动无法进入</w:t>
            </w:r>
          </w:p>
        </w:tc>
      </w:tr>
      <w:tr>
        <w:tblPrEx>
          <w:tblLayout w:type="fixed"/>
          <w:tblCellMar>
            <w:top w:w="15" w:type="dxa"/>
            <w:left w:w="108" w:type="dxa"/>
            <w:bottom w:w="15" w:type="dxa"/>
            <w:right w:w="108" w:type="dxa"/>
          </w:tblCellMar>
        </w:tblPrEx>
        <w:trPr>
          <w:trHeight w:val="69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商洛</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洛南县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龙山大厦</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河滨南路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金盛源房地产开发有限公司、洛南县盛源物业公司</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广电</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广电独家</w:t>
            </w:r>
          </w:p>
        </w:tc>
      </w:tr>
    </w:tbl>
    <w:p>
      <w:pPr>
        <w:spacing w:line="570" w:lineRule="exact"/>
        <w:ind w:left="1598" w:leftChars="304" w:hanging="960" w:hangingChars="300"/>
        <w:rPr>
          <w:rFonts w:hint="eastAsia" w:ascii="仿宋_GB2312" w:hAnsi="黑体"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8"/>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rect id="文本框 8" o:spid="_x0000_s1026" o:spt="1"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lI2s0gAA&#10;AAMBAAAPAAAAAAAAAAEAIAAAACIAAABkcnMvZG93bnJldi54bWxQSwECFAAUAAAACACHTuJApUml&#10;9OsBAACqAwAADgAAAAAAAAABACAAAAAhAQAAZHJzL2Uyb0RvYy54bWxQSwUGAAAAAAYABgBZAQAA&#10;fgU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19050" t="17145" r="12700" b="19050"/>
              <wp:wrapNone/>
              <wp:docPr id="2"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round/>
                      </a:ln>
                    </wps:spPr>
                    <wps:bodyPr/>
                  </wps:wsp>
                </a:graphicData>
              </a:graphic>
            </wp:anchor>
          </w:drawing>
        </mc:Choice>
        <mc:Fallback>
          <w:pict>
            <v:line id="直接连接符 5" o:spid="_x0000_s1026" o:spt="20" style="position:absolute;left:0pt;margin-left:0pt;margin-top:5.85pt;height:0.15pt;width:442.25pt;z-index:251659264;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yR1fSAAAABgEAAA8AAAAAAAAAAQAgAAAAIgAAAGRycy9k&#10;b3ducmV2LnhtbFBLAQIUABQAAAAIAIdO4kBPRlvfzwEAAGADAAAOAAAAAAAAAAEAIAAAACEBAABk&#10;cnMvZTJvRG9jLnhtbFBLBQYAAAAABgAGAFkBAABiBQAA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陕西省</w:t>
    </w:r>
    <w:r>
      <w:rPr>
        <w:rFonts w:hint="eastAsia" w:ascii="宋体" w:hAnsi="宋体" w:cs="宋体"/>
        <w:b/>
        <w:bCs/>
        <w:color w:val="005192"/>
        <w:sz w:val="28"/>
        <w:szCs w:val="44"/>
        <w:lang w:eastAsia="zh-CN"/>
      </w:rPr>
      <w:t>通信管理局</w:t>
    </w:r>
    <w:r>
      <w:rPr>
        <w:rFonts w:hint="eastAsia" w:ascii="宋体" w:hAnsi="宋体" w:cs="宋体"/>
        <w:b/>
        <w:bCs/>
        <w:color w:val="005192"/>
        <w:sz w:val="28"/>
        <w:szCs w:val="44"/>
      </w:rPr>
      <w:t xml:space="preserve">发布     </w:t>
    </w:r>
  </w:p>
  <w:p>
    <w:pPr>
      <w:pStyle w:val="6"/>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635"/>
              <wp:effectExtent l="15240" t="13970" r="12700" b="1397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20385" cy="63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3pt;margin-top:54.35pt;height:0.05pt;width:442.55pt;z-index:251658240;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2hKwnSAAAACQEAAA8AAAAAAAAAAQAgAAAAIgAAAGRycy9k&#10;b3ducmV2LnhtbFBLAQIUABQAAAAIAIdO4kBdlDmJzwEAAF8DAAAOAAAAAAAAAAEAIAAAACEBAABk&#10;cnMvZTJvRG9jLnhtbFBLBQYAAAAABgAGAFkBAABiBQAAAAA=&#10;">
              <v:fill on="f" focussize="0,0"/>
              <v:stroke weight="1.75pt" color="#005192" joinstyle="round"/>
              <v:imagedata o:title=""/>
              <o:lock v:ext="edit" aspectratio="f"/>
            </v:line>
          </w:pict>
        </mc:Fallback>
      </mc:AlternateContent>
    </w:r>
  </w:p>
  <w:p>
    <w:pPr>
      <w:pStyle w:val="6"/>
      <w:textAlignment w:val="center"/>
      <w:rPr>
        <w:rFonts w:ascii="宋体" w:hAnsi="宋体" w:cs="宋体"/>
        <w:b/>
        <w:bCs/>
        <w:color w:val="005192"/>
        <w:sz w:val="32"/>
        <w:szCs w:val="32"/>
      </w:rPr>
    </w:pPr>
    <w:r>
      <w:rPr>
        <w:rFonts w:ascii="宋体" w:hAnsi="宋体" w:cs="宋体"/>
        <w:b/>
        <w:bCs/>
        <w:color w:val="005192"/>
        <w:sz w:val="32"/>
      </w:rPr>
      <w:drawing>
        <wp:inline distT="0" distB="0" distL="0" distR="0">
          <wp:extent cx="311150" cy="311150"/>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1150" cy="311150"/>
                  </a:xfrm>
                  <a:prstGeom prst="rect">
                    <a:avLst/>
                  </a:prstGeom>
                  <a:noFill/>
                  <a:ln>
                    <a:noFill/>
                  </a:ln>
                </pic:spPr>
              </pic:pic>
            </a:graphicData>
          </a:graphic>
        </wp:inline>
      </w:drawing>
    </w:r>
    <w:bookmarkStart w:id="0" w:name="_Hlk91518048"/>
    <w:r>
      <w:rPr>
        <w:rFonts w:hint="eastAsia" w:ascii="宋体" w:hAnsi="宋体" w:cs="宋体"/>
        <w:b/>
        <w:bCs/>
        <w:color w:val="005192"/>
        <w:sz w:val="32"/>
        <w:szCs w:val="32"/>
      </w:rPr>
      <w:t>陕西省</w:t>
    </w:r>
    <w:bookmarkEnd w:id="0"/>
    <w:r>
      <w:rPr>
        <w:rFonts w:hint="eastAsia" w:ascii="宋体" w:hAnsi="宋体" w:cs="宋体"/>
        <w:b/>
        <w:bCs/>
        <w:color w:val="005192"/>
        <w:sz w:val="32"/>
        <w:szCs w:val="32"/>
        <w:lang w:eastAsia="zh-CN"/>
      </w:rPr>
      <w:t>通信管理局</w:t>
    </w:r>
    <w:r>
      <w:rPr>
        <w:rFonts w:hint="eastAsia" w:ascii="宋体" w:hAnsi="宋体" w:cs="宋体"/>
        <w:b/>
        <w:bCs/>
        <w:color w:val="005192"/>
        <w:sz w:val="32"/>
        <w:szCs w:val="32"/>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62EBE"/>
    <w:multiLevelType w:val="singleLevel"/>
    <w:tmpl w:val="42362EBE"/>
    <w:lvl w:ilvl="0" w:tentative="0">
      <w:start w:val="4"/>
      <w:numFmt w:val="chineseCounting"/>
      <w:suff w:val="nothing"/>
      <w:lvlText w:val="%1、"/>
      <w:lvlJc w:val="left"/>
      <w:rPr>
        <w:rFonts w:hint="eastAsia"/>
      </w:rPr>
    </w:lvl>
  </w:abstractNum>
  <w:abstractNum w:abstractNumId="1">
    <w:nsid w:val="4D9799D6"/>
    <w:multiLevelType w:val="singleLevel"/>
    <w:tmpl w:val="4D9799D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C8"/>
    <w:rsid w:val="000167BC"/>
    <w:rsid w:val="00045270"/>
    <w:rsid w:val="00046993"/>
    <w:rsid w:val="000674F0"/>
    <w:rsid w:val="00071571"/>
    <w:rsid w:val="00082A6A"/>
    <w:rsid w:val="000B304C"/>
    <w:rsid w:val="000C0D40"/>
    <w:rsid w:val="000C446F"/>
    <w:rsid w:val="000E01DF"/>
    <w:rsid w:val="000F0374"/>
    <w:rsid w:val="000F3B66"/>
    <w:rsid w:val="000F7E2E"/>
    <w:rsid w:val="00141111"/>
    <w:rsid w:val="00172A27"/>
    <w:rsid w:val="00196A77"/>
    <w:rsid w:val="001A3828"/>
    <w:rsid w:val="001B3ADB"/>
    <w:rsid w:val="001C529D"/>
    <w:rsid w:val="001D130E"/>
    <w:rsid w:val="002027B8"/>
    <w:rsid w:val="002108C8"/>
    <w:rsid w:val="002165D5"/>
    <w:rsid w:val="0023005C"/>
    <w:rsid w:val="00240DFD"/>
    <w:rsid w:val="00245867"/>
    <w:rsid w:val="0024710B"/>
    <w:rsid w:val="00251E7D"/>
    <w:rsid w:val="00264F77"/>
    <w:rsid w:val="0027445A"/>
    <w:rsid w:val="002B5203"/>
    <w:rsid w:val="002D4311"/>
    <w:rsid w:val="002F08DA"/>
    <w:rsid w:val="00300A70"/>
    <w:rsid w:val="0030273D"/>
    <w:rsid w:val="003151B0"/>
    <w:rsid w:val="00325FC8"/>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E2D42"/>
    <w:rsid w:val="005F08CC"/>
    <w:rsid w:val="00602F3B"/>
    <w:rsid w:val="0060702A"/>
    <w:rsid w:val="0062602D"/>
    <w:rsid w:val="00641B22"/>
    <w:rsid w:val="00641F4E"/>
    <w:rsid w:val="00647BF9"/>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D16E56"/>
    <w:rsid w:val="00D22822"/>
    <w:rsid w:val="00D232C0"/>
    <w:rsid w:val="00D34292"/>
    <w:rsid w:val="00D628F6"/>
    <w:rsid w:val="00D639B0"/>
    <w:rsid w:val="00D64696"/>
    <w:rsid w:val="00D76B4C"/>
    <w:rsid w:val="00D9223D"/>
    <w:rsid w:val="00D9684C"/>
    <w:rsid w:val="00DC0158"/>
    <w:rsid w:val="00DD0DA2"/>
    <w:rsid w:val="00DE2CB3"/>
    <w:rsid w:val="00E3043B"/>
    <w:rsid w:val="00EA14FF"/>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19E71BD"/>
    <w:rsid w:val="02004343"/>
    <w:rsid w:val="04B679C3"/>
    <w:rsid w:val="05BC6317"/>
    <w:rsid w:val="080F63D8"/>
    <w:rsid w:val="09341458"/>
    <w:rsid w:val="0B037A49"/>
    <w:rsid w:val="0B0912D7"/>
    <w:rsid w:val="131F30F8"/>
    <w:rsid w:val="152D2DCA"/>
    <w:rsid w:val="1A4B749A"/>
    <w:rsid w:val="1DEC284C"/>
    <w:rsid w:val="1E6523AC"/>
    <w:rsid w:val="22440422"/>
    <w:rsid w:val="31A15F24"/>
    <w:rsid w:val="395347B5"/>
    <w:rsid w:val="39A232A0"/>
    <w:rsid w:val="39E745AA"/>
    <w:rsid w:val="3B5A6BBB"/>
    <w:rsid w:val="3EDA13A6"/>
    <w:rsid w:val="3F856B05"/>
    <w:rsid w:val="429262AF"/>
    <w:rsid w:val="42F058B7"/>
    <w:rsid w:val="436109F6"/>
    <w:rsid w:val="441A38D4"/>
    <w:rsid w:val="472072B5"/>
    <w:rsid w:val="4BC77339"/>
    <w:rsid w:val="4C9236C5"/>
    <w:rsid w:val="4E4A19C0"/>
    <w:rsid w:val="4EE73B39"/>
    <w:rsid w:val="505C172E"/>
    <w:rsid w:val="52F46F0B"/>
    <w:rsid w:val="53CF6656"/>
    <w:rsid w:val="53D8014D"/>
    <w:rsid w:val="55E064E0"/>
    <w:rsid w:val="572C6D10"/>
    <w:rsid w:val="5DC34279"/>
    <w:rsid w:val="608816D1"/>
    <w:rsid w:val="60EF4E7F"/>
    <w:rsid w:val="62AD3945"/>
    <w:rsid w:val="665233C1"/>
    <w:rsid w:val="6AD9688B"/>
    <w:rsid w:val="6D0E3F22"/>
    <w:rsid w:val="771445FA"/>
    <w:rsid w:val="7787168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14"/>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rPr>
  </w:style>
  <w:style w:type="character" w:styleId="10">
    <w:name w:val="annotation reference"/>
    <w:basedOn w:val="8"/>
    <w:qFormat/>
    <w:uiPriority w:val="0"/>
    <w:rPr>
      <w:sz w:val="21"/>
      <w:szCs w:val="21"/>
    </w:rPr>
  </w:style>
  <w:style w:type="paragraph" w:customStyle="1" w:styleId="12">
    <w:name w:val="列表段落1"/>
    <w:basedOn w:val="1"/>
    <w:qFormat/>
    <w:uiPriority w:val="99"/>
    <w:pPr>
      <w:ind w:firstLine="420" w:firstLineChars="200"/>
    </w:pPr>
  </w:style>
  <w:style w:type="character" w:customStyle="1" w:styleId="13">
    <w:name w:val="标题 1 字符"/>
    <w:basedOn w:val="8"/>
    <w:link w:val="2"/>
    <w:qFormat/>
    <w:uiPriority w:val="0"/>
    <w:rPr>
      <w:rFonts w:ascii="宋体" w:hAnsi="宋体"/>
      <w:b/>
      <w:bCs/>
      <w:kern w:val="44"/>
      <w:sz w:val="48"/>
      <w:szCs w:val="48"/>
    </w:rPr>
  </w:style>
  <w:style w:type="character" w:customStyle="1" w:styleId="14">
    <w:name w:val="日期 字符"/>
    <w:basedOn w:val="8"/>
    <w:link w:val="4"/>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976</Words>
  <Characters>5569</Characters>
  <Lines>46</Lines>
  <Paragraphs>13</Paragraphs>
  <TotalTime>0</TotalTime>
  <ScaleCrop>false</ScaleCrop>
  <LinksUpToDate>false</LinksUpToDate>
  <CharactersWithSpaces>6532</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2022-08-09T03:19:00Z</dcterms:created>
  <dc:creator>t</dc:creator>
  <cp:lastModifiedBy>旷野精灵</cp:lastModifiedBy>
  <cp:lastPrinted>2021-12-28T07:02:00Z</cp:lastPrinted>
  <dcterms:modified xsi:type="dcterms:W3CDTF">2022-08-30T07:25:00Z</dcterms:modified>
  <dc:title>陕西省人民政府办公厅关于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48C61CB29D3F4D9384F5922CF0F7FFB4</vt:lpwstr>
  </property>
</Properties>
</file>