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spacing w:beforeAutospacing="0" w:afterAutospacing="0" w:line="560" w:lineRule="exact"/>
        <w:jc w:val="center"/>
        <w:textAlignment w:val="auto"/>
        <w:rPr>
          <w:rFonts w:hint="eastAsia" w:ascii="方正小标宋简体" w:hAnsi="Calibri" w:eastAsia="方正小标宋简体" w:cs="方正小标宋简体"/>
          <w:color w:val="000000"/>
          <w:sz w:val="44"/>
          <w:szCs w:val="44"/>
        </w:rPr>
      </w:pPr>
    </w:p>
    <w:p>
      <w:pPr>
        <w:pageBreakBefore w:val="0"/>
        <w:kinsoku/>
        <w:topLinePunct w:val="0"/>
        <w:spacing w:beforeAutospacing="0" w:afterAutospacing="0" w:line="560" w:lineRule="exact"/>
        <w:jc w:val="center"/>
        <w:textAlignment w:val="auto"/>
        <w:rPr>
          <w:rFonts w:hint="eastAsia" w:asciiTheme="minorEastAsia" w:hAnsiTheme="minorEastAsia" w:eastAsiaTheme="minorEastAsia" w:cstheme="minorEastAsia"/>
          <w:color w:val="00000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color w:val="000000"/>
          <w:sz w:val="44"/>
          <w:szCs w:val="44"/>
        </w:rPr>
      </w:pPr>
      <w:r>
        <w:rPr>
          <w:rFonts w:hint="eastAsia" w:asciiTheme="minorEastAsia" w:hAnsiTheme="minorEastAsia" w:cstheme="minorEastAsia"/>
          <w:color w:val="000000"/>
          <w:sz w:val="44"/>
          <w:szCs w:val="44"/>
          <w:lang w:val="en-US" w:eastAsia="zh-CN"/>
        </w:rPr>
        <w:t xml:space="preserve"> </w:t>
      </w:r>
      <w:r>
        <w:rPr>
          <w:rFonts w:hint="eastAsia" w:asciiTheme="minorEastAsia" w:hAnsiTheme="minorEastAsia" w:eastAsiaTheme="minorEastAsia" w:cstheme="minorEastAsia"/>
          <w:color w:val="000000"/>
          <w:sz w:val="44"/>
          <w:szCs w:val="44"/>
        </w:rPr>
        <w:t>陕西省民政厅 陕西省财政厅</w:t>
      </w:r>
      <w:bookmarkStart w:id="0" w:name="_GoBack"/>
      <w:r>
        <w:rPr>
          <w:rFonts w:hint="eastAsia" w:asciiTheme="minorEastAsia" w:hAnsiTheme="minorEastAsia" w:eastAsiaTheme="minorEastAsia" w:cstheme="minorEastAsia"/>
          <w:color w:val="000000"/>
          <w:sz w:val="44"/>
          <w:szCs w:val="44"/>
        </w:rPr>
        <w:t>关于印发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lang w:eastAsia="zh-CN"/>
        </w:rPr>
        <w:t>《</w:t>
      </w:r>
      <w:r>
        <w:rPr>
          <w:rFonts w:hint="eastAsia" w:asciiTheme="minorEastAsia" w:hAnsiTheme="minorEastAsia" w:eastAsiaTheme="minorEastAsia" w:cstheme="minorEastAsia"/>
          <w:color w:val="000000"/>
          <w:sz w:val="44"/>
          <w:szCs w:val="44"/>
        </w:rPr>
        <w:t>民办养老机构建设补助管理办法</w:t>
      </w:r>
      <w:r>
        <w:rPr>
          <w:rFonts w:hint="eastAsia" w:asciiTheme="minorEastAsia" w:hAnsiTheme="minorEastAsia" w:eastAsiaTheme="minorEastAsia" w:cstheme="minorEastAsia"/>
          <w:color w:val="000000"/>
          <w:sz w:val="44"/>
          <w:szCs w:val="44"/>
          <w:lang w:eastAsia="zh-CN"/>
        </w:rPr>
        <w:t>》</w:t>
      </w:r>
      <w:r>
        <w:rPr>
          <w:rFonts w:hint="eastAsia" w:asciiTheme="minorEastAsia" w:hAnsiTheme="minorEastAsia" w:eastAsiaTheme="minorEastAsia" w:cstheme="minorEastAsia"/>
          <w:color w:val="000000"/>
          <w:sz w:val="44"/>
          <w:szCs w:val="44"/>
        </w:rPr>
        <w:t>的通知</w:t>
      </w:r>
    </w:p>
    <w:bookmarkEnd w:id="0"/>
    <w:p>
      <w:pPr>
        <w:pageBreakBefore w:val="0"/>
        <w:kinsoku/>
        <w:topLinePunct w:val="0"/>
        <w:spacing w:beforeAutospacing="0" w:afterAutospacing="0" w:line="56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陕民发〔2019〕6号</w:t>
      </w:r>
    </w:p>
    <w:p>
      <w:pPr>
        <w:pageBreakBefore w:val="0"/>
        <w:kinsoku/>
        <w:topLinePunct w:val="0"/>
        <w:spacing w:beforeAutospacing="0" w:afterAutospacing="0" w:line="560" w:lineRule="exact"/>
        <w:jc w:val="both"/>
        <w:textAlignment w:val="auto"/>
        <w:rPr>
          <w:rFonts w:hint="eastAsia" w:ascii="楷体" w:hAnsi="楷体" w:eastAsia="楷体" w:cs="楷体"/>
          <w:b w:val="0"/>
          <w:bCs/>
          <w:color w:val="FF0000"/>
          <w:spacing w:val="100"/>
          <w:w w:val="13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各设区市、韩城市、神木市、府谷县民政局、财政局，杨凌示范区社会事业局、西咸新区人社民政局、财政局: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根据《陕西省人民政府办公厅关于鼓励和引导社会资本进入养老服务领域的若干意见》(陕政办发〔2013〕82号)和《陕西省人民政府办公厅关于全面放开养老服务市场提升养老服务质量的实施意见》(陕政办发〔2017〕76号)精神，省民政厅、省财政厅制订了《民办养老机构建设补助管理办法》，现印发给你们，请遵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shd w:val="clear" w:color="auto" w:fill="FFFFFF"/>
        </w:rPr>
      </w:pPr>
      <w:r>
        <w:rPr>
          <w:rFonts w:hint="eastAsia" w:ascii="CESI仿宋-GB2312" w:hAnsi="CESI仿宋-GB2312" w:eastAsia="CESI仿宋-GB2312" w:cs="CESI仿宋-GB2312"/>
          <w:i w:val="0"/>
          <w:caps w:val="0"/>
          <w:color w:val="333333"/>
          <w:spacing w:val="0"/>
          <w:sz w:val="32"/>
          <w:szCs w:val="32"/>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3520" w:firstLineChars="110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陕西省民政厅　陕西省财政厅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                                            2019年1月15日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CESI仿宋-GB2312" w:hAnsi="CESI仿宋-GB2312" w:eastAsia="CESI仿宋-GB2312" w:cs="CESI仿宋-GB2312"/>
          <w:i w:val="0"/>
          <w:caps w:val="0"/>
          <w:color w:val="333333"/>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Style w:val="8"/>
          <w:rFonts w:hint="eastAsia" w:ascii="方正小标宋简体" w:hAnsi="方正小标宋简体" w:eastAsia="方正小标宋简体" w:cs="方正小标宋简体"/>
          <w:b w:val="0"/>
          <w:bCs/>
          <w:i w:val="0"/>
          <w:caps w:val="0"/>
          <w:color w:val="333333"/>
          <w:spacing w:val="0"/>
          <w:sz w:val="44"/>
          <w:szCs w:val="44"/>
          <w:shd w:val="clear" w:color="auto" w:fill="FFFFFF"/>
        </w:rPr>
        <w:br w:type="page"/>
      </w:r>
      <w:r>
        <w:rPr>
          <w:rStyle w:val="8"/>
          <w:rFonts w:hint="eastAsia" w:ascii="方正小标宋简体" w:hAnsi="方正小标宋简体" w:eastAsia="方正小标宋简体" w:cs="方正小标宋简体"/>
          <w:b w:val="0"/>
          <w:bCs/>
          <w:i w:val="0"/>
          <w:caps w:val="0"/>
          <w:color w:val="333333"/>
          <w:spacing w:val="0"/>
          <w:sz w:val="44"/>
          <w:szCs w:val="44"/>
          <w:shd w:val="clear" w:color="auto" w:fill="FFFFFF"/>
        </w:rPr>
        <w:t>民办养老机构建设补助管理办法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第一条</w:t>
      </w:r>
      <w:r>
        <w:rPr>
          <w:rFonts w:hint="eastAsia" w:ascii="CESI仿宋-GB2312" w:hAnsi="CESI仿宋-GB2312" w:eastAsia="CESI仿宋-GB2312" w:cs="CESI仿宋-GB2312"/>
          <w:i w:val="0"/>
          <w:caps w:val="0"/>
          <w:color w:val="333333"/>
          <w:spacing w:val="0"/>
          <w:sz w:val="32"/>
          <w:szCs w:val="32"/>
          <w:shd w:val="clear" w:color="auto" w:fill="FFFFFF"/>
        </w:rPr>
        <w:t>　为鼓励社会资本兴办养老机构，促进我省养老机构多元化健康发展，根据《陕西省人民政府办公厅关于鼓励和引导社会资本进入养老服务领域的若干意见》（陕政办发〔2013〕82号）和《陕西省人民政府办公厅关于全面放开养老服务市场提升养老服务质量的实施意见》（陕政办发〔2017〕76号）文件精神，制订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第二条</w:t>
      </w:r>
      <w:r>
        <w:rPr>
          <w:rFonts w:hint="eastAsia" w:ascii="CESI仿宋-GB2312" w:hAnsi="CESI仿宋-GB2312" w:eastAsia="CESI仿宋-GB2312" w:cs="CESI仿宋-GB2312"/>
          <w:i w:val="0"/>
          <w:caps w:val="0"/>
          <w:color w:val="333333"/>
          <w:spacing w:val="0"/>
          <w:sz w:val="32"/>
          <w:szCs w:val="32"/>
          <w:shd w:val="clear" w:color="auto" w:fill="FFFFFF"/>
        </w:rPr>
        <w:t>　本办法所称的民办养老机构是指公民、法人和其他组织兴办，并在民政部门备案，为老年人提供集中居住和照料服务的机构。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第三条</w:t>
      </w:r>
      <w:r>
        <w:rPr>
          <w:rFonts w:hint="eastAsia" w:ascii="CESI仿宋-GB2312" w:hAnsi="CESI仿宋-GB2312" w:eastAsia="CESI仿宋-GB2312" w:cs="CESI仿宋-GB2312"/>
          <w:i w:val="0"/>
          <w:caps w:val="0"/>
          <w:color w:val="333333"/>
          <w:spacing w:val="0"/>
          <w:sz w:val="32"/>
          <w:szCs w:val="32"/>
          <w:shd w:val="clear" w:color="auto" w:fill="FFFFFF"/>
        </w:rPr>
        <w:t>　建设补助专门用于养老机构的基础设施建设及改造，医疗、康复、文体娱乐等设施设备的购置以及其他改善入住老年人生活质量的项目。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第二章　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第四条</w:t>
      </w:r>
      <w:r>
        <w:rPr>
          <w:rFonts w:hint="eastAsia" w:ascii="CESI仿宋-GB2312" w:hAnsi="CESI仿宋-GB2312" w:eastAsia="CESI仿宋-GB2312" w:cs="CESI仿宋-GB2312"/>
          <w:i w:val="0"/>
          <w:caps w:val="0"/>
          <w:color w:val="333333"/>
          <w:spacing w:val="0"/>
          <w:sz w:val="32"/>
          <w:szCs w:val="32"/>
          <w:shd w:val="clear" w:color="auto" w:fill="FFFFFF"/>
        </w:rPr>
        <w:t>　申请建设补助的民办养老机构应当具备下列条件：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（一）依法办理了民办非企业单位登记、工离企业登记手续，并向属地民政部门备案；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（二）建成并正式运营；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（三）床位数在10张以上；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（四）有符合养老机构相关规范和技术标准，符合国家环境保护、消防安全、卫生防疫等要求的基本生活用房、设施设备和活动场地；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（五）各项管理制度健全，服务规范。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第三章　补助标准和方式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第五条</w:t>
      </w:r>
      <w:r>
        <w:rPr>
          <w:rFonts w:hint="eastAsia" w:ascii="CESI仿宋-GB2312" w:hAnsi="CESI仿宋-GB2312" w:eastAsia="CESI仿宋-GB2312" w:cs="CESI仿宋-GB2312"/>
          <w:i w:val="0"/>
          <w:caps w:val="0"/>
          <w:color w:val="333333"/>
          <w:spacing w:val="0"/>
          <w:sz w:val="32"/>
          <w:szCs w:val="32"/>
          <w:shd w:val="clear" w:color="auto" w:fill="FFFFFF"/>
        </w:rPr>
        <w:t>　民办养老机构(含租用期限在10年以上的)，新建机构每张床位一次性补助3000元，改扩建机构每张床位一次性补助2000元。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第六条</w:t>
      </w:r>
      <w:r>
        <w:rPr>
          <w:rFonts w:hint="eastAsia" w:ascii="CESI仿宋-GB2312" w:hAnsi="CESI仿宋-GB2312" w:eastAsia="CESI仿宋-GB2312" w:cs="CESI仿宋-GB2312"/>
          <w:i w:val="0"/>
          <w:caps w:val="0"/>
          <w:color w:val="333333"/>
          <w:spacing w:val="0"/>
          <w:sz w:val="32"/>
          <w:szCs w:val="32"/>
          <w:shd w:val="clear" w:color="auto" w:fill="FFFFFF"/>
        </w:rPr>
        <w:t>　所需资金由省、市、县三级分担，省级补助50%。市、县分担比例和资金来源由各市自行确定。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第四章　审批程序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第七条</w:t>
      </w:r>
      <w:r>
        <w:rPr>
          <w:rFonts w:hint="eastAsia" w:ascii="CESI仿宋-GB2312" w:hAnsi="CESI仿宋-GB2312" w:eastAsia="CESI仿宋-GB2312" w:cs="CESI仿宋-GB2312"/>
          <w:i w:val="0"/>
          <w:caps w:val="0"/>
          <w:color w:val="333333"/>
          <w:spacing w:val="0"/>
          <w:sz w:val="32"/>
          <w:szCs w:val="32"/>
          <w:shd w:val="clear" w:color="auto" w:fill="FFFFFF"/>
        </w:rPr>
        <w:t>　民办养老机构申请建设补助，应当提交下列材料：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（一）养老机构备案文件；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（二）《民办非企业单位登记证书》或《工商企业登记证书》；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shd w:val="clear" w:color="auto" w:fill="FFFFFF"/>
        </w:rPr>
        <w:t>（三）《民办养老机构申请床位建设补助确认表》。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第八条</w:t>
      </w:r>
      <w:r>
        <w:rPr>
          <w:rFonts w:hint="eastAsia" w:ascii="CESI仿宋-GB2312" w:hAnsi="CESI仿宋-GB2312" w:eastAsia="CESI仿宋-GB2312" w:cs="CESI仿宋-GB2312"/>
          <w:i w:val="0"/>
          <w:caps w:val="0"/>
          <w:color w:val="333333"/>
          <w:spacing w:val="0"/>
          <w:sz w:val="32"/>
          <w:szCs w:val="32"/>
          <w:shd w:val="clear" w:color="auto" w:fill="FFFFFF"/>
        </w:rPr>
        <w:t>　符合条件的民办养老机构，由机构据实填写《民办养老机构申请床位建设补助确认表》(见附件)，和相关证明材料一并提交县级民政部门。县级民政和财政部门对符合条件的加盖公章，连同电子表格一并报送市级民政部门。市级民政和财政部门对符合条件的汇总后，加盖公章于每年12月底前报送省民政厅、省财政厅审定，按规定程序第二年一次性下拨省级补助资金。市、县级民政和财政部门收到省民政厅、省财政厅下拨资金文件后3个月内，连同配套资金一次性拨付建设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第五章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第九条</w:t>
      </w:r>
      <w:r>
        <w:rPr>
          <w:rFonts w:hint="eastAsia" w:ascii="CESI仿宋-GB2312" w:hAnsi="CESI仿宋-GB2312" w:eastAsia="CESI仿宋-GB2312" w:cs="CESI仿宋-GB2312"/>
          <w:i w:val="0"/>
          <w:caps w:val="0"/>
          <w:color w:val="333333"/>
          <w:spacing w:val="0"/>
          <w:sz w:val="32"/>
          <w:szCs w:val="32"/>
          <w:shd w:val="clear" w:color="auto" w:fill="FFFFFF"/>
        </w:rPr>
        <w:t>　各地应当科学统筹、合理规划民办养老机构建设规模，根据实际情况，鼓励兴办贴近居民区的养老机构。对入住率高、管理完善的养老机构，优先安排建设补助资金。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第十条</w:t>
      </w:r>
      <w:r>
        <w:rPr>
          <w:rFonts w:hint="eastAsia" w:ascii="CESI仿宋-GB2312" w:hAnsi="CESI仿宋-GB2312" w:eastAsia="CESI仿宋-GB2312" w:cs="CESI仿宋-GB2312"/>
          <w:i w:val="0"/>
          <w:caps w:val="0"/>
          <w:color w:val="333333"/>
          <w:spacing w:val="0"/>
          <w:sz w:val="32"/>
          <w:szCs w:val="32"/>
          <w:shd w:val="clear" w:color="auto" w:fill="FFFFFF"/>
        </w:rPr>
        <w:t>　夯实部门职责。民政部门严格审核民办养老机构资助条件，财政部门会同民政部门及时拨付资金，监督资金安全运行。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第十一条</w:t>
      </w:r>
      <w:r>
        <w:rPr>
          <w:rFonts w:hint="eastAsia" w:ascii="CESI仿宋-GB2312" w:hAnsi="CESI仿宋-GB2312" w:eastAsia="CESI仿宋-GB2312" w:cs="CESI仿宋-GB2312"/>
          <w:i w:val="0"/>
          <w:caps w:val="0"/>
          <w:color w:val="333333"/>
          <w:spacing w:val="0"/>
          <w:sz w:val="32"/>
          <w:szCs w:val="32"/>
          <w:shd w:val="clear" w:color="auto" w:fill="FFFFFF"/>
        </w:rPr>
        <w:t>　民办养老机构应严格执行相关会计制度。受资助的民办养老机构改变资金用途的，收回一次性建设补助。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CESI仿宋-GB2312" w:hAnsi="CESI仿宋-GB2312" w:eastAsia="CESI仿宋-GB2312" w:cs="CESI仿宋-GB2312"/>
          <w:i w:val="0"/>
          <w:caps w:val="0"/>
          <w:color w:val="333333"/>
          <w:spacing w:val="0"/>
          <w:sz w:val="32"/>
          <w:szCs w:val="32"/>
        </w:rPr>
      </w:pPr>
      <w:r>
        <w:rPr>
          <w:rStyle w:val="8"/>
          <w:rFonts w:hint="eastAsia" w:ascii="CESI仿宋-GB2312" w:hAnsi="CESI仿宋-GB2312" w:eastAsia="CESI仿宋-GB2312" w:cs="CESI仿宋-GB2312"/>
          <w:i w:val="0"/>
          <w:caps w:val="0"/>
          <w:color w:val="333333"/>
          <w:spacing w:val="0"/>
          <w:sz w:val="32"/>
          <w:szCs w:val="32"/>
          <w:shd w:val="clear" w:color="auto" w:fill="FFFFFF"/>
        </w:rPr>
        <w:t>第十二条</w:t>
      </w:r>
      <w:r>
        <w:rPr>
          <w:rFonts w:hint="eastAsia" w:ascii="CESI仿宋-GB2312" w:hAnsi="CESI仿宋-GB2312" w:eastAsia="CESI仿宋-GB2312" w:cs="CESI仿宋-GB2312"/>
          <w:i w:val="0"/>
          <w:caps w:val="0"/>
          <w:color w:val="333333"/>
          <w:spacing w:val="0"/>
          <w:sz w:val="32"/>
          <w:szCs w:val="32"/>
          <w:shd w:val="clear" w:color="auto" w:fill="FFFFFF"/>
        </w:rPr>
        <w:t>　本办法自2019年1月10日起施行。</w:t>
      </w:r>
    </w:p>
    <w:p>
      <w:pPr>
        <w:pageBreakBefore w:val="0"/>
        <w:kinsoku/>
        <w:topLinePunct w:val="0"/>
        <w:spacing w:beforeAutospacing="0" w:afterAutospacing="0" w:line="560" w:lineRule="exact"/>
        <w:ind w:firstLine="3360" w:firstLineChars="1600"/>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 xml:space="preserve">    陕西省民政厅</w:t>
    </w:r>
    <w:r>
      <w:rPr>
        <w:rFonts w:hint="eastAsia" w:ascii="宋体" w:hAnsi="宋体" w:eastAsia="宋体" w:cs="宋体"/>
        <w:b/>
        <w:bCs/>
        <w:color w:val="005192"/>
        <w:sz w:val="28"/>
        <w:szCs w:val="44"/>
      </w:rPr>
      <w:t xml:space="preserve">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陕西省民政厅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F4ED5"/>
    <w:rsid w:val="25A258EA"/>
    <w:rsid w:val="44B113D6"/>
    <w:rsid w:val="4DFF4ED5"/>
    <w:rsid w:val="56874478"/>
    <w:rsid w:val="7370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2022-08-29T00:53:00Z</dcterms:created>
  <dc:creator>gyb1</dc:creator>
  <cp:lastModifiedBy>gyb1</cp:lastModifiedBy>
  <dcterms:modified xsi:type="dcterms:W3CDTF">2022-08-29T02:57:39Z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