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陕西省发展和改革委员会</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关于印发《陕西省省直政府投资项目代建单位招标投标办法（试行）》等五个办法的通知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陕发改投资〔2022〕467号</w:t>
      </w:r>
    </w:p>
    <w:p>
      <w:pPr>
        <w:jc w:val="center"/>
        <w:rPr>
          <w:rFonts w:hint="eastAsia" w:ascii="楷体_GB2312" w:hAnsi="楷体_GB2312" w:eastAsia="楷体_GB2312" w:cs="楷体_GB2312"/>
          <w:color w:val="333333"/>
          <w:sz w:val="32"/>
          <w:szCs w:val="32"/>
          <w:shd w:val="clear" w:color="auto" w:fill="FFFFFF"/>
        </w:rPr>
      </w:pP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省级有关部门，各设区市发展改革委、韩城市发展改革委、杨凌示范区发展改革局：</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为规范实施省直政府投资项目代建制，现将《陕西省省直政府投资项目代建单位招标投标办法（试行）》《陕西省省直政府投资项目代建单位招标文件备案办法（试行）》《陕西省省直政府投资项目代建合同备案办法（试行）》《陕西省省直政府投资项目代建单位监管评价办法（试行）》《陕西省省直政府投资项目代建单位招标文件示范文本（试行）》印发你们，请遵照执行。</w:t>
      </w:r>
    </w:p>
    <w:p>
      <w:pPr>
        <w:jc w:val="left"/>
        <w:rPr>
          <w:rFonts w:hint="eastAsia" w:ascii="仿宋_GB2312" w:hAnsi="仿宋_GB2312" w:eastAsia="仿宋_GB2312" w:cs="仿宋_GB2312"/>
          <w:color w:val="333333"/>
          <w:sz w:val="32"/>
          <w:szCs w:val="32"/>
          <w:shd w:val="clear" w:color="auto" w:fill="FFFFFF"/>
        </w:rPr>
      </w:pPr>
    </w:p>
    <w:p>
      <w:pPr>
        <w:ind w:left="1600" w:hanging="1600" w:hangingChars="5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附件：1.陕西省省直政府投资项目代建单位招标投标办法（试行）</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2.陕西省省直政府投资项目代建单位招标文件备案</w:t>
      </w:r>
    </w:p>
    <w:p>
      <w:pPr>
        <w:ind w:firstLine="1920" w:firstLineChars="6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办法（试行）</w:t>
      </w:r>
    </w:p>
    <w:p>
      <w:pPr>
        <w:numPr>
          <w:ilvl w:val="0"/>
          <w:numId w:val="1"/>
        </w:numPr>
        <w:ind w:left="1600" w:leftChars="0" w:firstLine="0" w:firstLineChars="0"/>
        <w:jc w:val="left"/>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陕西省省直政府投资项目代建合同备案办法（试</w:t>
      </w:r>
      <w:r>
        <w:rPr>
          <w:rFonts w:hint="eastAsia" w:ascii="仿宋_GB2312" w:hAnsi="仿宋_GB2312" w:eastAsia="仿宋_GB2312" w:cs="仿宋_GB2312"/>
          <w:color w:val="333333"/>
          <w:sz w:val="32"/>
          <w:szCs w:val="32"/>
          <w:shd w:val="clear" w:color="auto" w:fill="FFFFFF"/>
          <w:lang w:val="en-US" w:eastAsia="zh-CN"/>
        </w:rPr>
        <w:t xml:space="preserve">                </w:t>
      </w:r>
    </w:p>
    <w:p>
      <w:pPr>
        <w:numPr>
          <w:numId w:val="0"/>
        </w:numPr>
        <w:ind w:left="1600" w:leftChars="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行）</w:t>
      </w:r>
    </w:p>
    <w:p>
      <w:pPr>
        <w:ind w:left="1600" w:hanging="1600" w:hangingChars="5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4.陕西省省直政府投资项目代建单位监管评价办法（试行）</w:t>
      </w:r>
    </w:p>
    <w:p>
      <w:pPr>
        <w:ind w:left="1280" w:hanging="1280" w:hangingChars="4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5.陕西省省直政府投资项目代建单位招标文件示范文本</w:t>
      </w:r>
      <w:bookmarkStart w:id="959" w:name="_GoBack"/>
      <w:bookmarkEnd w:id="959"/>
      <w:r>
        <w:rPr>
          <w:rFonts w:hint="eastAsia" w:ascii="仿宋_GB2312" w:hAnsi="仿宋_GB2312" w:eastAsia="仿宋_GB2312" w:cs="仿宋_GB2312"/>
          <w:color w:val="333333"/>
          <w:sz w:val="32"/>
          <w:szCs w:val="32"/>
          <w:shd w:val="clear" w:color="auto" w:fill="FFFFFF"/>
        </w:rPr>
        <w:t>（试行）</w:t>
      </w:r>
    </w:p>
    <w:p>
      <w:pPr>
        <w:jc w:val="left"/>
        <w:rPr>
          <w:rFonts w:hint="eastAsia" w:ascii="仿宋_GB2312" w:hAnsi="仿宋_GB2312" w:eastAsia="仿宋_GB2312" w:cs="仿宋_GB2312"/>
          <w:color w:val="333333"/>
          <w:sz w:val="32"/>
          <w:szCs w:val="32"/>
          <w:shd w:val="clear" w:color="auto" w:fill="FFFFFF"/>
        </w:rPr>
      </w:pPr>
    </w:p>
    <w:p>
      <w:pPr>
        <w:jc w:val="left"/>
        <w:rPr>
          <w:rFonts w:hint="eastAsia" w:ascii="仿宋_GB2312" w:hAnsi="仿宋_GB2312" w:eastAsia="仿宋_GB2312" w:cs="仿宋_GB2312"/>
          <w:color w:val="333333"/>
          <w:sz w:val="32"/>
          <w:szCs w:val="32"/>
          <w:shd w:val="clear" w:color="auto" w:fill="FFFFFF"/>
        </w:rPr>
      </w:pP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陕西省发展和改革委员会</w:t>
      </w: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2022年4月7日</w:t>
      </w:r>
    </w:p>
    <w:p>
      <w:pPr>
        <w:jc w:val="left"/>
        <w:rPr>
          <w:rFonts w:hint="eastAsia" w:ascii="仿宋_GB2312" w:hAnsi="仿宋_GB2312" w:eastAsia="仿宋_GB2312" w:cs="仿宋_GB2312"/>
          <w:color w:val="333333"/>
          <w:sz w:val="32"/>
          <w:szCs w:val="32"/>
          <w:shd w:val="clear" w:color="auto" w:fill="FFFFFF"/>
        </w:rPr>
      </w:pP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（1-59〔2022〕4号）</w:t>
      </w:r>
    </w:p>
    <w:p>
      <w:pPr>
        <w:jc w:val="left"/>
        <w:rPr>
          <w:rFonts w:hint="eastAsia" w:ascii="仿宋_GB2312" w:hAnsi="仿宋_GB2312" w:eastAsia="仿宋_GB2312" w:cs="仿宋_GB2312"/>
          <w:color w:val="333333"/>
          <w:sz w:val="32"/>
          <w:szCs w:val="32"/>
          <w:shd w:val="clear" w:color="auto" w:fill="FFFFFF"/>
        </w:rPr>
      </w:pPr>
    </w:p>
    <w:p>
      <w:pPr>
        <w:ind w:firstLine="640"/>
        <w:jc w:val="left"/>
        <w:rPr>
          <w:rFonts w:hint="eastAsia" w:ascii="仿宋_GB2312" w:hAnsi="仿宋_GB2312" w:eastAsia="仿宋_GB2312" w:cs="仿宋_GB2312"/>
          <w:color w:val="333333"/>
          <w:sz w:val="32"/>
          <w:szCs w:val="32"/>
          <w:shd w:val="clear" w:color="auto" w:fill="FFFFFF"/>
        </w:rPr>
      </w:pPr>
    </w:p>
    <w:p>
      <w:pPr>
        <w:spacing w:line="570" w:lineRule="exact"/>
        <w:jc w:val="left"/>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70" w:lineRule="exact"/>
        <w:jc w:val="center"/>
        <w:outlineLvl w:val="0"/>
        <w:rPr>
          <w:rFonts w:hint="eastAsia" w:ascii="黑体" w:hAnsi="黑体" w:eastAsia="黑体" w:cs="黑体"/>
          <w:sz w:val="32"/>
          <w:szCs w:val="32"/>
        </w:rPr>
      </w:pPr>
      <w:r>
        <w:rPr>
          <w:rFonts w:hint="eastAsia" w:ascii="黑体" w:hAnsi="黑体" w:eastAsia="黑体" w:cs="黑体"/>
          <w:sz w:val="32"/>
          <w:szCs w:val="32"/>
        </w:rPr>
        <w:t>陕西省省直政府投资项目</w:t>
      </w:r>
    </w:p>
    <w:p>
      <w:pPr>
        <w:spacing w:line="570" w:lineRule="exact"/>
        <w:jc w:val="center"/>
        <w:outlineLvl w:val="0"/>
        <w:rPr>
          <w:rFonts w:hint="eastAsia" w:ascii="黑体" w:hAnsi="黑体" w:eastAsia="黑体" w:cs="黑体"/>
          <w:sz w:val="32"/>
          <w:szCs w:val="32"/>
        </w:rPr>
      </w:pPr>
      <w:r>
        <w:rPr>
          <w:rFonts w:hint="eastAsia" w:ascii="黑体" w:hAnsi="黑体" w:eastAsia="黑体" w:cs="黑体"/>
          <w:sz w:val="32"/>
          <w:szCs w:val="32"/>
        </w:rPr>
        <w:t>代建单位招标投标办法（试行）</w:t>
      </w:r>
    </w:p>
    <w:p>
      <w:pPr>
        <w:pStyle w:val="2"/>
        <w:spacing w:line="572" w:lineRule="exact"/>
        <w:ind w:firstLine="640" w:firstLineChars="200"/>
        <w:jc w:val="center"/>
        <w:outlineLvl w:val="9"/>
        <w:rPr>
          <w:rFonts w:ascii="Times New Roman" w:hAnsi="Times New Roman" w:eastAsia="楷体_GB2312" w:cs="Times New Roman"/>
          <w:b w:val="0"/>
          <w:bCs w:val="0"/>
          <w:sz w:val="32"/>
          <w:szCs w:val="32"/>
        </w:rPr>
      </w:pP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第一条</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为规范</w:t>
      </w:r>
      <w:r>
        <w:rPr>
          <w:rFonts w:hint="eastAsia" w:ascii="Times New Roman" w:hAnsi="Times New Roman" w:eastAsia="仿宋_GB2312" w:cs="Times New Roman"/>
          <w:sz w:val="32"/>
          <w:szCs w:val="32"/>
        </w:rPr>
        <w:t>陕西</w:t>
      </w:r>
      <w:r>
        <w:rPr>
          <w:rFonts w:ascii="Times New Roman" w:hAnsi="Times New Roman" w:eastAsia="仿宋_GB2312" w:cs="Times New Roman"/>
          <w:sz w:val="32"/>
          <w:szCs w:val="32"/>
        </w:rPr>
        <w:t>省</w:t>
      </w:r>
      <w:r>
        <w:rPr>
          <w:rFonts w:hint="eastAsia" w:ascii="Times New Roman" w:hAnsi="Times New Roman" w:eastAsia="仿宋_GB2312" w:cs="Times New Roman"/>
          <w:sz w:val="32"/>
          <w:szCs w:val="32"/>
        </w:rPr>
        <w:t>省直</w:t>
      </w:r>
      <w:r>
        <w:rPr>
          <w:rFonts w:ascii="Times New Roman" w:hAnsi="Times New Roman" w:eastAsia="仿宋_GB2312" w:cs="Times New Roman"/>
          <w:sz w:val="32"/>
          <w:szCs w:val="32"/>
        </w:rPr>
        <w:t>政府投资项目代建单位招标投标活动，根据《中华人民共和国招标投标法》《中华人民共和国政府采购法》《中华人民共和国招标投标法实施条例》《中华人民共和国政府采购法实施条例》《陕西省</w:t>
      </w:r>
      <w:r>
        <w:rPr>
          <w:rFonts w:hint="eastAsia" w:ascii="Times New Roman" w:hAnsi="Times New Roman" w:eastAsia="仿宋_GB2312" w:cs="Times New Roman"/>
          <w:sz w:val="32"/>
          <w:szCs w:val="32"/>
        </w:rPr>
        <w:t>省直</w:t>
      </w:r>
      <w:r>
        <w:rPr>
          <w:rFonts w:ascii="Times New Roman" w:hAnsi="Times New Roman" w:eastAsia="仿宋_GB2312" w:cs="Times New Roman"/>
          <w:sz w:val="32"/>
          <w:szCs w:val="32"/>
        </w:rPr>
        <w:t>政府投资项目代建制管理办法</w:t>
      </w:r>
      <w:r>
        <w:rPr>
          <w:rFonts w:hint="eastAsia" w:ascii="Times New Roman" w:hAnsi="Times New Roman" w:eastAsia="仿宋_GB2312" w:cs="Times New Roman"/>
          <w:sz w:val="32"/>
          <w:szCs w:val="32"/>
        </w:rPr>
        <w:t>（试行）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陕发改投资〔2021〕1410号</w:t>
      </w:r>
      <w:r>
        <w:rPr>
          <w:rFonts w:ascii="Times New Roman" w:hAnsi="Times New Roman" w:eastAsia="仿宋_GB2312" w:cs="Times New Roman"/>
          <w:sz w:val="32"/>
          <w:szCs w:val="32"/>
        </w:rPr>
        <w:t>）等规定，制定本办法。</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第二条</w:t>
      </w:r>
      <w:r>
        <w:rPr>
          <w:rFonts w:hint="eastAsia" w:ascii="Times New Roman" w:hAnsi="Times New Roman" w:eastAsia="仿宋_GB2312" w:cs="Times New Roman"/>
          <w:sz w:val="32"/>
          <w:szCs w:val="32"/>
        </w:rPr>
        <w:t xml:space="preserve">  陕西</w:t>
      </w:r>
      <w:r>
        <w:rPr>
          <w:rFonts w:ascii="Times New Roman" w:hAnsi="Times New Roman" w:eastAsia="仿宋_GB2312" w:cs="Times New Roman"/>
          <w:sz w:val="32"/>
          <w:szCs w:val="32"/>
        </w:rPr>
        <w:t>省</w:t>
      </w:r>
      <w:r>
        <w:rPr>
          <w:rFonts w:hint="eastAsia" w:ascii="Times New Roman" w:hAnsi="Times New Roman" w:eastAsia="仿宋_GB2312" w:cs="Times New Roman"/>
          <w:sz w:val="32"/>
          <w:szCs w:val="32"/>
        </w:rPr>
        <w:t>省直</w:t>
      </w:r>
      <w:r>
        <w:rPr>
          <w:rFonts w:ascii="Times New Roman" w:hAnsi="Times New Roman" w:eastAsia="仿宋_GB2312" w:cs="Times New Roman"/>
          <w:sz w:val="32"/>
          <w:szCs w:val="32"/>
        </w:rPr>
        <w:t>政府投资项目代建单位招标投标活动，适用本办法。</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第三条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代建单位招标投标活动应当遵循公开、公平、公正和诚实信用的原则。</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第四条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项目单位作为招标人，依法组织</w:t>
      </w:r>
      <w:r>
        <w:rPr>
          <w:rFonts w:hint="eastAsia" w:ascii="Times New Roman" w:hAnsi="Times New Roman" w:eastAsia="仿宋_GB2312" w:cs="Times New Roman"/>
          <w:sz w:val="32"/>
          <w:szCs w:val="32"/>
        </w:rPr>
        <w:t>省直</w:t>
      </w:r>
      <w:r>
        <w:rPr>
          <w:rFonts w:ascii="Times New Roman" w:hAnsi="Times New Roman" w:eastAsia="仿宋_GB2312" w:cs="Times New Roman"/>
          <w:sz w:val="32"/>
          <w:szCs w:val="32"/>
        </w:rPr>
        <w:t>政府投资项目代建单位招标工作。</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代建单位招标投标活动不受地区或者部门的限制，任何单位和个人不得以任何方式非法干涉招标投标活动。</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第五条</w:t>
      </w:r>
      <w:r>
        <w:rPr>
          <w:rFonts w:hint="eastAsia" w:ascii="Times New Roman" w:hAnsi="Times New Roman" w:eastAsia="仿宋_GB2312" w:cs="Times New Roman"/>
          <w:sz w:val="32"/>
          <w:szCs w:val="32"/>
        </w:rPr>
        <w:t xml:space="preserve">  实行代建制的省直政府投资项目，应当在项目建议书（适用可不审批项目建议书的项目在可行性研究报告）中增加代建实施方案。</w:t>
      </w:r>
      <w:r>
        <w:rPr>
          <w:rFonts w:ascii="Times New Roman" w:hAnsi="Times New Roman" w:eastAsia="仿宋_GB2312" w:cs="Times New Roman"/>
          <w:sz w:val="32"/>
          <w:szCs w:val="32"/>
        </w:rPr>
        <w:t>省发展改革委</w:t>
      </w:r>
      <w:r>
        <w:rPr>
          <w:rFonts w:hint="eastAsia" w:ascii="Times New Roman" w:hAnsi="Times New Roman" w:eastAsia="仿宋_GB2312" w:cs="Times New Roman"/>
          <w:sz w:val="32"/>
          <w:szCs w:val="32"/>
        </w:rPr>
        <w:t>在批复代建制项目</w:t>
      </w:r>
      <w:r>
        <w:rPr>
          <w:rFonts w:ascii="Times New Roman" w:hAnsi="Times New Roman" w:eastAsia="仿宋_GB2312" w:cs="Times New Roman"/>
          <w:sz w:val="32"/>
          <w:szCs w:val="32"/>
        </w:rPr>
        <w:t>时，</w:t>
      </w: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中华人民共和国</w:t>
      </w:r>
      <w:r>
        <w:rPr>
          <w:rFonts w:hint="eastAsia" w:ascii="Times New Roman" w:hAnsi="Times New Roman" w:eastAsia="仿宋_GB2312" w:cs="Times New Roman"/>
          <w:sz w:val="32"/>
          <w:szCs w:val="32"/>
        </w:rPr>
        <w:t>招标投标法实施条例》和招投标相关规定，</w:t>
      </w:r>
      <w:r>
        <w:rPr>
          <w:rFonts w:ascii="Times New Roman" w:hAnsi="Times New Roman" w:eastAsia="仿宋_GB2312" w:cs="Times New Roman"/>
          <w:sz w:val="32"/>
          <w:szCs w:val="32"/>
        </w:rPr>
        <w:t>对代建单位的招标方式一并予以明确。</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代建单位的招标方式分为公开招标和邀请招标。招标人根据核准的代建单位招标方式组织招标工作。</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第六条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经批准</w:t>
      </w:r>
      <w:r>
        <w:rPr>
          <w:rFonts w:hint="eastAsia" w:ascii="Times New Roman" w:hAnsi="Times New Roman" w:eastAsia="仿宋_GB2312" w:cs="Times New Roman"/>
          <w:sz w:val="32"/>
          <w:szCs w:val="32"/>
        </w:rPr>
        <w:t>实行代建制</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省直</w:t>
      </w:r>
      <w:r>
        <w:rPr>
          <w:rFonts w:ascii="Times New Roman" w:hAnsi="Times New Roman" w:eastAsia="仿宋_GB2312" w:cs="Times New Roman"/>
          <w:sz w:val="32"/>
          <w:szCs w:val="32"/>
        </w:rPr>
        <w:t>政府投资项目</w:t>
      </w:r>
      <w:r>
        <w:rPr>
          <w:rFonts w:hint="eastAsia" w:ascii="Times New Roman" w:hAnsi="Times New Roman" w:eastAsia="仿宋_GB2312" w:cs="Times New Roman"/>
          <w:sz w:val="32"/>
          <w:szCs w:val="32"/>
        </w:rPr>
        <w:t>，代建合同估算价（含项目管理费、前期咨询费、工程勘察费、造价咨询费、招标代理费）在1</w:t>
      </w:r>
      <w:r>
        <w:rPr>
          <w:rFonts w:ascii="Times New Roman" w:hAnsi="Times New Roman" w:eastAsia="仿宋_GB2312" w:cs="Times New Roman"/>
          <w:sz w:val="32"/>
          <w:szCs w:val="32"/>
        </w:rPr>
        <w:t>00万元</w:t>
      </w:r>
      <w:r>
        <w:rPr>
          <w:rFonts w:hint="eastAsia" w:ascii="Times New Roman" w:hAnsi="Times New Roman" w:eastAsia="仿宋_GB2312" w:cs="Times New Roman"/>
          <w:sz w:val="32"/>
          <w:szCs w:val="32"/>
        </w:rPr>
        <w:t>人民币及</w:t>
      </w:r>
      <w:r>
        <w:rPr>
          <w:rFonts w:ascii="Times New Roman" w:hAnsi="Times New Roman" w:eastAsia="仿宋_GB2312" w:cs="Times New Roman"/>
          <w:sz w:val="32"/>
          <w:szCs w:val="32"/>
        </w:rPr>
        <w:t>以上</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，必须采用招标方式确定代建单位。</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涉及国家安全、国家秘密和抢险救灾等应对突发情况和其他实行代建制的省直政府投资项目，经项目审批部门批准，其代建单位可</w:t>
      </w: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rPr>
        <w:t>国家和省级相关规定</w:t>
      </w:r>
      <w:r>
        <w:rPr>
          <w:rFonts w:ascii="Times New Roman" w:hAnsi="Times New Roman" w:eastAsia="仿宋_GB2312" w:cs="Times New Roman"/>
          <w:sz w:val="32"/>
          <w:szCs w:val="32"/>
        </w:rPr>
        <w:t>确定</w:t>
      </w:r>
      <w:r>
        <w:rPr>
          <w:rFonts w:hint="eastAsia" w:ascii="Times New Roman" w:hAnsi="Times New Roman" w:eastAsia="仿宋_GB2312" w:cs="Times New Roman"/>
          <w:sz w:val="32"/>
          <w:szCs w:val="32"/>
        </w:rPr>
        <w:t>，鼓励采用招标方式</w:t>
      </w:r>
      <w:r>
        <w:rPr>
          <w:rFonts w:ascii="Times New Roman" w:hAnsi="Times New Roman" w:eastAsia="仿宋_GB2312" w:cs="Times New Roman"/>
          <w:sz w:val="32"/>
          <w:szCs w:val="32"/>
        </w:rPr>
        <w:t>确定代建单位。</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第七条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代建单位招标工作由</w:t>
      </w:r>
      <w:r>
        <w:rPr>
          <w:rFonts w:hint="eastAsia" w:ascii="Times New Roman" w:hAnsi="Times New Roman" w:eastAsia="仿宋_GB2312" w:cs="Times New Roman"/>
          <w:sz w:val="32"/>
          <w:szCs w:val="32"/>
        </w:rPr>
        <w:t>项目单位</w:t>
      </w:r>
      <w:r>
        <w:rPr>
          <w:rFonts w:ascii="Times New Roman" w:hAnsi="Times New Roman" w:eastAsia="仿宋_GB2312" w:cs="Times New Roman"/>
          <w:sz w:val="32"/>
          <w:szCs w:val="32"/>
        </w:rPr>
        <w:t>委托招标代理机构进行。招标代理机构</w:t>
      </w:r>
      <w:r>
        <w:rPr>
          <w:rFonts w:hint="eastAsia" w:ascii="Times New Roman" w:hAnsi="Times New Roman" w:eastAsia="仿宋_GB2312" w:cs="Times New Roman"/>
          <w:sz w:val="32"/>
          <w:szCs w:val="32"/>
        </w:rPr>
        <w:t>由项目单位依法依规自主选定</w:t>
      </w:r>
      <w:r>
        <w:rPr>
          <w:rFonts w:ascii="Times New Roman" w:hAnsi="Times New Roman" w:eastAsia="仿宋_GB2312" w:cs="Times New Roman"/>
          <w:sz w:val="32"/>
          <w:szCs w:val="32"/>
        </w:rPr>
        <w:t>，并应具备以下条件：</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具有与代建项目相应的招标代理</w:t>
      </w:r>
      <w:r>
        <w:rPr>
          <w:rFonts w:hint="eastAsia" w:ascii="Times New Roman" w:hAnsi="Times New Roman" w:eastAsia="仿宋_GB2312" w:cs="Times New Roman"/>
          <w:sz w:val="32"/>
          <w:szCs w:val="32"/>
        </w:rPr>
        <w:t>能力</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近3年没有因违反《中华人民共和国招标投标法》《中华人民共和国政府采购法》及有关管理规定，受到有关行政管理部门的行政处罚；</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近3年法定代表人、经济或技术负责人没有因违反有关招标投标和政府采购管理规定受到行政处分或刑事处罚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无</w:t>
      </w:r>
      <w:r>
        <w:rPr>
          <w:rFonts w:hint="eastAsia" w:ascii="Times New Roman" w:hAnsi="Times New Roman" w:eastAsia="仿宋_GB2312" w:cs="Times New Roman"/>
          <w:sz w:val="32"/>
          <w:szCs w:val="32"/>
        </w:rPr>
        <w:t>其他</w:t>
      </w:r>
      <w:r>
        <w:rPr>
          <w:rFonts w:ascii="Times New Roman" w:hAnsi="Times New Roman" w:eastAsia="仿宋_GB2312" w:cs="Times New Roman"/>
          <w:sz w:val="32"/>
          <w:szCs w:val="32"/>
        </w:rPr>
        <w:t>不良信用记录。</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第八条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招标代理机构应与</w:t>
      </w:r>
      <w:r>
        <w:rPr>
          <w:rFonts w:hint="eastAsia" w:ascii="Times New Roman" w:hAnsi="Times New Roman" w:eastAsia="仿宋_GB2312" w:cs="Times New Roman"/>
          <w:sz w:val="32"/>
          <w:szCs w:val="32"/>
        </w:rPr>
        <w:t>项目单位</w:t>
      </w:r>
      <w:r>
        <w:rPr>
          <w:rFonts w:ascii="Times New Roman" w:hAnsi="Times New Roman" w:eastAsia="仿宋_GB2312" w:cs="Times New Roman"/>
          <w:sz w:val="32"/>
          <w:szCs w:val="32"/>
        </w:rPr>
        <w:t>签订代建单位招标代理书面委托合同，并根据</w:t>
      </w:r>
      <w:r>
        <w:rPr>
          <w:rFonts w:hint="eastAsia" w:ascii="Times New Roman" w:hAnsi="Times New Roman" w:eastAsia="仿宋_GB2312" w:cs="Times New Roman"/>
          <w:sz w:val="32"/>
          <w:szCs w:val="32"/>
        </w:rPr>
        <w:t>项目单位</w:t>
      </w:r>
      <w:r>
        <w:rPr>
          <w:rFonts w:ascii="Times New Roman" w:hAnsi="Times New Roman" w:eastAsia="仿宋_GB2312" w:cs="Times New Roman"/>
          <w:sz w:val="32"/>
          <w:szCs w:val="32"/>
        </w:rPr>
        <w:t>的委托办理招标事宜。</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第九条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采用公开招标方式的，应当发布招标公告，向不特定的法人或其他组织招标。招标公告应当在</w:t>
      </w:r>
      <w:r>
        <w:rPr>
          <w:rFonts w:hint="eastAsia" w:ascii="Times New Roman" w:hAnsi="Times New Roman" w:eastAsia="仿宋_GB2312" w:cs="Times New Roman"/>
          <w:sz w:val="32"/>
          <w:szCs w:val="32"/>
        </w:rPr>
        <w:t>中国招标投标公共服务平台、全国公共资源交易平台（陕西省）、陕西采购与招标网等</w:t>
      </w:r>
      <w:r>
        <w:rPr>
          <w:rFonts w:ascii="Times New Roman" w:hAnsi="Times New Roman" w:eastAsia="仿宋_GB2312" w:cs="Times New Roman"/>
          <w:sz w:val="32"/>
          <w:szCs w:val="32"/>
        </w:rPr>
        <w:t>国家和省级指定媒体发布。全面推行招标投标</w:t>
      </w:r>
      <w:r>
        <w:rPr>
          <w:rFonts w:hint="eastAsia" w:ascii="Times New Roman" w:hAnsi="Times New Roman" w:eastAsia="仿宋_GB2312" w:cs="Times New Roman"/>
          <w:sz w:val="32"/>
          <w:szCs w:val="32"/>
        </w:rPr>
        <w:t>全过程</w:t>
      </w:r>
      <w:r>
        <w:rPr>
          <w:rFonts w:ascii="Times New Roman" w:hAnsi="Times New Roman" w:eastAsia="仿宋_GB2312" w:cs="Times New Roman"/>
          <w:sz w:val="32"/>
          <w:szCs w:val="32"/>
        </w:rPr>
        <w:t>电子</w:t>
      </w:r>
      <w:r>
        <w:rPr>
          <w:rFonts w:hint="eastAsia" w:ascii="Times New Roman" w:hAnsi="Times New Roman" w:eastAsia="仿宋_GB2312" w:cs="Times New Roman"/>
          <w:sz w:val="32"/>
          <w:szCs w:val="32"/>
        </w:rPr>
        <w:t>化</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经批准采用邀请招标的，应向三个以上具备</w:t>
      </w:r>
      <w:r>
        <w:rPr>
          <w:rFonts w:hint="eastAsia" w:ascii="Times New Roman" w:hAnsi="Times New Roman" w:eastAsia="仿宋_GB2312" w:cs="Times New Roman"/>
          <w:sz w:val="32"/>
          <w:szCs w:val="32"/>
        </w:rPr>
        <w:t>承担相应</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代建</w:t>
      </w:r>
      <w:r>
        <w:rPr>
          <w:rFonts w:ascii="Times New Roman" w:hAnsi="Times New Roman" w:eastAsia="仿宋_GB2312" w:cs="Times New Roman"/>
          <w:sz w:val="32"/>
          <w:szCs w:val="32"/>
        </w:rPr>
        <w:t>能力、资信良好的特定法人或者其他组织发出投标邀请书。</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第十条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招标人可以根据招标项目本身的特点和需要，要求投标人提供满足其资格要求的证明材料，并对投标人进行资格审查。</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代建单位招标</w:t>
      </w:r>
      <w:r>
        <w:rPr>
          <w:rFonts w:ascii="Times New Roman" w:hAnsi="Times New Roman" w:eastAsia="仿宋_GB2312" w:cs="Times New Roman"/>
          <w:sz w:val="32"/>
          <w:szCs w:val="32"/>
        </w:rPr>
        <w:t>采取资格后审。资格审查时，招标人不得改变已载明的资格条件或者以没有载明的资格条件对投标人进行资格审查。</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招标人不得以不合理的条件限制、排斥投标人，不得对投标人实行歧视待遇。</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第十一条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招标人根据招标项目的特点和需要编制招标文件。招标文件应包括下列内容：</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）招标公告（</w:t>
      </w:r>
      <w:r>
        <w:rPr>
          <w:rFonts w:ascii="Times New Roman" w:hAnsi="Times New Roman" w:eastAsia="仿宋_GB2312" w:cs="Times New Roman"/>
          <w:sz w:val="32"/>
          <w:szCs w:val="32"/>
        </w:rPr>
        <w:t>投标邀请书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投标人须知；</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评标标准和方法；</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项目有关批复文件</w:t>
      </w:r>
      <w:r>
        <w:rPr>
          <w:rFonts w:hint="eastAsia" w:ascii="Times New Roman" w:hAnsi="Times New Roman" w:eastAsia="仿宋_GB2312" w:cs="Times New Roman"/>
          <w:sz w:val="32"/>
          <w:szCs w:val="32"/>
        </w:rPr>
        <w:t>和其他资料</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五</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单位的相关要求；</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合同通用条款和专用条款；</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投标文件格式。</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招标人应当在招标文件中规定实质性要求和条件，并用醒目的方式标明。</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招标文件在发售前应当报省发展改革委备案。</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第十二条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招标文件应当</w:t>
      </w:r>
      <w:r>
        <w:rPr>
          <w:rFonts w:hint="eastAsia" w:ascii="Times New Roman" w:hAnsi="Times New Roman" w:eastAsia="仿宋_GB2312" w:cs="Times New Roman"/>
          <w:sz w:val="32"/>
          <w:szCs w:val="32"/>
        </w:rPr>
        <w:t>规定适当的投标有效期</w:t>
      </w:r>
      <w:r>
        <w:rPr>
          <w:rFonts w:ascii="Times New Roman" w:hAnsi="Times New Roman" w:eastAsia="仿宋_GB2312" w:cs="Times New Roman"/>
          <w:sz w:val="32"/>
          <w:szCs w:val="32"/>
        </w:rPr>
        <w:t>，以保证招标人有足够的时间完成评标和与中标人签订合同。</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在原投标有效期结束前，出现特殊情况的，招标人可以书面形式要求所有投标人延长投标有效期。投标人同意延长的，不得要求或被允许修改其投标文件的实质性内容，但应当相应延长其投标保证金的有效期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投标人拒绝延长的，其投标失效，但投标人有权收回其投标保证金。</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第十三条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招标人应当合理确定投标人递交投标文件所需要的时间。招标文件的发售、公告、澄清及修改等期间，应当符合《中华人民共和国招标投标法实施条例》所规定的时间要求。</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第十四条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投标人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联合体</w:t>
      </w:r>
      <w:r>
        <w:rPr>
          <w:rFonts w:hint="eastAsia" w:ascii="Times New Roman" w:hAnsi="Times New Roman" w:eastAsia="仿宋_GB2312" w:cs="Times New Roman"/>
          <w:sz w:val="32"/>
          <w:szCs w:val="32"/>
        </w:rPr>
        <w:t>成员数量</w:t>
      </w:r>
      <w:r>
        <w:rPr>
          <w:rFonts w:ascii="Times New Roman" w:hAnsi="Times New Roman" w:eastAsia="仿宋_GB2312" w:cs="Times New Roman"/>
          <w:sz w:val="32"/>
          <w:szCs w:val="32"/>
        </w:rPr>
        <w:t>不得超过三家</w:t>
      </w:r>
      <w:r>
        <w:rPr>
          <w:rFonts w:hint="eastAsia" w:ascii="Times New Roman" w:hAnsi="Times New Roman" w:eastAsia="仿宋_GB2312" w:cs="Times New Roman"/>
          <w:sz w:val="32"/>
          <w:szCs w:val="32"/>
        </w:rPr>
        <w:t>，牵头单位应为承担项目管理职责的单位）</w:t>
      </w:r>
      <w:r>
        <w:rPr>
          <w:rFonts w:ascii="Times New Roman" w:hAnsi="Times New Roman" w:eastAsia="仿宋_GB2312" w:cs="Times New Roman"/>
          <w:sz w:val="32"/>
          <w:szCs w:val="32"/>
        </w:rPr>
        <w:t>应当具备下列基本条件：</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依法设立并具有独立的法人资格</w:t>
      </w:r>
      <w:r>
        <w:rPr>
          <w:rFonts w:hint="eastAsia" w:ascii="Times New Roman" w:hAnsi="Times New Roman" w:eastAsia="仿宋_GB2312" w:cs="Times New Roman"/>
          <w:sz w:val="32"/>
          <w:szCs w:val="32"/>
        </w:rPr>
        <w:t>（联合体指各成员单位）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无不良信用记录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在相关行业领域具备一定的实力</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）具有</w:t>
      </w:r>
      <w:r>
        <w:rPr>
          <w:rFonts w:ascii="Times New Roman" w:hAnsi="Times New Roman" w:eastAsia="仿宋_GB2312" w:cs="Times New Roman"/>
          <w:sz w:val="32"/>
          <w:szCs w:val="32"/>
        </w:rPr>
        <w:t>相应的工程勘察资质</w:t>
      </w:r>
      <w:r>
        <w:rPr>
          <w:rFonts w:hint="eastAsia" w:ascii="Times New Roman" w:hAnsi="Times New Roman" w:eastAsia="仿宋_GB2312" w:cs="Times New Roman"/>
          <w:sz w:val="32"/>
          <w:szCs w:val="32"/>
        </w:rPr>
        <w:t>，服务经营范围包含项目管理服务、投资咨询服务、工程造价咨询服务、招标代理服务</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具有与代建管理相适应的组织机构、管理体系及相应的专业技术人员和管理人员；</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具有与代建项目相适应的风险防范经验</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第十五条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招标人根据招标项目的具体情况，可以组织投标人踏勘项目现场。</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投标人在阅读招标文件或现场踏勘中提出的疑问，招标人应以统一的书面形式答复并告知所有投标人。告知的内容为招标文件的组成部分。</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第十六条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投标人应当按照招标文件的要求编制投标文件。投标文件应当对招标文件提出的实质性要求和条件作出响应。投标文件一般包括下列内容：</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投标函</w:t>
      </w:r>
      <w:r>
        <w:rPr>
          <w:rFonts w:hint="eastAsia" w:ascii="Times New Roman" w:hAnsi="Times New Roman" w:eastAsia="仿宋_GB2312" w:cs="Times New Roman"/>
          <w:sz w:val="32"/>
          <w:szCs w:val="32"/>
        </w:rPr>
        <w:t>及投标函附录</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）联合体协议书（如有）；</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（三）投标人基本</w:t>
      </w:r>
      <w:r>
        <w:rPr>
          <w:rFonts w:ascii="Times New Roman" w:hAnsi="Times New Roman" w:eastAsia="仿宋_GB2312" w:cs="Times New Roman"/>
          <w:sz w:val="32"/>
          <w:szCs w:val="32"/>
        </w:rPr>
        <w:t>情况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包括</w:t>
      </w:r>
      <w:r>
        <w:rPr>
          <w:rFonts w:hint="eastAsia" w:ascii="Times New Roman" w:hAnsi="Times New Roman" w:eastAsia="仿宋_GB2312" w:cs="Times New Roman"/>
          <w:sz w:val="32"/>
          <w:szCs w:val="32"/>
        </w:rPr>
        <w:t>从业资质或服务经营范围、相关经验</w:t>
      </w:r>
      <w:r>
        <w:rPr>
          <w:rFonts w:ascii="Times New Roman" w:hAnsi="Times New Roman" w:eastAsia="仿宋_GB2312" w:cs="Times New Roman"/>
          <w:sz w:val="32"/>
          <w:szCs w:val="32"/>
        </w:rPr>
        <w:t>和业绩、企业经营财务状况、履约能力、</w:t>
      </w:r>
      <w:r>
        <w:rPr>
          <w:rFonts w:hint="eastAsia" w:ascii="Times New Roman" w:hAnsi="Times New Roman" w:eastAsia="仿宋_GB2312" w:cs="Times New Roman"/>
          <w:sz w:val="32"/>
          <w:szCs w:val="32"/>
        </w:rPr>
        <w:t>信用信息</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（四）投标报价</w:t>
      </w:r>
      <w:r>
        <w:rPr>
          <w:rFonts w:ascii="Times New Roman" w:hAnsi="Times New Roman" w:eastAsia="仿宋_GB2312" w:cs="Times New Roman"/>
          <w:sz w:val="32"/>
          <w:szCs w:val="32"/>
        </w:rPr>
        <w:t>和服务承诺；</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（五）项目</w:t>
      </w: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rPr>
        <w:t>方案和实施计划（</w:t>
      </w:r>
      <w:r>
        <w:rPr>
          <w:rFonts w:ascii="Times New Roman" w:hAnsi="Times New Roman" w:eastAsia="仿宋_GB2312" w:cs="Times New Roman"/>
          <w:sz w:val="32"/>
          <w:szCs w:val="32"/>
        </w:rPr>
        <w:t>包括拟组织实施的项目管理机构和人员配置，代建实施方案及确保工程质量、进度、投资控制、安全文明生产等方面的具体措施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（六）专业服务方案（前期咨询、勘察、造价咨询、招标代理）</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招标文件规定的其他要求。</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第十七条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招标人应在招标文件中要求投标人提交投标保证金。</w:t>
      </w:r>
      <w:r>
        <w:rPr>
          <w:rFonts w:hint="eastAsia" w:ascii="Times New Roman" w:hAnsi="Times New Roman" w:eastAsia="仿宋_GB2312" w:cs="Times New Roman"/>
          <w:sz w:val="32"/>
          <w:szCs w:val="32"/>
        </w:rPr>
        <w:t>投标保证金除现金外，可以是银行出具的银行保函、保兑支票、银行汇票或现金支票等</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投标保证金不得超过</w:t>
      </w:r>
      <w:r>
        <w:rPr>
          <w:rFonts w:hint="eastAsia" w:ascii="Times New Roman" w:hAnsi="Times New Roman" w:eastAsia="仿宋_GB2312" w:cs="Times New Roman"/>
          <w:sz w:val="32"/>
          <w:szCs w:val="32"/>
        </w:rPr>
        <w:t>代建合同</w:t>
      </w:r>
      <w:r>
        <w:rPr>
          <w:rFonts w:ascii="Times New Roman" w:hAnsi="Times New Roman" w:eastAsia="仿宋_GB2312" w:cs="Times New Roman"/>
          <w:sz w:val="32"/>
          <w:szCs w:val="32"/>
        </w:rPr>
        <w:t>估算</w:t>
      </w:r>
      <w:r>
        <w:rPr>
          <w:rFonts w:hint="eastAsia" w:ascii="Times New Roman" w:hAnsi="Times New Roman" w:eastAsia="仿宋_GB2312" w:cs="Times New Roman"/>
          <w:sz w:val="32"/>
          <w:szCs w:val="32"/>
        </w:rPr>
        <w:t>金额</w:t>
      </w:r>
      <w:r>
        <w:rPr>
          <w:rFonts w:ascii="Times New Roman" w:hAnsi="Times New Roman" w:eastAsia="仿宋_GB2312" w:cs="Times New Roman"/>
          <w:sz w:val="32"/>
          <w:szCs w:val="32"/>
        </w:rPr>
        <w:t>的2%。投标保证金有效期应当与投标有效期一致。</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第十八条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开标应当在招标文件确定的递交投标文件截止时间的同一时间公开进行。开标评标应当在</w:t>
      </w:r>
      <w:r>
        <w:rPr>
          <w:rFonts w:hint="eastAsia" w:ascii="Times New Roman" w:hAnsi="Times New Roman" w:eastAsia="仿宋_GB2312" w:cs="Times New Roman"/>
          <w:sz w:val="32"/>
          <w:szCs w:val="32"/>
        </w:rPr>
        <w:t>全国</w:t>
      </w:r>
      <w:r>
        <w:rPr>
          <w:rFonts w:ascii="Times New Roman" w:hAnsi="Times New Roman" w:eastAsia="仿宋_GB2312" w:cs="Times New Roman"/>
          <w:sz w:val="32"/>
          <w:szCs w:val="32"/>
        </w:rPr>
        <w:t>公共资源交易平台</w:t>
      </w:r>
      <w:r>
        <w:rPr>
          <w:rFonts w:hint="eastAsia" w:ascii="Times New Roman" w:hAnsi="Times New Roman" w:eastAsia="仿宋_GB2312" w:cs="Times New Roman"/>
          <w:sz w:val="32"/>
          <w:szCs w:val="32"/>
        </w:rPr>
        <w:t>（陕西省）</w:t>
      </w:r>
      <w:r>
        <w:rPr>
          <w:rFonts w:ascii="Times New Roman" w:hAnsi="Times New Roman" w:eastAsia="仿宋_GB2312" w:cs="Times New Roman"/>
          <w:sz w:val="32"/>
          <w:szCs w:val="32"/>
        </w:rPr>
        <w:t>进行。</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第十九条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发现投标文件有下列情形之一的，评标委员会初审</w:t>
      </w:r>
      <w:r>
        <w:rPr>
          <w:rFonts w:hint="eastAsia" w:ascii="Times New Roman" w:hAnsi="Times New Roman" w:eastAsia="仿宋_GB2312" w:cs="Times New Roman"/>
          <w:sz w:val="32"/>
          <w:szCs w:val="32"/>
        </w:rPr>
        <w:t>环节</w:t>
      </w:r>
      <w:r>
        <w:rPr>
          <w:rFonts w:ascii="Times New Roman" w:hAnsi="Times New Roman" w:eastAsia="仿宋_GB2312" w:cs="Times New Roman"/>
          <w:sz w:val="32"/>
          <w:szCs w:val="32"/>
        </w:rPr>
        <w:t>按</w:t>
      </w:r>
      <w:r>
        <w:rPr>
          <w:rFonts w:hint="eastAsia" w:ascii="Times New Roman" w:hAnsi="Times New Roman" w:eastAsia="仿宋_GB2312" w:cs="Times New Roman"/>
          <w:sz w:val="32"/>
          <w:szCs w:val="32"/>
        </w:rPr>
        <w:t>否决投标</w:t>
      </w:r>
      <w:r>
        <w:rPr>
          <w:rFonts w:ascii="Times New Roman" w:hAnsi="Times New Roman" w:eastAsia="仿宋_GB2312" w:cs="Times New Roman"/>
          <w:sz w:val="32"/>
          <w:szCs w:val="32"/>
        </w:rPr>
        <w:t>处理，并在评标报告中说明</w:t>
      </w:r>
      <w:r>
        <w:rPr>
          <w:rFonts w:hint="eastAsia" w:ascii="Times New Roman" w:hAnsi="Times New Roman" w:eastAsia="仿宋_GB2312" w:cs="Times New Roman"/>
          <w:sz w:val="32"/>
          <w:szCs w:val="32"/>
        </w:rPr>
        <w:t>否决投标</w:t>
      </w:r>
      <w:r>
        <w:rPr>
          <w:rFonts w:ascii="Times New Roman" w:hAnsi="Times New Roman" w:eastAsia="仿宋_GB2312" w:cs="Times New Roman"/>
          <w:sz w:val="32"/>
          <w:szCs w:val="32"/>
        </w:rPr>
        <w:t>的理由及依据：</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投标文件未密封或密封处未加盖投标人印章的；</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投标文件未经投标单位盖章和法定代表人或授权代理人签字；</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投标联合体没有提交共同投标协议；</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投标人不符合国家或者招标文件规定的资格条件；</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同一投标人提交两个以上不同的投标文件或者投标报价</w:t>
      </w:r>
      <w:r>
        <w:rPr>
          <w:rFonts w:hint="eastAsia" w:ascii="Times New Roman" w:hAnsi="Times New Roman" w:eastAsia="仿宋_GB2312" w:cs="Times New Roman"/>
          <w:sz w:val="32"/>
          <w:szCs w:val="32"/>
        </w:rPr>
        <w:t>，但招标文件要求提交备选投标的除外</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未按规定的格式填写，内容不全或关键字迹模糊、无法辨认的；</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投标报价低于成本或者高于招标文件设定的最高投标限价；</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投标文件没有对招标文件的实质性要求和条件作出响应；</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w:t>
      </w:r>
      <w:r>
        <w:rPr>
          <w:rFonts w:ascii="Times New Roman" w:hAnsi="Times New Roman" w:eastAsia="仿宋_GB2312" w:cs="Times New Roman"/>
          <w:sz w:val="32"/>
          <w:szCs w:val="32"/>
        </w:rPr>
        <w:t>没有按招标文件规定提供投标保证金的；</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w:t>
      </w:r>
      <w:r>
        <w:rPr>
          <w:rFonts w:ascii="Times New Roman" w:hAnsi="Times New Roman" w:eastAsia="仿宋_GB2312" w:cs="Times New Roman"/>
          <w:sz w:val="32"/>
          <w:szCs w:val="32"/>
        </w:rPr>
        <w:t>投标人有串通投标、弄虚作假、行贿等违法</w:t>
      </w:r>
      <w:r>
        <w:rPr>
          <w:rFonts w:hint="eastAsia" w:ascii="Times New Roman" w:hAnsi="Times New Roman" w:eastAsia="仿宋_GB2312" w:cs="Times New Roman"/>
          <w:sz w:val="32"/>
          <w:szCs w:val="32"/>
        </w:rPr>
        <w:t>失信</w:t>
      </w:r>
      <w:r>
        <w:rPr>
          <w:rFonts w:ascii="Times New Roman" w:hAnsi="Times New Roman" w:eastAsia="仿宋_GB2312" w:cs="Times New Roman"/>
          <w:sz w:val="32"/>
          <w:szCs w:val="32"/>
        </w:rPr>
        <w:t>行为</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w:t>
      </w:r>
      <w:r>
        <w:rPr>
          <w:rFonts w:ascii="Times New Roman" w:hAnsi="Times New Roman" w:eastAsia="仿宋_GB2312" w:cs="Times New Roman"/>
          <w:sz w:val="32"/>
          <w:szCs w:val="32"/>
        </w:rPr>
        <w:t>招标文件约定的其他</w:t>
      </w:r>
      <w:r>
        <w:rPr>
          <w:rFonts w:hint="eastAsia" w:ascii="Times New Roman" w:hAnsi="Times New Roman" w:eastAsia="仿宋_GB2312" w:cs="Times New Roman"/>
          <w:sz w:val="32"/>
          <w:szCs w:val="32"/>
        </w:rPr>
        <w:t>否决投标</w:t>
      </w:r>
      <w:r>
        <w:rPr>
          <w:rFonts w:ascii="Times New Roman" w:hAnsi="Times New Roman" w:eastAsia="仿宋_GB2312" w:cs="Times New Roman"/>
          <w:sz w:val="32"/>
          <w:szCs w:val="32"/>
        </w:rPr>
        <w:t>条件。</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第二十条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评标委员会认定</w:t>
      </w:r>
      <w:r>
        <w:rPr>
          <w:rFonts w:hint="eastAsia" w:ascii="Times New Roman" w:hAnsi="Times New Roman" w:eastAsia="仿宋_GB2312" w:cs="Times New Roman"/>
          <w:sz w:val="32"/>
          <w:szCs w:val="32"/>
        </w:rPr>
        <w:t>否决投标</w:t>
      </w:r>
      <w:r>
        <w:rPr>
          <w:rFonts w:ascii="Times New Roman" w:hAnsi="Times New Roman" w:eastAsia="仿宋_GB2312" w:cs="Times New Roman"/>
          <w:sz w:val="32"/>
          <w:szCs w:val="32"/>
        </w:rPr>
        <w:t>后因有效投标不足三个使投标明显缺乏竞争而决定否决全部投标的，或者所有投标均被作为</w:t>
      </w:r>
      <w:r>
        <w:rPr>
          <w:rFonts w:hint="eastAsia" w:ascii="Times New Roman" w:hAnsi="Times New Roman" w:eastAsia="仿宋_GB2312" w:cs="Times New Roman"/>
          <w:sz w:val="32"/>
          <w:szCs w:val="32"/>
        </w:rPr>
        <w:t>否决投标</w:t>
      </w:r>
      <w:r>
        <w:rPr>
          <w:rFonts w:ascii="Times New Roman" w:hAnsi="Times New Roman" w:eastAsia="仿宋_GB2312" w:cs="Times New Roman"/>
          <w:sz w:val="32"/>
          <w:szCs w:val="32"/>
        </w:rPr>
        <w:t>处理的，招标人应重新招标。</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第二十一条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提交投标文件的投标人少于三个的，招标人应当依法重新招标。</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重新招标后投标人仍少于三个，或仍因有效投标不足三个而被评标委员会否决全部投标的，经省发展改革委批准后可以不再进行招标。</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第二十二条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评标由招标人依法组建的评标委员会负责。</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评标委员会由招标人的代表和有关技术、经济等方面的专家组成，成员人数为五人以上单数，其中技术、经济等方面的专家不得少于成员总数的三分之二。</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评标委员会中有关技术、经济等方面的专家应当从陕西省综合评标评审专家库内随机抽取。</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第二十三条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评标一般采用综合评估法，也可以采用法律法规允许的其他评标方法。采用综合评估法的，应当重点审查投标人的资信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项目管理</w:t>
      </w:r>
      <w:r>
        <w:rPr>
          <w:rFonts w:hint="eastAsia" w:ascii="Times New Roman" w:hAnsi="Times New Roman" w:eastAsia="仿宋_GB2312" w:cs="Times New Roman"/>
          <w:sz w:val="32"/>
          <w:szCs w:val="32"/>
        </w:rPr>
        <w:t>和相应专业服务</w:t>
      </w:r>
      <w:r>
        <w:rPr>
          <w:rFonts w:ascii="Times New Roman" w:hAnsi="Times New Roman" w:eastAsia="仿宋_GB2312" w:cs="Times New Roman"/>
          <w:sz w:val="32"/>
          <w:szCs w:val="32"/>
        </w:rPr>
        <w:t>能力。包括：投标人信用情况，</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rPr>
        <w:t>和专业服务</w:t>
      </w:r>
      <w:r>
        <w:rPr>
          <w:rFonts w:ascii="Times New Roman" w:hAnsi="Times New Roman" w:eastAsia="仿宋_GB2312" w:cs="Times New Roman"/>
          <w:sz w:val="32"/>
          <w:szCs w:val="32"/>
        </w:rPr>
        <w:t>业绩情况，管理机构设置、人员配备情况，组织协调设计、监理、施工的措施和能力，控制工程质量、工期和造价的措施和能力，履约和承担投资风险的能力等。</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第二十四条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评标委员会应当在评标结束后</w:t>
      </w:r>
      <w:r>
        <w:rPr>
          <w:rFonts w:hint="eastAsia" w:ascii="Times New Roman" w:hAnsi="Times New Roman" w:eastAsia="仿宋_GB2312" w:cs="Times New Roman"/>
          <w:sz w:val="32"/>
          <w:szCs w:val="32"/>
        </w:rPr>
        <w:t>，向招标人提交书面评标报告和推荐中标候选人名单。</w:t>
      </w:r>
      <w:r>
        <w:rPr>
          <w:rFonts w:ascii="Times New Roman" w:hAnsi="Times New Roman" w:eastAsia="仿宋_GB2312" w:cs="Times New Roman"/>
          <w:sz w:val="32"/>
          <w:szCs w:val="32"/>
        </w:rPr>
        <w:t>评标报告应由评标委员会全体成员签字。参与评标的专家对评标结果有异议的，应书面向评标委员会提出自己意见和理由，并由其本人签字确认，否则视为同意评标结论，同时应在评标报告中记录在案。</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评标委员会推荐的中标候选人应当限定在一至三人，并标明排列顺序。</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第二十五条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招标人应当自收到评标报告和推荐</w:t>
      </w:r>
      <w:r>
        <w:rPr>
          <w:rFonts w:hint="eastAsia" w:ascii="Times New Roman" w:hAnsi="Times New Roman" w:eastAsia="仿宋_GB2312" w:cs="Times New Roman"/>
          <w:sz w:val="32"/>
          <w:szCs w:val="32"/>
        </w:rPr>
        <w:t>中标</w:t>
      </w:r>
      <w:r>
        <w:rPr>
          <w:rFonts w:ascii="Times New Roman" w:hAnsi="Times New Roman" w:eastAsia="仿宋_GB2312" w:cs="Times New Roman"/>
          <w:sz w:val="32"/>
          <w:szCs w:val="32"/>
        </w:rPr>
        <w:t>候选人名单之日起</w:t>
      </w:r>
      <w:r>
        <w:rPr>
          <w:rFonts w:hint="eastAsia" w:ascii="Times New Roman" w:hAnsi="Times New Roman" w:eastAsia="仿宋_GB2312" w:cs="Times New Roman"/>
          <w:sz w:val="32"/>
          <w:szCs w:val="32"/>
        </w:rPr>
        <w:t>3日内</w:t>
      </w:r>
      <w:r>
        <w:rPr>
          <w:rFonts w:ascii="Times New Roman" w:hAnsi="Times New Roman" w:eastAsia="仿宋_GB2312" w:cs="Times New Roman"/>
          <w:sz w:val="32"/>
          <w:szCs w:val="32"/>
        </w:rPr>
        <w:t>，在指定的媒介上对推荐的中标候选人进行公示，公示时间</w:t>
      </w:r>
      <w:r>
        <w:rPr>
          <w:rFonts w:hint="eastAsia" w:ascii="Times New Roman" w:hAnsi="Times New Roman" w:eastAsia="仿宋_GB2312" w:cs="Times New Roman"/>
          <w:sz w:val="32"/>
          <w:szCs w:val="32"/>
        </w:rPr>
        <w:t>不得少于3</w:t>
      </w:r>
      <w:r>
        <w:rPr>
          <w:rFonts w:ascii="Times New Roman" w:hAnsi="Times New Roman" w:eastAsia="仿宋_GB2312" w:cs="Times New Roman"/>
          <w:sz w:val="32"/>
          <w:szCs w:val="32"/>
        </w:rPr>
        <w:t>日。招标人应当在公示期满之日起十日内根据招标文件确定的中标条件和评标委员会提交的评标报告中推荐的排序确定中标人，并向中标人发出中标通知书。</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中标通知书对招标人和中标人具有法律效力。中标通知书发出后，招标人改变中标结果的，或者中标人放弃中标项目的，应当依法承担相关责任。</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招标人应当在确定中标人之日起十五日内，向</w:t>
      </w:r>
      <w:r>
        <w:rPr>
          <w:rFonts w:hint="eastAsia" w:ascii="Times New Roman" w:hAnsi="Times New Roman" w:eastAsia="仿宋_GB2312" w:cs="Times New Roman"/>
          <w:sz w:val="32"/>
          <w:szCs w:val="32"/>
        </w:rPr>
        <w:t>省发展改革委</w:t>
      </w:r>
      <w:r>
        <w:rPr>
          <w:rFonts w:ascii="Times New Roman" w:hAnsi="Times New Roman" w:eastAsia="仿宋_GB2312" w:cs="Times New Roman"/>
          <w:sz w:val="32"/>
          <w:szCs w:val="32"/>
        </w:rPr>
        <w:t>提交招标投标情况的书面报告。</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第二十六条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项目单位和中标人应当自中标通知书发出之日起三十日内，按照招标文件和中标人的投标文件订立书面代建合同。不得再行订立背离合同实质性内容的其他协议。</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在与项目单位签订的代建合同生效前，中标人必须向项目单位提交履约</w:t>
      </w:r>
      <w:r>
        <w:rPr>
          <w:rFonts w:hint="eastAsia" w:ascii="Times New Roman" w:hAnsi="Times New Roman" w:eastAsia="仿宋_GB2312" w:cs="Times New Roman"/>
          <w:sz w:val="32"/>
          <w:szCs w:val="32"/>
        </w:rPr>
        <w:t>保证金</w:t>
      </w:r>
      <w:r>
        <w:rPr>
          <w:rFonts w:ascii="Times New Roman" w:hAnsi="Times New Roman" w:eastAsia="仿宋_GB2312" w:cs="Times New Roman"/>
          <w:sz w:val="32"/>
          <w:szCs w:val="32"/>
        </w:rPr>
        <w:t>，中标人提交</w:t>
      </w:r>
      <w:r>
        <w:rPr>
          <w:rFonts w:hint="eastAsia" w:ascii="Times New Roman" w:hAnsi="Times New Roman" w:eastAsia="仿宋_GB2312" w:cs="Times New Roman"/>
          <w:sz w:val="32"/>
          <w:szCs w:val="32"/>
        </w:rPr>
        <w:t>履约保证金</w:t>
      </w:r>
      <w:r>
        <w:rPr>
          <w:rFonts w:ascii="Times New Roman" w:hAnsi="Times New Roman" w:eastAsia="仿宋_GB2312" w:cs="Times New Roman"/>
          <w:sz w:val="32"/>
          <w:szCs w:val="32"/>
        </w:rPr>
        <w:t>为中标合同金额的</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%至</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%，具体比例根据项目行业特点在招标文件中确定。拒绝提交的，视为放弃中标项目。</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第二十七条</w:t>
      </w:r>
      <w:r>
        <w:rPr>
          <w:rFonts w:hint="eastAsia" w:ascii="Times New Roman" w:hAnsi="Times New Roman" w:eastAsia="仿宋_GB2312" w:cs="Times New Roman"/>
          <w:sz w:val="32"/>
          <w:szCs w:val="32"/>
        </w:rPr>
        <w:t xml:space="preserve">  省直</w:t>
      </w:r>
      <w:r>
        <w:rPr>
          <w:rFonts w:ascii="Times New Roman" w:hAnsi="Times New Roman" w:eastAsia="仿宋_GB2312" w:cs="Times New Roman"/>
          <w:sz w:val="32"/>
          <w:szCs w:val="32"/>
        </w:rPr>
        <w:t>政府投资项目的代建合同自签订之日起十日内，项目单位应当</w:t>
      </w:r>
      <w:r>
        <w:rPr>
          <w:rFonts w:hint="eastAsia" w:ascii="Times New Roman" w:hAnsi="Times New Roman" w:eastAsia="仿宋_GB2312" w:cs="Times New Roman"/>
          <w:sz w:val="32"/>
          <w:szCs w:val="32"/>
        </w:rPr>
        <w:t>会同代建单位</w:t>
      </w:r>
      <w:r>
        <w:rPr>
          <w:rFonts w:ascii="Times New Roman" w:hAnsi="Times New Roman" w:eastAsia="仿宋_GB2312" w:cs="Times New Roman"/>
          <w:sz w:val="32"/>
          <w:szCs w:val="32"/>
        </w:rPr>
        <w:t>将合同报省发展改革委备案。</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第二十八条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省发展改革委依法对代建单位招标投标活动实施监督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省发展改革委</w:t>
      </w:r>
      <w:r>
        <w:rPr>
          <w:rFonts w:hint="eastAsia" w:ascii="Times New Roman" w:hAnsi="Times New Roman" w:eastAsia="仿宋_GB2312" w:cs="Times New Roman"/>
          <w:sz w:val="32"/>
          <w:szCs w:val="32"/>
        </w:rPr>
        <w:t>委托陕西省重大项目储备推进中心依法依规履行监管机构职责，负责代建单位</w:t>
      </w:r>
      <w:r>
        <w:rPr>
          <w:rFonts w:ascii="Times New Roman" w:hAnsi="Times New Roman" w:eastAsia="仿宋_GB2312" w:cs="Times New Roman"/>
          <w:sz w:val="32"/>
          <w:szCs w:val="32"/>
        </w:rPr>
        <w:t>招标投标活动</w:t>
      </w:r>
      <w:r>
        <w:rPr>
          <w:rFonts w:hint="eastAsia" w:ascii="Times New Roman" w:hAnsi="Times New Roman" w:eastAsia="仿宋_GB2312" w:cs="Times New Roman"/>
          <w:sz w:val="32"/>
          <w:szCs w:val="32"/>
        </w:rPr>
        <w:t>监管具体工作</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第二十九条  建设地点位于省外的省直政府投资项目，经省发展改革委同意，代建单位招标投标活动可在项目所在地公共资源交易平台开展。</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三十</w:t>
      </w:r>
      <w:r>
        <w:rPr>
          <w:rFonts w:ascii="Times New Roman" w:hAnsi="Times New Roman" w:eastAsia="仿宋_GB2312" w:cs="Times New Roman"/>
          <w:sz w:val="32"/>
          <w:szCs w:val="32"/>
        </w:rPr>
        <w:t xml:space="preserve">条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本办法自202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日起施行</w:t>
      </w:r>
      <w:r>
        <w:rPr>
          <w:rFonts w:hint="eastAsia" w:ascii="Times New Roman" w:hAnsi="Times New Roman" w:eastAsia="仿宋_GB2312" w:cs="Times New Roman"/>
          <w:sz w:val="32"/>
          <w:szCs w:val="32"/>
        </w:rPr>
        <w:t>，有效期2年</w:t>
      </w:r>
      <w:r>
        <w:rPr>
          <w:rFonts w:ascii="Times New Roman" w:hAnsi="Times New Roman" w:eastAsia="仿宋_GB2312" w:cs="Times New Roman"/>
          <w:sz w:val="32"/>
          <w:szCs w:val="32"/>
        </w:rPr>
        <w:t>。</w:t>
      </w:r>
    </w:p>
    <w:p>
      <w:pPr>
        <w:pStyle w:val="32"/>
        <w:keepNext w:val="0"/>
        <w:keepLines w:val="0"/>
        <w:pageBreakBefore w:val="0"/>
        <w:widowControl w:val="0"/>
        <w:kinsoku/>
        <w:wordWrap/>
        <w:overflowPunct/>
        <w:topLinePunct w:val="0"/>
        <w:autoSpaceDE/>
        <w:autoSpaceDN/>
        <w:bidi w:val="0"/>
        <w:adjustRightInd/>
        <w:snapToGrid w:val="0"/>
        <w:spacing w:line="590" w:lineRule="exact"/>
        <w:ind w:firstLine="0" w:firstLineChars="0"/>
        <w:textAlignment w:val="auto"/>
        <w:rPr>
          <w:rFonts w:eastAsia="仿宋_GB2312"/>
          <w:sz w:val="32"/>
          <w:szCs w:val="32"/>
        </w:rPr>
      </w:pPr>
    </w:p>
    <w:p>
      <w:pPr>
        <w:pStyle w:val="32"/>
        <w:snapToGrid w:val="0"/>
        <w:spacing w:line="572" w:lineRule="exact"/>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570" w:lineRule="exact"/>
        <w:jc w:val="center"/>
        <w:outlineLvl w:val="0"/>
        <w:rPr>
          <w:rFonts w:hint="eastAsia" w:ascii="方正小标宋简体" w:hAnsi="方正小标宋简体" w:eastAsia="方正小标宋简体" w:cs="方正小标宋简体"/>
          <w:sz w:val="44"/>
          <w:szCs w:val="44"/>
        </w:rPr>
      </w:pPr>
    </w:p>
    <w:p>
      <w:pPr>
        <w:spacing w:line="570" w:lineRule="exact"/>
        <w:jc w:val="center"/>
        <w:outlineLvl w:val="0"/>
        <w:rPr>
          <w:rFonts w:hint="eastAsia" w:ascii="黑体" w:hAnsi="黑体" w:eastAsia="黑体" w:cs="黑体"/>
          <w:sz w:val="32"/>
          <w:szCs w:val="32"/>
        </w:rPr>
      </w:pPr>
      <w:r>
        <w:rPr>
          <w:rFonts w:hint="eastAsia" w:ascii="黑体" w:hAnsi="黑体" w:eastAsia="黑体" w:cs="黑体"/>
          <w:sz w:val="32"/>
          <w:szCs w:val="32"/>
        </w:rPr>
        <w:t>陕西省省直政府投资项目</w:t>
      </w:r>
    </w:p>
    <w:p>
      <w:pPr>
        <w:spacing w:line="570" w:lineRule="exact"/>
        <w:jc w:val="center"/>
        <w:outlineLvl w:val="0"/>
        <w:rPr>
          <w:rFonts w:hint="eastAsia" w:ascii="黑体" w:hAnsi="黑体" w:eastAsia="黑体" w:cs="黑体"/>
          <w:sz w:val="32"/>
          <w:szCs w:val="32"/>
        </w:rPr>
      </w:pPr>
      <w:r>
        <w:rPr>
          <w:rFonts w:hint="eastAsia" w:ascii="黑体" w:hAnsi="黑体" w:eastAsia="黑体" w:cs="黑体"/>
          <w:sz w:val="32"/>
          <w:szCs w:val="32"/>
        </w:rPr>
        <w:t>代建单位招标文件备案办法（试行）</w:t>
      </w:r>
    </w:p>
    <w:p>
      <w:pPr>
        <w:spacing w:line="570" w:lineRule="exact"/>
        <w:ind w:firstLine="640" w:firstLineChars="200"/>
        <w:rPr>
          <w:rFonts w:ascii="Times New Roman" w:hAnsi="Times New Roman" w:eastAsia="仿宋_GB2312" w:cs="Times New Roman"/>
          <w:sz w:val="32"/>
          <w:szCs w:val="32"/>
        </w:rPr>
      </w:pPr>
    </w:p>
    <w:p>
      <w:pPr>
        <w:spacing w:beforeLines="50" w:afterLines="50" w:line="572" w:lineRule="exact"/>
        <w:jc w:val="center"/>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第一条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为确保陕西省省直政府投资项目代建单位招标工作公平有序，规范代建单位招标文件备案程序，根据《陕西省省直政府投资项目代建制管理办法（试行）》（</w:t>
      </w:r>
      <w:r>
        <w:rPr>
          <w:rFonts w:hint="eastAsia" w:ascii="Times New Roman" w:hAnsi="Times New Roman" w:eastAsia="仿宋_GB2312" w:cs="Times New Roman"/>
          <w:sz w:val="32"/>
          <w:szCs w:val="32"/>
        </w:rPr>
        <w:t>陕发改投资〔2021〕1410号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《陕西省省直政府投资项目代建单位招标投标办法（试行）》等制订本办法。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第二条</w:t>
      </w:r>
      <w:r>
        <w:rPr>
          <w:rFonts w:hint="eastAsia" w:ascii="Times New Roman" w:hAnsi="Times New Roman" w:eastAsia="仿宋_GB2312" w:cs="Times New Roman"/>
          <w:sz w:val="32"/>
          <w:szCs w:val="32"/>
        </w:rPr>
        <w:t xml:space="preserve">  按规定实行代建制的省直非经营性政府投资项目</w:t>
      </w:r>
      <w:r>
        <w:rPr>
          <w:rFonts w:ascii="Times New Roman" w:hAnsi="Times New Roman" w:eastAsia="仿宋_GB2312" w:cs="Times New Roman"/>
          <w:sz w:val="32"/>
          <w:szCs w:val="32"/>
        </w:rPr>
        <w:t>，按照本办法对代建单位招标文件实行</w:t>
      </w:r>
      <w:r>
        <w:rPr>
          <w:rFonts w:hint="eastAsia" w:ascii="Times New Roman" w:hAnsi="Times New Roman" w:eastAsia="仿宋_GB2312" w:cs="Times New Roman"/>
          <w:sz w:val="32"/>
          <w:szCs w:val="32"/>
        </w:rPr>
        <w:t>告知性</w:t>
      </w:r>
      <w:r>
        <w:rPr>
          <w:rFonts w:ascii="Times New Roman" w:hAnsi="Times New Roman" w:eastAsia="仿宋_GB2312" w:cs="Times New Roman"/>
          <w:sz w:val="32"/>
          <w:szCs w:val="32"/>
        </w:rPr>
        <w:t>备案管理。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第三条 </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省发展改革委</w:t>
      </w:r>
      <w:r>
        <w:rPr>
          <w:rFonts w:hint="eastAsia" w:ascii="Times New Roman" w:hAnsi="Times New Roman" w:eastAsia="仿宋_GB2312" w:cs="Times New Roman"/>
          <w:sz w:val="32"/>
          <w:szCs w:val="32"/>
        </w:rPr>
        <w:t>对实行代建制的省直政府投资项目</w:t>
      </w:r>
      <w:r>
        <w:rPr>
          <w:rFonts w:ascii="Times New Roman" w:hAnsi="Times New Roman" w:eastAsia="仿宋_GB2312" w:cs="Times New Roman"/>
          <w:sz w:val="32"/>
          <w:szCs w:val="32"/>
        </w:rPr>
        <w:t>代建单位招标文件备案工作</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指导、协调和监督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省发展改革委</w:t>
      </w:r>
      <w:r>
        <w:rPr>
          <w:rFonts w:hint="eastAsia" w:ascii="Times New Roman" w:hAnsi="Times New Roman" w:eastAsia="仿宋_GB2312" w:cs="Times New Roman"/>
          <w:sz w:val="32"/>
          <w:szCs w:val="32"/>
        </w:rPr>
        <w:t>委托陕西省重大项目储备推进中心依法依规履行备案机构职责，</w:t>
      </w:r>
      <w:r>
        <w:rPr>
          <w:rFonts w:ascii="Times New Roman" w:hAnsi="Times New Roman" w:eastAsia="仿宋_GB2312" w:cs="Times New Roman"/>
          <w:sz w:val="32"/>
          <w:szCs w:val="32"/>
        </w:rPr>
        <w:t>负责代建单位招标文件备案</w:t>
      </w:r>
      <w:r>
        <w:rPr>
          <w:rFonts w:hint="eastAsia" w:ascii="Times New Roman" w:hAnsi="Times New Roman" w:eastAsia="仿宋_GB2312" w:cs="Times New Roman"/>
          <w:sz w:val="32"/>
          <w:szCs w:val="32"/>
        </w:rPr>
        <w:t>具体</w:t>
      </w:r>
      <w:r>
        <w:rPr>
          <w:rFonts w:ascii="Times New Roman" w:hAnsi="Times New Roman" w:eastAsia="仿宋_GB2312" w:cs="Times New Roman"/>
          <w:sz w:val="32"/>
          <w:szCs w:val="32"/>
        </w:rPr>
        <w:t>工作。</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备案内容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第四条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项目单位在确定招标代理机构并完成代建单位招标文件编制后，于拟发布招标公告</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日前向</w:t>
      </w:r>
      <w:r>
        <w:rPr>
          <w:rFonts w:hint="eastAsia" w:ascii="Times New Roman" w:hAnsi="Times New Roman" w:eastAsia="仿宋_GB2312" w:cs="Times New Roman"/>
          <w:sz w:val="32"/>
          <w:szCs w:val="32"/>
        </w:rPr>
        <w:t>备案机构</w:t>
      </w:r>
      <w:r>
        <w:rPr>
          <w:rFonts w:ascii="Times New Roman" w:hAnsi="Times New Roman" w:eastAsia="仿宋_GB2312" w:cs="Times New Roman"/>
          <w:sz w:val="32"/>
          <w:szCs w:val="32"/>
        </w:rPr>
        <w:t>提交项目代建单位招标文件备案报告，并填写备案表（见附</w:t>
      </w:r>
      <w:r>
        <w:rPr>
          <w:rFonts w:hint="eastAsia" w:ascii="Times New Roman" w:hAnsi="Times New Roman" w:eastAsia="仿宋_GB2312" w:cs="Times New Roman"/>
          <w:sz w:val="32"/>
          <w:szCs w:val="32"/>
          <w:lang w:val="en-US" w:eastAsia="zh-CN"/>
        </w:rPr>
        <w:t>件</w:t>
      </w:r>
      <w:r>
        <w:rPr>
          <w:rFonts w:hint="eastAsia" w:ascii="Times New Roman" w:hAnsi="Times New Roman" w:eastAsia="仿宋_GB2312" w:cs="Times New Roman"/>
          <w:sz w:val="32"/>
          <w:szCs w:val="32"/>
        </w:rPr>
        <w:t>，一式三份</w:t>
      </w:r>
      <w:r>
        <w:rPr>
          <w:rFonts w:ascii="Times New Roman" w:hAnsi="Times New Roman" w:eastAsia="仿宋_GB2312" w:cs="Times New Roman"/>
          <w:sz w:val="32"/>
          <w:szCs w:val="32"/>
        </w:rPr>
        <w:t>），同时提</w:t>
      </w:r>
      <w:r>
        <w:rPr>
          <w:rFonts w:hint="eastAsia" w:ascii="Times New Roman" w:hAnsi="Times New Roman" w:eastAsia="仿宋_GB2312" w:cs="Times New Roman"/>
          <w:sz w:val="32"/>
          <w:szCs w:val="32"/>
        </w:rPr>
        <w:t>交</w:t>
      </w:r>
      <w:r>
        <w:rPr>
          <w:rFonts w:ascii="Times New Roman" w:hAnsi="Times New Roman" w:eastAsia="仿宋_GB2312" w:cs="Times New Roman"/>
          <w:sz w:val="32"/>
          <w:szCs w:val="32"/>
        </w:rPr>
        <w:t>编制完成的招标文件（一式三份）。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第五条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备案报告应包括以下内容：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代建项目前期工作情况；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招标文件编制依据；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招标方式；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拟发布招标公告时间、招标有效期、招标范围及工作内容；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联系人及联系方式</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其他需要的资料。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第六条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项目单位对申请材料的真实性、完整性负责。</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备案程序与时限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第七条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项目单位将备案报告、招标文件及相关附件送</w:t>
      </w:r>
      <w:r>
        <w:rPr>
          <w:rFonts w:hint="eastAsia" w:ascii="Times New Roman" w:hAnsi="Times New Roman" w:eastAsia="仿宋_GB2312" w:cs="Times New Roman"/>
          <w:sz w:val="32"/>
          <w:szCs w:val="32"/>
        </w:rPr>
        <w:t>备案机构</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第八条</w:t>
      </w:r>
      <w:r>
        <w:rPr>
          <w:rFonts w:hint="eastAsia" w:ascii="Times New Roman" w:hAnsi="Times New Roman" w:eastAsia="仿宋_GB2312" w:cs="Times New Roman"/>
          <w:sz w:val="32"/>
          <w:szCs w:val="32"/>
        </w:rPr>
        <w:t xml:space="preserve">  备案机构</w:t>
      </w:r>
      <w:r>
        <w:rPr>
          <w:rFonts w:ascii="Times New Roman" w:hAnsi="Times New Roman" w:eastAsia="仿宋_GB2312" w:cs="Times New Roman"/>
          <w:sz w:val="32"/>
          <w:szCs w:val="32"/>
        </w:rPr>
        <w:t>收到</w:t>
      </w:r>
      <w:r>
        <w:rPr>
          <w:rFonts w:hint="eastAsia" w:ascii="Times New Roman" w:hAnsi="Times New Roman" w:eastAsia="仿宋_GB2312" w:cs="Times New Roman"/>
          <w:sz w:val="32"/>
          <w:szCs w:val="32"/>
        </w:rPr>
        <w:t>备案</w:t>
      </w:r>
      <w:r>
        <w:rPr>
          <w:rFonts w:ascii="Times New Roman" w:hAnsi="Times New Roman" w:eastAsia="仿宋_GB2312" w:cs="Times New Roman"/>
          <w:sz w:val="32"/>
          <w:szCs w:val="32"/>
        </w:rPr>
        <w:t>材料后，</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材料不齐全或不符合规定形式，需要补正有关材料的，当场或在2个工作日内一次性告知</w:t>
      </w:r>
      <w:r>
        <w:rPr>
          <w:rFonts w:hint="eastAsia" w:ascii="Times New Roman" w:hAnsi="Times New Roman" w:eastAsia="仿宋_GB2312" w:cs="Times New Roman"/>
          <w:sz w:val="32"/>
          <w:szCs w:val="32"/>
        </w:rPr>
        <w:t>项目单位</w:t>
      </w:r>
      <w:r>
        <w:rPr>
          <w:rFonts w:ascii="Times New Roman" w:hAnsi="Times New Roman" w:eastAsia="仿宋_GB2312" w:cs="Times New Roman"/>
          <w:sz w:val="32"/>
          <w:szCs w:val="32"/>
        </w:rPr>
        <w:t>需要补正的全部内容，逾期不告知的，从收到申请材料之日起即为受理。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第九条</w:t>
      </w:r>
      <w:r>
        <w:rPr>
          <w:rFonts w:hint="eastAsia" w:ascii="Times New Roman" w:hAnsi="Times New Roman" w:eastAsia="仿宋_GB2312" w:cs="Times New Roman"/>
          <w:sz w:val="32"/>
          <w:szCs w:val="32"/>
        </w:rPr>
        <w:t xml:space="preserve">  备案机构</w:t>
      </w:r>
      <w:r>
        <w:rPr>
          <w:rFonts w:ascii="Times New Roman" w:hAnsi="Times New Roman" w:eastAsia="仿宋_GB2312" w:cs="Times New Roman"/>
          <w:sz w:val="32"/>
          <w:szCs w:val="32"/>
        </w:rPr>
        <w:t>对材料齐全、符合规定形式</w:t>
      </w:r>
      <w:r>
        <w:rPr>
          <w:rFonts w:hint="eastAsia" w:ascii="Times New Roman" w:hAnsi="Times New Roman" w:eastAsia="仿宋_GB2312" w:cs="Times New Roman"/>
          <w:sz w:val="32"/>
          <w:szCs w:val="32"/>
        </w:rPr>
        <w:t>或项目单位</w:t>
      </w:r>
      <w:r>
        <w:rPr>
          <w:rFonts w:ascii="Times New Roman" w:hAnsi="Times New Roman" w:eastAsia="仿宋_GB2312" w:cs="Times New Roman"/>
          <w:sz w:val="32"/>
          <w:szCs w:val="32"/>
        </w:rPr>
        <w:t>按照要求已提交全部补正材料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符合备案要求的代建单位招标文件应予备案。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第十条</w:t>
      </w:r>
      <w:r>
        <w:rPr>
          <w:rFonts w:hint="eastAsia" w:ascii="Times New Roman" w:hAnsi="Times New Roman" w:eastAsia="仿宋_GB2312" w:cs="Times New Roman"/>
          <w:sz w:val="32"/>
          <w:szCs w:val="32"/>
        </w:rPr>
        <w:t xml:space="preserve">  符合</w:t>
      </w:r>
      <w:r>
        <w:rPr>
          <w:rFonts w:ascii="Times New Roman" w:hAnsi="Times New Roman" w:eastAsia="仿宋_GB2312" w:cs="Times New Roman"/>
          <w:sz w:val="32"/>
          <w:szCs w:val="32"/>
        </w:rPr>
        <w:t>备案的，</w:t>
      </w:r>
      <w:r>
        <w:rPr>
          <w:rFonts w:hint="eastAsia" w:ascii="Times New Roman" w:hAnsi="Times New Roman" w:eastAsia="仿宋_GB2312" w:cs="Times New Roman"/>
          <w:sz w:val="32"/>
          <w:szCs w:val="32"/>
        </w:rPr>
        <w:t>备案机构</w:t>
      </w:r>
      <w:r>
        <w:rPr>
          <w:rFonts w:ascii="Times New Roman" w:hAnsi="Times New Roman" w:eastAsia="仿宋_GB2312" w:cs="Times New Roman"/>
          <w:sz w:val="32"/>
          <w:szCs w:val="32"/>
        </w:rPr>
        <w:t>应在作出决定后2个工作日内，</w:t>
      </w:r>
      <w:r>
        <w:rPr>
          <w:rFonts w:hint="eastAsia" w:ascii="Times New Roman" w:hAnsi="Times New Roman" w:eastAsia="仿宋_GB2312" w:cs="Times New Roman"/>
          <w:sz w:val="32"/>
          <w:szCs w:val="32"/>
        </w:rPr>
        <w:t>在代建单位招标文件备案表上签署意见并加盖公章，及时</w:t>
      </w:r>
      <w:r>
        <w:rPr>
          <w:rFonts w:ascii="Times New Roman" w:hAnsi="Times New Roman" w:eastAsia="仿宋_GB2312" w:cs="Times New Roman"/>
          <w:sz w:val="32"/>
          <w:szCs w:val="32"/>
        </w:rPr>
        <w:t>告知</w:t>
      </w:r>
      <w:r>
        <w:rPr>
          <w:rFonts w:hint="eastAsia" w:ascii="Times New Roman" w:hAnsi="Times New Roman" w:eastAsia="仿宋_GB2312" w:cs="Times New Roman"/>
          <w:sz w:val="32"/>
          <w:szCs w:val="32"/>
        </w:rPr>
        <w:t>项目单位</w:t>
      </w:r>
      <w:r>
        <w:rPr>
          <w:rFonts w:ascii="Times New Roman" w:hAnsi="Times New Roman" w:eastAsia="仿宋_GB2312" w:cs="Times New Roman"/>
          <w:sz w:val="32"/>
          <w:szCs w:val="32"/>
        </w:rPr>
        <w:t>备案结果。</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ascii="黑体" w:hAnsi="黑体" w:eastAsia="黑体" w:cs="黑体"/>
          <w:sz w:val="32"/>
          <w:szCs w:val="32"/>
        </w:rPr>
      </w:pPr>
      <w:r>
        <w:rPr>
          <w:rFonts w:hint="eastAsia" w:ascii="黑体" w:hAnsi="黑体" w:eastAsia="黑体" w:cs="黑体"/>
          <w:sz w:val="32"/>
          <w:szCs w:val="32"/>
        </w:rPr>
        <w:t xml:space="preserve">第四章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备案关注事项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第十一条 </w:t>
      </w: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备案机构应</w:t>
      </w:r>
      <w:r>
        <w:rPr>
          <w:rFonts w:ascii="Times New Roman" w:hAnsi="Times New Roman" w:eastAsia="仿宋_GB2312" w:cs="Times New Roman"/>
          <w:sz w:val="32"/>
          <w:szCs w:val="32"/>
        </w:rPr>
        <w:t>对以下事项</w:t>
      </w:r>
      <w:r>
        <w:rPr>
          <w:rFonts w:hint="eastAsia" w:ascii="Times New Roman" w:hAnsi="Times New Roman" w:eastAsia="仿宋_GB2312" w:cs="Times New Roman"/>
          <w:sz w:val="32"/>
          <w:szCs w:val="32"/>
        </w:rPr>
        <w:t>予以关注</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lang w:val="en-US" w:eastAsia="zh-CN"/>
        </w:rPr>
        <w:t>.</w:t>
      </w:r>
      <w:r>
        <w:rPr>
          <w:rFonts w:ascii="Times New Roman" w:hAnsi="Times New Roman" w:eastAsia="仿宋_GB2312" w:cs="Times New Roman"/>
          <w:sz w:val="32"/>
          <w:szCs w:val="32"/>
        </w:rPr>
        <w:t>申报材料是否符合国家</w:t>
      </w:r>
      <w:r>
        <w:rPr>
          <w:rFonts w:hint="eastAsia" w:ascii="Times New Roman" w:hAnsi="Times New Roman" w:eastAsia="仿宋_GB2312" w:cs="Times New Roman"/>
          <w:sz w:val="32"/>
          <w:szCs w:val="32"/>
        </w:rPr>
        <w:t>和我</w:t>
      </w:r>
      <w:r>
        <w:rPr>
          <w:rFonts w:ascii="Times New Roman" w:hAnsi="Times New Roman" w:eastAsia="仿宋_GB2312" w:cs="Times New Roman"/>
          <w:sz w:val="32"/>
          <w:szCs w:val="32"/>
        </w:rPr>
        <w:t>省法律法规及有关管理制度；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lang w:val="en-US" w:eastAsia="zh-CN"/>
        </w:rPr>
        <w:t>.</w:t>
      </w:r>
      <w:r>
        <w:rPr>
          <w:rFonts w:ascii="Times New Roman" w:hAnsi="Times New Roman" w:eastAsia="仿宋_GB2312" w:cs="Times New Roman"/>
          <w:sz w:val="32"/>
          <w:szCs w:val="32"/>
        </w:rPr>
        <w:t>是否符合申请备案的时限要求；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lang w:val="en-US" w:eastAsia="zh-CN"/>
        </w:rPr>
        <w:t>.</w:t>
      </w:r>
      <w:r>
        <w:rPr>
          <w:rFonts w:ascii="Times New Roman" w:hAnsi="Times New Roman" w:eastAsia="仿宋_GB2312" w:cs="Times New Roman"/>
          <w:sz w:val="32"/>
          <w:szCs w:val="32"/>
        </w:rPr>
        <w:t>是否</w:t>
      </w:r>
      <w:r>
        <w:rPr>
          <w:rFonts w:hint="eastAsia" w:ascii="Times New Roman" w:hAnsi="Times New Roman" w:eastAsia="仿宋_GB2312" w:cs="Times New Roman"/>
          <w:sz w:val="32"/>
          <w:szCs w:val="32"/>
        </w:rPr>
        <w:t>采用陕西省省直政府投资项目代建单位</w:t>
      </w:r>
      <w:r>
        <w:rPr>
          <w:rFonts w:ascii="Times New Roman" w:hAnsi="Times New Roman" w:eastAsia="仿宋_GB2312" w:cs="Times New Roman"/>
          <w:sz w:val="32"/>
          <w:szCs w:val="32"/>
        </w:rPr>
        <w:t>招标文件</w:t>
      </w:r>
      <w:r>
        <w:rPr>
          <w:rFonts w:hint="eastAsia" w:ascii="Times New Roman" w:hAnsi="Times New Roman" w:eastAsia="仿宋_GB2312" w:cs="Times New Roman"/>
          <w:sz w:val="32"/>
          <w:szCs w:val="32"/>
        </w:rPr>
        <w:t>示范</w:t>
      </w:r>
      <w:r>
        <w:rPr>
          <w:rFonts w:ascii="Times New Roman" w:hAnsi="Times New Roman" w:eastAsia="仿宋_GB2312" w:cs="Times New Roman"/>
          <w:sz w:val="32"/>
          <w:szCs w:val="32"/>
        </w:rPr>
        <w:t>文本；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lang w:val="en-US" w:eastAsia="zh-CN"/>
        </w:rPr>
        <w:t>.</w:t>
      </w:r>
      <w:r>
        <w:rPr>
          <w:rFonts w:ascii="Times New Roman" w:hAnsi="Times New Roman" w:eastAsia="仿宋_GB2312" w:cs="Times New Roman"/>
          <w:sz w:val="32"/>
          <w:szCs w:val="32"/>
        </w:rPr>
        <w:t>是否存在歧视性、指向性或显失公平的条款等情况。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rPr>
        <w:t xml:space="preserve">  项目单位</w:t>
      </w:r>
      <w:r>
        <w:rPr>
          <w:rFonts w:ascii="Times New Roman" w:hAnsi="Times New Roman" w:eastAsia="仿宋_GB2312" w:cs="Times New Roman"/>
          <w:sz w:val="32"/>
          <w:szCs w:val="32"/>
        </w:rPr>
        <w:t>依据备案的招标文件依法依规发布招标公告，开展项目代建单位招标、评标工作。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代建单位招标文件</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备案3个月</w:t>
      </w:r>
      <w:r>
        <w:rPr>
          <w:rFonts w:hint="eastAsia" w:ascii="Times New Roman" w:hAnsi="Times New Roman" w:eastAsia="仿宋_GB2312" w:cs="Times New Roman"/>
          <w:sz w:val="32"/>
          <w:szCs w:val="32"/>
        </w:rPr>
        <w:t>内未招标的，项目单位</w:t>
      </w:r>
      <w:r>
        <w:rPr>
          <w:rFonts w:ascii="Times New Roman" w:hAnsi="Times New Roman" w:eastAsia="仿宋_GB2312" w:cs="Times New Roman"/>
          <w:sz w:val="32"/>
          <w:szCs w:val="32"/>
        </w:rPr>
        <w:t>应</w:t>
      </w:r>
      <w:r>
        <w:rPr>
          <w:rFonts w:hint="eastAsia" w:ascii="Times New Roman" w:hAnsi="Times New Roman" w:eastAsia="仿宋_GB2312" w:cs="Times New Roman"/>
          <w:sz w:val="32"/>
          <w:szCs w:val="32"/>
        </w:rPr>
        <w:t>于3个月期</w:t>
      </w:r>
      <w:r>
        <w:rPr>
          <w:rFonts w:ascii="Times New Roman" w:hAnsi="Times New Roman" w:eastAsia="仿宋_GB2312" w:cs="Times New Roman"/>
          <w:sz w:val="32"/>
          <w:szCs w:val="32"/>
        </w:rPr>
        <w:t>满前10日向备案</w:t>
      </w:r>
      <w:r>
        <w:rPr>
          <w:rFonts w:hint="eastAsia" w:ascii="Times New Roman" w:hAnsi="Times New Roman" w:eastAsia="仿宋_GB2312" w:cs="Times New Roman"/>
          <w:sz w:val="32"/>
          <w:szCs w:val="32"/>
        </w:rPr>
        <w:t>机构报告，说明未能招标原因及准备招标时间</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在发布招标公告前，如需对备案文件内容作出实质性修改，项目单位应及时以书面形式向原备案</w:t>
      </w:r>
      <w:r>
        <w:rPr>
          <w:rFonts w:hint="eastAsia" w:ascii="Times New Roman" w:hAnsi="Times New Roman" w:eastAsia="仿宋_GB2312" w:cs="Times New Roman"/>
          <w:sz w:val="32"/>
          <w:szCs w:val="32"/>
        </w:rPr>
        <w:t>机构</w:t>
      </w:r>
      <w:r>
        <w:rPr>
          <w:rFonts w:ascii="Times New Roman" w:hAnsi="Times New Roman" w:eastAsia="仿宋_GB2312" w:cs="Times New Roman"/>
          <w:sz w:val="32"/>
          <w:szCs w:val="32"/>
        </w:rPr>
        <w:t>报告。</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ascii="黑体" w:hAnsi="黑体" w:eastAsia="黑体" w:cs="黑体"/>
          <w:sz w:val="32"/>
          <w:szCs w:val="32"/>
        </w:rPr>
      </w:pPr>
      <w:r>
        <w:rPr>
          <w:rFonts w:hint="eastAsia" w:ascii="黑体" w:hAnsi="黑体" w:eastAsia="黑体" w:cs="黑体"/>
          <w:sz w:val="32"/>
          <w:szCs w:val="32"/>
        </w:rPr>
        <w:t xml:space="preserve">第五章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第十五条  备案机构及其工作人员应严格执行法律法规和本办法的有关规定，不得变相增减备案事项，不得拖延备案时限，不得以备案的名义变相审批。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第十六条  项目单位有下列情形之一的，由备案机构责令限期整改，拒不整改且情节严重的，按有关规定由相关部门依法依规追究责任：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应办理而未办理备案手续擅自启动代建单位招标的；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已办理备案</w:t>
      </w:r>
      <w:r>
        <w:rPr>
          <w:rFonts w:ascii="Times New Roman" w:hAnsi="Times New Roman" w:eastAsia="仿宋_GB2312" w:cs="Times New Roman"/>
          <w:sz w:val="32"/>
          <w:szCs w:val="32"/>
        </w:rPr>
        <w:t>擅自对招标文件进行修改的；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仿宋_GB2312" w:hAnsi="仿宋_GB2312" w:eastAsia="仿宋_GB2312" w:cs="仿宋_GB2312"/>
          <w:sz w:val="32"/>
          <w:szCs w:val="32"/>
          <w:lang w:val="en-US" w:eastAsia="zh-CN"/>
        </w:rPr>
        <w:t>.</w:t>
      </w:r>
      <w:r>
        <w:rPr>
          <w:rFonts w:ascii="Times New Roman" w:hAnsi="Times New Roman" w:eastAsia="仿宋_GB2312" w:cs="Times New Roman"/>
          <w:sz w:val="32"/>
          <w:szCs w:val="32"/>
        </w:rPr>
        <w:t>已办理备案但在备案有效期内不启动代建单位招标且不说明原因的。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条</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备案</w:t>
      </w:r>
      <w:r>
        <w:rPr>
          <w:rFonts w:hint="eastAsia" w:ascii="Times New Roman" w:hAnsi="Times New Roman" w:eastAsia="仿宋_GB2312" w:cs="Times New Roman"/>
          <w:sz w:val="32"/>
          <w:szCs w:val="32"/>
        </w:rPr>
        <w:t>机构</w:t>
      </w:r>
      <w:r>
        <w:rPr>
          <w:rFonts w:ascii="Times New Roman" w:hAnsi="Times New Roman" w:eastAsia="仿宋_GB2312" w:cs="Times New Roman"/>
          <w:sz w:val="32"/>
          <w:szCs w:val="32"/>
        </w:rPr>
        <w:t>应加强对代建项目招标</w:t>
      </w:r>
      <w:r>
        <w:rPr>
          <w:rFonts w:hint="eastAsia" w:ascii="Times New Roman" w:hAnsi="Times New Roman" w:eastAsia="仿宋_GB2312" w:cs="Times New Roman"/>
          <w:sz w:val="32"/>
          <w:szCs w:val="32"/>
        </w:rPr>
        <w:t>文件备案</w:t>
      </w:r>
      <w:r>
        <w:rPr>
          <w:rFonts w:ascii="Times New Roman" w:hAnsi="Times New Roman" w:eastAsia="仿宋_GB2312" w:cs="Times New Roman"/>
          <w:sz w:val="32"/>
          <w:szCs w:val="32"/>
        </w:rPr>
        <w:t>工作的核查</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跟踪服务。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ascii="黑体" w:hAnsi="黑体" w:eastAsia="黑体" w:cs="黑体"/>
          <w:sz w:val="32"/>
          <w:szCs w:val="32"/>
        </w:rPr>
      </w:pPr>
      <w:r>
        <w:rPr>
          <w:rFonts w:ascii="黑体" w:hAnsi="黑体" w:eastAsia="黑体" w:cs="黑体"/>
          <w:sz w:val="32"/>
          <w:szCs w:val="32"/>
        </w:rPr>
        <w:t>第六章</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ascii="黑体" w:hAnsi="黑体" w:eastAsia="黑体" w:cs="黑体"/>
          <w:sz w:val="32"/>
          <w:szCs w:val="32"/>
        </w:rPr>
        <w:t>其</w:t>
      </w:r>
      <w:r>
        <w:rPr>
          <w:rFonts w:hint="eastAsia" w:ascii="黑体" w:hAnsi="黑体" w:eastAsia="黑体" w:cs="黑体"/>
          <w:sz w:val="32"/>
          <w:szCs w:val="32"/>
          <w:lang w:val="en-US" w:eastAsia="zh-CN"/>
        </w:rPr>
        <w:t xml:space="preserve"> </w:t>
      </w:r>
      <w:r>
        <w:rPr>
          <w:rFonts w:ascii="黑体" w:hAnsi="黑体" w:eastAsia="黑体" w:cs="黑体"/>
          <w:sz w:val="32"/>
          <w:szCs w:val="32"/>
        </w:rPr>
        <w:t>他</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left"/>
        <w:textAlignment w:val="auto"/>
        <w:rPr>
          <w:rFonts w:ascii="Times New Roman" w:hAnsi="Times New Roman" w:eastAsia="仿宋_GB2312" w:cs="Times New Roman"/>
          <w:spacing w:val="-6"/>
          <w:sz w:val="32"/>
          <w:szCs w:val="32"/>
        </w:rPr>
      </w:pPr>
      <w:r>
        <w:rPr>
          <w:rFonts w:hint="eastAsia" w:ascii="黑体" w:hAnsi="黑体" w:eastAsia="黑体" w:cs="黑体"/>
          <w:sz w:val="32"/>
          <w:szCs w:val="32"/>
          <w:lang w:val="en-US" w:eastAsia="zh-CN"/>
        </w:rPr>
        <w:t xml:space="preserve">    </w:t>
      </w:r>
      <w:r>
        <w:rPr>
          <w:rFonts w:ascii="Times New Roman" w:hAnsi="Times New Roman" w:eastAsia="仿宋_GB2312" w:cs="Times New Roman"/>
          <w:spacing w:val="-6"/>
          <w:sz w:val="32"/>
          <w:szCs w:val="32"/>
        </w:rPr>
        <w:t>第十</w:t>
      </w:r>
      <w:r>
        <w:rPr>
          <w:rFonts w:hint="eastAsia" w:ascii="Times New Roman" w:hAnsi="Times New Roman" w:eastAsia="仿宋_GB2312" w:cs="Times New Roman"/>
          <w:spacing w:val="-6"/>
          <w:sz w:val="32"/>
          <w:szCs w:val="32"/>
        </w:rPr>
        <w:t>八</w:t>
      </w:r>
      <w:r>
        <w:rPr>
          <w:rFonts w:ascii="Times New Roman" w:hAnsi="Times New Roman" w:eastAsia="仿宋_GB2312" w:cs="Times New Roman"/>
          <w:spacing w:val="-6"/>
          <w:sz w:val="32"/>
          <w:szCs w:val="32"/>
        </w:rPr>
        <w:t>条</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spacing w:val="-6"/>
          <w:sz w:val="32"/>
          <w:szCs w:val="32"/>
        </w:rPr>
        <w:t>本备案办法自202</w:t>
      </w:r>
      <w:r>
        <w:rPr>
          <w:rFonts w:hint="eastAsia" w:ascii="Times New Roman" w:hAnsi="Times New Roman" w:eastAsia="仿宋_GB2312" w:cs="Times New Roman"/>
          <w:spacing w:val="-6"/>
          <w:sz w:val="32"/>
          <w:szCs w:val="32"/>
        </w:rPr>
        <w:t>2</w:t>
      </w:r>
      <w:r>
        <w:rPr>
          <w:rFonts w:ascii="Times New Roman" w:hAnsi="Times New Roman" w:eastAsia="仿宋_GB2312" w:cs="Times New Roman"/>
          <w:spacing w:val="-6"/>
          <w:sz w:val="32"/>
          <w:szCs w:val="32"/>
        </w:rPr>
        <w:t>年</w:t>
      </w:r>
      <w:r>
        <w:rPr>
          <w:rFonts w:hint="eastAsia" w:ascii="Times New Roman" w:hAnsi="Times New Roman" w:eastAsia="仿宋_GB2312" w:cs="Times New Roman"/>
          <w:spacing w:val="-6"/>
          <w:sz w:val="32"/>
          <w:szCs w:val="32"/>
          <w:lang w:val="en-US" w:eastAsia="zh-CN"/>
        </w:rPr>
        <w:t>5</w:t>
      </w:r>
      <w:r>
        <w:rPr>
          <w:rFonts w:ascii="Times New Roman" w:hAnsi="Times New Roman" w:eastAsia="仿宋_GB2312" w:cs="Times New Roman"/>
          <w:spacing w:val="-6"/>
          <w:sz w:val="32"/>
          <w:szCs w:val="32"/>
        </w:rPr>
        <w:t>月</w:t>
      </w:r>
      <w:r>
        <w:rPr>
          <w:rFonts w:hint="eastAsia" w:ascii="Times New Roman" w:hAnsi="Times New Roman" w:eastAsia="仿宋_GB2312" w:cs="Times New Roman"/>
          <w:spacing w:val="-6"/>
          <w:sz w:val="32"/>
          <w:szCs w:val="32"/>
          <w:lang w:val="en-US" w:eastAsia="zh-CN"/>
        </w:rPr>
        <w:t>8</w:t>
      </w:r>
      <w:r>
        <w:rPr>
          <w:rFonts w:ascii="Times New Roman" w:hAnsi="Times New Roman" w:eastAsia="仿宋_GB2312" w:cs="Times New Roman"/>
          <w:spacing w:val="-6"/>
          <w:sz w:val="32"/>
          <w:szCs w:val="32"/>
        </w:rPr>
        <w:t>日起</w:t>
      </w:r>
      <w:r>
        <w:rPr>
          <w:rFonts w:hint="eastAsia" w:ascii="Times New Roman" w:hAnsi="Times New Roman" w:eastAsia="仿宋_GB2312" w:cs="Times New Roman"/>
          <w:spacing w:val="-6"/>
          <w:sz w:val="32"/>
          <w:szCs w:val="32"/>
        </w:rPr>
        <w:t>施</w:t>
      </w:r>
      <w:r>
        <w:rPr>
          <w:rFonts w:ascii="Times New Roman" w:hAnsi="Times New Roman" w:eastAsia="仿宋_GB2312" w:cs="Times New Roman"/>
          <w:spacing w:val="-6"/>
          <w:sz w:val="32"/>
          <w:szCs w:val="32"/>
        </w:rPr>
        <w:t>行</w:t>
      </w:r>
      <w:r>
        <w:rPr>
          <w:rFonts w:hint="eastAsia" w:ascii="Times New Roman" w:hAnsi="Times New Roman" w:eastAsia="仿宋_GB2312" w:cs="Times New Roman"/>
          <w:spacing w:val="-6"/>
          <w:sz w:val="32"/>
          <w:szCs w:val="32"/>
        </w:rPr>
        <w:t>，有效期2年</w:t>
      </w:r>
      <w:r>
        <w:rPr>
          <w:rFonts w:ascii="Times New Roman" w:hAnsi="Times New Roman" w:eastAsia="仿宋_GB2312" w:cs="Times New Roman"/>
          <w:spacing w:val="-6"/>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p>
    <w:p>
      <w:pPr>
        <w:spacing w:line="57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w:t>
      </w:r>
      <w:r>
        <w:rPr>
          <w:rFonts w:hint="eastAsia" w:ascii="Times New Roman" w:hAnsi="Times New Roman" w:eastAsia="仿宋_GB2312" w:cs="Times New Roman"/>
          <w:sz w:val="32"/>
          <w:szCs w:val="32"/>
          <w:lang w:val="en-US" w:eastAsia="zh-CN"/>
        </w:rPr>
        <w:t>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省直</w:t>
      </w:r>
      <w:r>
        <w:rPr>
          <w:rFonts w:ascii="Times New Roman" w:hAnsi="Times New Roman" w:eastAsia="仿宋_GB2312" w:cs="Times New Roman"/>
          <w:sz w:val="32"/>
          <w:szCs w:val="32"/>
        </w:rPr>
        <w:t>政府投资项目代建单位招标文件备案表</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70" w:lineRule="exact"/>
        <w:jc w:val="center"/>
        <w:rPr>
          <w:rFonts w:hint="eastAsia" w:ascii="黑体" w:hAnsi="黑体" w:eastAsia="黑体" w:cs="黑体"/>
          <w:sz w:val="32"/>
          <w:szCs w:val="32"/>
        </w:rPr>
      </w:pPr>
      <w:r>
        <w:rPr>
          <w:rFonts w:hint="eastAsia" w:ascii="黑体" w:hAnsi="黑体" w:eastAsia="黑体" w:cs="黑体"/>
          <w:sz w:val="32"/>
          <w:szCs w:val="32"/>
        </w:rPr>
        <w:t>省直政府投资项目代建单位招标文件备案表</w:t>
      </w:r>
    </w:p>
    <w:tbl>
      <w:tblPr>
        <w:tblStyle w:val="22"/>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8"/>
        <w:gridCol w:w="6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948" w:type="dxa"/>
            <w:shd w:val="clear" w:color="auto" w:fill="auto"/>
            <w:vAlign w:val="center"/>
          </w:tcPr>
          <w:p>
            <w:pPr>
              <w:spacing w:line="400" w:lineRule="exact"/>
              <w:jc w:val="center"/>
              <w:rPr>
                <w:rFonts w:hint="eastAsia" w:ascii="仿宋_GB2312" w:hAnsi="仿宋_GB2312" w:eastAsia="仿宋_GB2312" w:cs="仿宋_GB2312"/>
                <w:sz w:val="24"/>
                <w:szCs w:val="24"/>
              </w:rPr>
            </w:pPr>
            <w:r>
              <w:rPr>
                <w:rFonts w:hint="eastAsia" w:ascii="黑体" w:hAnsi="黑体" w:eastAsia="黑体" w:cs="黑体"/>
                <w:kern w:val="0"/>
                <w:sz w:val="24"/>
                <w:szCs w:val="24"/>
              </w:rPr>
              <w:t>项目名称</w:t>
            </w:r>
          </w:p>
        </w:tc>
        <w:tc>
          <w:tcPr>
            <w:tcW w:w="6154" w:type="dxa"/>
            <w:shd w:val="clear" w:color="auto" w:fill="auto"/>
            <w:vAlign w:val="center"/>
          </w:tcPr>
          <w:p>
            <w:pPr>
              <w:spacing w:line="5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948"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招标人（章）</w:t>
            </w:r>
          </w:p>
        </w:tc>
        <w:tc>
          <w:tcPr>
            <w:tcW w:w="6154" w:type="dxa"/>
            <w:shd w:val="clear" w:color="auto" w:fill="auto"/>
            <w:vAlign w:val="center"/>
          </w:tcPr>
          <w:p>
            <w:pPr>
              <w:spacing w:line="5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948"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招标代理机构（章）</w:t>
            </w:r>
          </w:p>
        </w:tc>
        <w:tc>
          <w:tcPr>
            <w:tcW w:w="6154" w:type="dxa"/>
            <w:shd w:val="clear" w:color="auto" w:fill="auto"/>
            <w:vAlign w:val="center"/>
          </w:tcPr>
          <w:p>
            <w:pPr>
              <w:spacing w:line="5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8"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资金来源及落实情况</w:t>
            </w:r>
          </w:p>
        </w:tc>
        <w:tc>
          <w:tcPr>
            <w:tcW w:w="6154" w:type="dxa"/>
            <w:shd w:val="clear" w:color="auto" w:fill="auto"/>
            <w:vAlign w:val="center"/>
          </w:tcPr>
          <w:p>
            <w:pPr>
              <w:spacing w:line="5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8"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招标公告拟发布时间</w:t>
            </w:r>
          </w:p>
        </w:tc>
        <w:tc>
          <w:tcPr>
            <w:tcW w:w="6154" w:type="dxa"/>
            <w:shd w:val="clear" w:color="auto" w:fill="auto"/>
            <w:vAlign w:val="center"/>
          </w:tcPr>
          <w:p>
            <w:pPr>
              <w:spacing w:line="5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8"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开标评标地点</w:t>
            </w:r>
          </w:p>
        </w:tc>
        <w:tc>
          <w:tcPr>
            <w:tcW w:w="6154" w:type="dxa"/>
            <w:shd w:val="clear" w:color="auto" w:fill="auto"/>
            <w:vAlign w:val="center"/>
          </w:tcPr>
          <w:p>
            <w:pPr>
              <w:spacing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（省公共资源交易中心）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8"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项目投资控制目标</w:t>
            </w:r>
          </w:p>
        </w:tc>
        <w:tc>
          <w:tcPr>
            <w:tcW w:w="6154" w:type="dxa"/>
            <w:shd w:val="clear" w:color="auto" w:fill="auto"/>
            <w:vAlign w:val="center"/>
          </w:tcPr>
          <w:p>
            <w:pPr>
              <w:spacing w:line="5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8"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工程质量标准</w:t>
            </w:r>
          </w:p>
        </w:tc>
        <w:tc>
          <w:tcPr>
            <w:tcW w:w="6154" w:type="dxa"/>
            <w:shd w:val="clear" w:color="auto" w:fill="auto"/>
            <w:vAlign w:val="center"/>
          </w:tcPr>
          <w:p>
            <w:pPr>
              <w:spacing w:line="5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8"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代建周期</w:t>
            </w:r>
          </w:p>
        </w:tc>
        <w:tc>
          <w:tcPr>
            <w:tcW w:w="6154" w:type="dxa"/>
            <w:shd w:val="clear" w:color="auto" w:fill="auto"/>
            <w:vAlign w:val="center"/>
          </w:tcPr>
          <w:p>
            <w:pPr>
              <w:spacing w:line="5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8"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代建招标范围及</w:t>
            </w:r>
          </w:p>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工作内容</w:t>
            </w:r>
          </w:p>
        </w:tc>
        <w:tc>
          <w:tcPr>
            <w:tcW w:w="6154" w:type="dxa"/>
            <w:shd w:val="clear" w:color="auto" w:fill="auto"/>
            <w:vAlign w:val="center"/>
          </w:tcPr>
          <w:p>
            <w:pPr>
              <w:spacing w:line="5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8"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投标人资格条件</w:t>
            </w:r>
          </w:p>
        </w:tc>
        <w:tc>
          <w:tcPr>
            <w:tcW w:w="6154" w:type="dxa"/>
            <w:shd w:val="clear" w:color="auto" w:fill="auto"/>
            <w:vAlign w:val="center"/>
          </w:tcPr>
          <w:p>
            <w:pPr>
              <w:spacing w:line="5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48"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代建项目经理基本要求</w:t>
            </w:r>
          </w:p>
        </w:tc>
        <w:tc>
          <w:tcPr>
            <w:tcW w:w="6154" w:type="dxa"/>
            <w:shd w:val="clear" w:color="auto" w:fill="auto"/>
            <w:vAlign w:val="center"/>
          </w:tcPr>
          <w:p>
            <w:pPr>
              <w:spacing w:line="5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948"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代建服务计费方式及</w:t>
            </w:r>
          </w:p>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支付方式</w:t>
            </w:r>
          </w:p>
        </w:tc>
        <w:tc>
          <w:tcPr>
            <w:tcW w:w="6154" w:type="dxa"/>
            <w:shd w:val="clear" w:color="auto" w:fill="auto"/>
            <w:vAlign w:val="center"/>
          </w:tcPr>
          <w:p>
            <w:pPr>
              <w:spacing w:line="5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8"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代建履约保证金费率</w:t>
            </w:r>
          </w:p>
        </w:tc>
        <w:tc>
          <w:tcPr>
            <w:tcW w:w="6154" w:type="dxa"/>
            <w:shd w:val="clear" w:color="auto" w:fill="auto"/>
            <w:vAlign w:val="center"/>
          </w:tcPr>
          <w:p>
            <w:pPr>
              <w:spacing w:line="5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48"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招标文件与格式文本</w:t>
            </w:r>
          </w:p>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相比较的修改汇总</w:t>
            </w:r>
          </w:p>
        </w:tc>
        <w:tc>
          <w:tcPr>
            <w:tcW w:w="6154" w:type="dxa"/>
            <w:shd w:val="clear" w:color="auto" w:fill="auto"/>
            <w:vAlign w:val="center"/>
          </w:tcPr>
          <w:p>
            <w:pPr>
              <w:spacing w:line="5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8"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备案申请时间</w:t>
            </w:r>
          </w:p>
        </w:tc>
        <w:tc>
          <w:tcPr>
            <w:tcW w:w="6154" w:type="dxa"/>
            <w:shd w:val="clear" w:color="auto" w:fill="auto"/>
            <w:vAlign w:val="center"/>
          </w:tcPr>
          <w:p>
            <w:pPr>
              <w:spacing w:line="5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8"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备案机构意见</w:t>
            </w:r>
          </w:p>
        </w:tc>
        <w:tc>
          <w:tcPr>
            <w:tcW w:w="6154" w:type="dxa"/>
            <w:shd w:val="clear" w:color="auto" w:fill="auto"/>
            <w:vAlign w:val="center"/>
          </w:tcPr>
          <w:p>
            <w:pPr>
              <w:spacing w:line="500" w:lineRule="exact"/>
              <w:jc w:val="center"/>
              <w:rPr>
                <w:rFonts w:hint="eastAsia" w:ascii="仿宋_GB2312" w:hAnsi="仿宋_GB2312" w:eastAsia="仿宋_GB2312" w:cs="仿宋_GB2312"/>
                <w:kern w:val="0"/>
                <w:sz w:val="24"/>
                <w:szCs w:val="24"/>
              </w:rPr>
            </w:pPr>
          </w:p>
        </w:tc>
      </w:tr>
    </w:tbl>
    <w:p>
      <w:pPr>
        <w:spacing w:beforeLines="50" w:line="500" w:lineRule="exact"/>
        <w:jc w:val="left"/>
        <w:rPr>
          <w:rFonts w:hint="eastAsia" w:ascii="楷体_GB2312" w:hAnsi="楷体_GB2312" w:eastAsia="楷体_GB2312" w:cs="楷体_GB2312"/>
          <w:sz w:val="24"/>
        </w:rPr>
      </w:pPr>
      <w:r>
        <w:rPr>
          <w:rFonts w:hint="eastAsia" w:ascii="楷体_GB2312" w:hAnsi="楷体_GB2312" w:eastAsia="楷体_GB2312" w:cs="楷体_GB2312"/>
          <w:sz w:val="24"/>
        </w:rPr>
        <w:t>联系人：            联系电话：              填表时间：     年    月   日</w:t>
      </w:r>
    </w:p>
    <w:p>
      <w:pPr>
        <w:pStyle w:val="32"/>
        <w:snapToGrid w:val="0"/>
        <w:spacing w:line="572" w:lineRule="exact"/>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line="572"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陕西省省直政府投资项目</w:t>
      </w:r>
    </w:p>
    <w:p>
      <w:pPr>
        <w:spacing w:line="572"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代建合同备案办法（试行）</w:t>
      </w:r>
    </w:p>
    <w:p>
      <w:pPr>
        <w:pStyle w:val="2"/>
        <w:spacing w:line="572" w:lineRule="exact"/>
      </w:pPr>
    </w:p>
    <w:p>
      <w:pPr>
        <w:spacing w:beforeLines="50" w:afterLines="50" w:line="572" w:lineRule="exact"/>
        <w:jc w:val="center"/>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第一条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为推进</w:t>
      </w:r>
      <w:r>
        <w:rPr>
          <w:rFonts w:hint="eastAsia" w:ascii="Times New Roman" w:hAnsi="Times New Roman" w:eastAsia="仿宋_GB2312" w:cs="Times New Roman"/>
          <w:sz w:val="32"/>
          <w:szCs w:val="32"/>
        </w:rPr>
        <w:t>陕西</w:t>
      </w:r>
      <w:r>
        <w:rPr>
          <w:rFonts w:ascii="Times New Roman" w:hAnsi="Times New Roman" w:eastAsia="仿宋_GB2312" w:cs="Times New Roman"/>
          <w:sz w:val="32"/>
          <w:szCs w:val="32"/>
        </w:rPr>
        <w:t>省</w:t>
      </w:r>
      <w:r>
        <w:rPr>
          <w:rFonts w:hint="eastAsia" w:ascii="Times New Roman" w:hAnsi="Times New Roman" w:eastAsia="仿宋_GB2312" w:cs="Times New Roman"/>
          <w:sz w:val="32"/>
          <w:szCs w:val="32"/>
        </w:rPr>
        <w:t>省直</w:t>
      </w:r>
      <w:r>
        <w:rPr>
          <w:rFonts w:ascii="Times New Roman" w:hAnsi="Times New Roman" w:eastAsia="仿宋_GB2312" w:cs="Times New Roman"/>
          <w:sz w:val="32"/>
          <w:szCs w:val="32"/>
        </w:rPr>
        <w:t>政府投资项目代建制工作</w:t>
      </w:r>
      <w:r>
        <w:rPr>
          <w:rFonts w:hint="eastAsia" w:ascii="Times New Roman" w:hAnsi="Times New Roman" w:eastAsia="仿宋_GB2312" w:cs="Times New Roman"/>
          <w:sz w:val="32"/>
          <w:szCs w:val="32"/>
          <w:lang w:val="en-US" w:eastAsia="zh-CN"/>
        </w:rPr>
        <w:t>依法</w:t>
      </w:r>
      <w:r>
        <w:rPr>
          <w:rFonts w:ascii="Times New Roman" w:hAnsi="Times New Roman" w:eastAsia="仿宋_GB2312" w:cs="Times New Roman"/>
          <w:sz w:val="32"/>
          <w:szCs w:val="32"/>
        </w:rPr>
        <w:t>、有序、公平开展，明晰代建各方主体权利与义务，规范代建合同备案程序，根据《陕西省</w:t>
      </w:r>
      <w:r>
        <w:rPr>
          <w:rFonts w:hint="eastAsia" w:ascii="Times New Roman" w:hAnsi="Times New Roman" w:eastAsia="仿宋_GB2312" w:cs="Times New Roman"/>
          <w:sz w:val="32"/>
          <w:szCs w:val="32"/>
        </w:rPr>
        <w:t>省直</w:t>
      </w:r>
      <w:r>
        <w:rPr>
          <w:rFonts w:ascii="Times New Roman" w:hAnsi="Times New Roman" w:eastAsia="仿宋_GB2312" w:cs="Times New Roman"/>
          <w:sz w:val="32"/>
          <w:szCs w:val="32"/>
        </w:rPr>
        <w:t>政府投资项目代建制管理办法</w:t>
      </w:r>
      <w:r>
        <w:rPr>
          <w:rFonts w:hint="eastAsia" w:ascii="Times New Roman" w:hAnsi="Times New Roman" w:eastAsia="仿宋_GB2312" w:cs="Times New Roman"/>
          <w:sz w:val="32"/>
          <w:szCs w:val="32"/>
        </w:rPr>
        <w:t>（试行）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陕发改投资〔2021〕1410号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陕西</w:t>
      </w:r>
      <w:r>
        <w:rPr>
          <w:rFonts w:ascii="Times New Roman" w:hAnsi="Times New Roman" w:eastAsia="仿宋_GB2312" w:cs="Times New Roman"/>
          <w:sz w:val="32"/>
          <w:szCs w:val="32"/>
        </w:rPr>
        <w:t>省</w:t>
      </w:r>
      <w:r>
        <w:rPr>
          <w:rFonts w:hint="eastAsia" w:ascii="Times New Roman" w:hAnsi="Times New Roman" w:eastAsia="仿宋_GB2312" w:cs="Times New Roman"/>
          <w:sz w:val="32"/>
          <w:szCs w:val="32"/>
        </w:rPr>
        <w:t>省直政府投资项目代建单位招标投标办法（试行）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制订</w:t>
      </w:r>
      <w:r>
        <w:rPr>
          <w:rFonts w:hint="eastAsia" w:ascii="Times New Roman" w:hAnsi="Times New Roman" w:eastAsia="仿宋_GB2312" w:cs="Times New Roman"/>
          <w:sz w:val="32"/>
          <w:szCs w:val="32"/>
        </w:rPr>
        <w:t>本</w:t>
      </w:r>
      <w:r>
        <w:rPr>
          <w:rFonts w:ascii="Times New Roman" w:hAnsi="Times New Roman" w:eastAsia="仿宋_GB2312" w:cs="Times New Roman"/>
          <w:sz w:val="32"/>
          <w:szCs w:val="32"/>
        </w:rPr>
        <w:t>办法。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第二条</w:t>
      </w:r>
      <w:r>
        <w:rPr>
          <w:rFonts w:hint="eastAsia" w:ascii="Times New Roman" w:hAnsi="Times New Roman" w:eastAsia="仿宋_GB2312" w:cs="Times New Roman"/>
          <w:sz w:val="32"/>
          <w:szCs w:val="32"/>
        </w:rPr>
        <w:t xml:space="preserve">  按规定实行代建制的省直非经营性政府投资项目</w:t>
      </w:r>
      <w:r>
        <w:rPr>
          <w:rFonts w:ascii="Times New Roman" w:hAnsi="Times New Roman" w:eastAsia="仿宋_GB2312" w:cs="Times New Roman"/>
          <w:sz w:val="32"/>
          <w:szCs w:val="32"/>
        </w:rPr>
        <w:t>，在代建合同自签订之日起10日内，按照本办法规定</w:t>
      </w:r>
      <w:r>
        <w:rPr>
          <w:rFonts w:hint="eastAsia" w:ascii="Times New Roman" w:hAnsi="Times New Roman" w:eastAsia="仿宋_GB2312" w:cs="Times New Roman"/>
          <w:sz w:val="32"/>
          <w:szCs w:val="32"/>
        </w:rPr>
        <w:t>实行</w:t>
      </w:r>
      <w:r>
        <w:rPr>
          <w:rFonts w:ascii="Times New Roman" w:hAnsi="Times New Roman" w:eastAsia="仿宋_GB2312" w:cs="Times New Roman"/>
          <w:sz w:val="32"/>
          <w:szCs w:val="32"/>
        </w:rPr>
        <w:t>代建合同备案。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第三条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省发展改革委对</w:t>
      </w:r>
      <w:r>
        <w:rPr>
          <w:rFonts w:hint="eastAsia" w:ascii="Times New Roman" w:hAnsi="Times New Roman" w:eastAsia="仿宋_GB2312" w:cs="Times New Roman"/>
          <w:sz w:val="32"/>
          <w:szCs w:val="32"/>
        </w:rPr>
        <w:t>实行代建制的省直政府投资项目</w:t>
      </w:r>
      <w:r>
        <w:rPr>
          <w:rFonts w:ascii="Times New Roman" w:hAnsi="Times New Roman" w:eastAsia="仿宋_GB2312" w:cs="Times New Roman"/>
          <w:sz w:val="32"/>
          <w:szCs w:val="32"/>
        </w:rPr>
        <w:t>代建合同备案工作进行指导、协调和监督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省发展改革委</w:t>
      </w:r>
      <w:r>
        <w:rPr>
          <w:rFonts w:hint="eastAsia" w:ascii="Times New Roman" w:hAnsi="Times New Roman" w:eastAsia="仿宋_GB2312" w:cs="Times New Roman"/>
          <w:sz w:val="32"/>
          <w:szCs w:val="32"/>
        </w:rPr>
        <w:t>委托陕西省重大项目储备推进中心依法依规履行备案机构职责，</w:t>
      </w:r>
      <w:r>
        <w:rPr>
          <w:rFonts w:ascii="Times New Roman" w:hAnsi="Times New Roman" w:eastAsia="仿宋_GB2312" w:cs="Times New Roman"/>
          <w:sz w:val="32"/>
          <w:szCs w:val="32"/>
        </w:rPr>
        <w:t>负责代建合同备案</w:t>
      </w:r>
      <w:r>
        <w:rPr>
          <w:rFonts w:hint="eastAsia" w:ascii="Times New Roman" w:hAnsi="Times New Roman" w:eastAsia="仿宋_GB2312" w:cs="Times New Roman"/>
          <w:sz w:val="32"/>
          <w:szCs w:val="32"/>
        </w:rPr>
        <w:t>具体</w:t>
      </w:r>
      <w:r>
        <w:rPr>
          <w:rFonts w:ascii="Times New Roman" w:hAnsi="Times New Roman" w:eastAsia="仿宋_GB2312" w:cs="Times New Roman"/>
          <w:sz w:val="32"/>
          <w:szCs w:val="32"/>
        </w:rPr>
        <w:t>工作。</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备案内容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第四条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项目单位应会同代建单位向</w:t>
      </w:r>
      <w:r>
        <w:rPr>
          <w:rFonts w:hint="eastAsia" w:ascii="Times New Roman" w:hAnsi="Times New Roman" w:eastAsia="仿宋_GB2312" w:cs="Times New Roman"/>
          <w:sz w:val="32"/>
          <w:szCs w:val="32"/>
        </w:rPr>
        <w:t>备案机构</w:t>
      </w:r>
      <w:r>
        <w:rPr>
          <w:rFonts w:ascii="Times New Roman" w:hAnsi="Times New Roman" w:eastAsia="仿宋_GB2312" w:cs="Times New Roman"/>
          <w:sz w:val="32"/>
          <w:szCs w:val="32"/>
        </w:rPr>
        <w:t>提交项目代建合同备案申请报告，填写好备案表（见附</w:t>
      </w:r>
      <w:r>
        <w:rPr>
          <w:rFonts w:hint="eastAsia" w:ascii="Times New Roman" w:hAnsi="Times New Roman" w:eastAsia="仿宋_GB2312" w:cs="Times New Roman"/>
          <w:sz w:val="32"/>
          <w:szCs w:val="32"/>
          <w:lang w:val="en-US" w:eastAsia="zh-CN"/>
        </w:rPr>
        <w:t>件</w:t>
      </w:r>
      <w:r>
        <w:rPr>
          <w:rFonts w:hint="eastAsia" w:ascii="Times New Roman" w:hAnsi="Times New Roman" w:eastAsia="仿宋_GB2312" w:cs="Times New Roman"/>
          <w:sz w:val="32"/>
          <w:szCs w:val="32"/>
        </w:rPr>
        <w:t>，一式三份</w:t>
      </w:r>
      <w:r>
        <w:rPr>
          <w:rFonts w:ascii="Times New Roman" w:hAnsi="Times New Roman" w:eastAsia="仿宋_GB2312" w:cs="Times New Roman"/>
          <w:sz w:val="32"/>
          <w:szCs w:val="32"/>
        </w:rPr>
        <w:t>），并附备案的代建合同（一式</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份）。</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第五条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备案报告应包括以下内容：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合同签订人及签订时间；</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代建管理工作范围，投资、质量、进度、安全等控制目标；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代建服务费合同金额</w:t>
      </w:r>
      <w:r>
        <w:rPr>
          <w:rFonts w:hint="eastAsia" w:ascii="Times New Roman" w:hAnsi="Times New Roman" w:eastAsia="仿宋_GB2312" w:cs="Times New Roman"/>
          <w:sz w:val="32"/>
          <w:szCs w:val="32"/>
        </w:rPr>
        <w:t>或费</w:t>
      </w:r>
      <w:r>
        <w:rPr>
          <w:rFonts w:ascii="Times New Roman" w:hAnsi="Times New Roman" w:eastAsia="仿宋_GB2312" w:cs="Times New Roman"/>
          <w:sz w:val="32"/>
          <w:szCs w:val="32"/>
        </w:rPr>
        <w:t>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与经备案的招标文件中有关内容相比较发生变化的情况；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合同真实性承诺</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其他需要的资料。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第六条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项目单位对申请材料的真实性、完整性负责。</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备案程序与时限</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第七条  </w:t>
      </w:r>
      <w:r>
        <w:rPr>
          <w:rFonts w:ascii="Times New Roman" w:hAnsi="Times New Roman" w:eastAsia="仿宋_GB2312" w:cs="Times New Roman"/>
          <w:sz w:val="32"/>
          <w:szCs w:val="32"/>
        </w:rPr>
        <w:t>项目单位会同代建单位按时间要求将代建合同备案材料报送</w:t>
      </w:r>
      <w:r>
        <w:rPr>
          <w:rFonts w:hint="eastAsia" w:ascii="Times New Roman" w:hAnsi="Times New Roman" w:eastAsia="仿宋_GB2312" w:cs="Times New Roman"/>
          <w:sz w:val="32"/>
          <w:szCs w:val="32"/>
        </w:rPr>
        <w:t>备案机构</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第八条  备案机构</w:t>
      </w:r>
      <w:r>
        <w:rPr>
          <w:rFonts w:ascii="Times New Roman" w:hAnsi="Times New Roman" w:eastAsia="仿宋_GB2312" w:cs="Times New Roman"/>
          <w:sz w:val="32"/>
          <w:szCs w:val="32"/>
        </w:rPr>
        <w:t>收到</w:t>
      </w:r>
      <w:r>
        <w:rPr>
          <w:rFonts w:hint="eastAsia" w:ascii="Times New Roman" w:hAnsi="Times New Roman" w:eastAsia="仿宋_GB2312" w:cs="Times New Roman"/>
          <w:sz w:val="32"/>
          <w:szCs w:val="32"/>
        </w:rPr>
        <w:t>备案</w:t>
      </w:r>
      <w:r>
        <w:rPr>
          <w:rFonts w:ascii="Times New Roman" w:hAnsi="Times New Roman" w:eastAsia="仿宋_GB2312" w:cs="Times New Roman"/>
          <w:sz w:val="32"/>
          <w:szCs w:val="32"/>
        </w:rPr>
        <w:t>材料后，</w:t>
      </w:r>
      <w:r>
        <w:rPr>
          <w:rFonts w:hint="eastAsia" w:ascii="Times New Roman" w:hAnsi="Times New Roman" w:eastAsia="仿宋_GB2312" w:cs="Times New Roman"/>
          <w:sz w:val="32"/>
          <w:szCs w:val="32"/>
        </w:rPr>
        <w:t>对材料</w:t>
      </w:r>
      <w:r>
        <w:rPr>
          <w:rFonts w:ascii="Times New Roman" w:hAnsi="Times New Roman" w:eastAsia="仿宋_GB2312" w:cs="Times New Roman"/>
          <w:sz w:val="32"/>
          <w:szCs w:val="32"/>
        </w:rPr>
        <w:t>不齐全或不符合规定形式的，当场或在2个工作日内一次性告知</w:t>
      </w:r>
      <w:r>
        <w:rPr>
          <w:rFonts w:hint="eastAsia" w:ascii="Times New Roman" w:hAnsi="Times New Roman" w:eastAsia="仿宋_GB2312" w:cs="Times New Roman"/>
          <w:sz w:val="32"/>
          <w:szCs w:val="32"/>
        </w:rPr>
        <w:t>代建单位需要</w:t>
      </w:r>
      <w:r>
        <w:rPr>
          <w:rFonts w:ascii="Times New Roman" w:hAnsi="Times New Roman" w:eastAsia="仿宋_GB2312" w:cs="Times New Roman"/>
          <w:sz w:val="32"/>
          <w:szCs w:val="32"/>
        </w:rPr>
        <w:t>补齐、补正的全部内容，逾期不告知的，从收到申请材料之日起即为受理。</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第九条  备案机构对材料齐全、符合规定形式或代建单位按照要求已提交全部补正材料，符合备案要求的代建合同应予备案。</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第十条  符合备案的，备案机构应在作出决定后2个工作日内，在代建合同备案表上签署意见并加盖公章，及时告知项目单位和代建单位备案结果。</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ascii="黑体" w:hAnsi="黑体" w:eastAsia="黑体" w:cs="黑体"/>
          <w:sz w:val="32"/>
          <w:szCs w:val="32"/>
        </w:rPr>
      </w:pPr>
      <w:r>
        <w:rPr>
          <w:rFonts w:ascii="黑体" w:hAnsi="黑体" w:eastAsia="黑体" w:cs="黑体"/>
          <w:sz w:val="32"/>
          <w:szCs w:val="32"/>
        </w:rPr>
        <w:t>第四章</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ascii="黑体" w:hAnsi="黑体" w:eastAsia="黑体" w:cs="黑体"/>
          <w:sz w:val="32"/>
          <w:szCs w:val="32"/>
        </w:rPr>
        <w:t>备案</w:t>
      </w:r>
      <w:r>
        <w:rPr>
          <w:rFonts w:hint="eastAsia" w:ascii="黑体" w:hAnsi="黑体" w:eastAsia="黑体" w:cs="黑体"/>
          <w:sz w:val="32"/>
          <w:szCs w:val="32"/>
        </w:rPr>
        <w:t>关注事项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第十一条  备案机构</w:t>
      </w:r>
      <w:r>
        <w:rPr>
          <w:rFonts w:ascii="Times New Roman" w:hAnsi="Times New Roman" w:eastAsia="仿宋_GB2312" w:cs="Times New Roman"/>
          <w:sz w:val="32"/>
          <w:szCs w:val="32"/>
        </w:rPr>
        <w:t>对以下事项</w:t>
      </w:r>
      <w:r>
        <w:rPr>
          <w:rFonts w:hint="eastAsia" w:ascii="Times New Roman" w:hAnsi="Times New Roman" w:eastAsia="仿宋_GB2312" w:cs="Times New Roman"/>
          <w:sz w:val="32"/>
          <w:szCs w:val="32"/>
        </w:rPr>
        <w:t>予以关注</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代建合同是否符合国家</w:t>
      </w:r>
      <w:r>
        <w:rPr>
          <w:rFonts w:hint="eastAsia" w:ascii="Times New Roman" w:hAnsi="Times New Roman" w:eastAsia="仿宋_GB2312" w:cs="Times New Roman"/>
          <w:sz w:val="32"/>
          <w:szCs w:val="32"/>
        </w:rPr>
        <w:t>和我</w:t>
      </w:r>
      <w:r>
        <w:rPr>
          <w:rFonts w:ascii="Times New Roman" w:hAnsi="Times New Roman" w:eastAsia="仿宋_GB2312" w:cs="Times New Roman"/>
          <w:sz w:val="32"/>
          <w:szCs w:val="32"/>
        </w:rPr>
        <w:t>省法律法规及有关管理制度；</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合同签订</w:t>
      </w:r>
      <w:r>
        <w:rPr>
          <w:rFonts w:hint="eastAsia" w:ascii="Times New Roman" w:hAnsi="Times New Roman" w:eastAsia="仿宋_GB2312" w:cs="Times New Roman"/>
          <w:sz w:val="32"/>
          <w:szCs w:val="32"/>
        </w:rPr>
        <w:t>时</w:t>
      </w:r>
      <w:r>
        <w:rPr>
          <w:rFonts w:ascii="Times New Roman" w:hAnsi="Times New Roman" w:eastAsia="仿宋_GB2312" w:cs="Times New Roman"/>
          <w:sz w:val="32"/>
          <w:szCs w:val="32"/>
        </w:rPr>
        <w:t>间和申请备案时间是否符合规定要求；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是否存在增加或订立背离招投标文件约定的标的、价款、质量、履行期限等实质性内容的条款或协议。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第十二条  </w:t>
      </w:r>
      <w:r>
        <w:rPr>
          <w:rFonts w:ascii="Times New Roman" w:hAnsi="Times New Roman" w:eastAsia="仿宋_GB2312" w:cs="Times New Roman"/>
          <w:sz w:val="32"/>
          <w:szCs w:val="32"/>
        </w:rPr>
        <w:t>已经备案的代建合同，如需签订补充协议，</w:t>
      </w:r>
      <w:r>
        <w:rPr>
          <w:rFonts w:hint="eastAsia" w:ascii="Times New Roman" w:hAnsi="Times New Roman" w:eastAsia="仿宋_GB2312" w:cs="Times New Roman"/>
          <w:sz w:val="32"/>
          <w:szCs w:val="32"/>
        </w:rPr>
        <w:t>代建单位</w:t>
      </w:r>
      <w:r>
        <w:rPr>
          <w:rFonts w:ascii="Times New Roman" w:hAnsi="Times New Roman" w:eastAsia="仿宋_GB2312" w:cs="Times New Roman"/>
          <w:sz w:val="32"/>
          <w:szCs w:val="32"/>
        </w:rPr>
        <w:t>应及时以书面形式向原</w:t>
      </w:r>
      <w:r>
        <w:rPr>
          <w:rFonts w:hint="eastAsia" w:ascii="Times New Roman" w:hAnsi="Times New Roman" w:eastAsia="仿宋_GB2312" w:cs="Times New Roman"/>
          <w:sz w:val="32"/>
          <w:szCs w:val="32"/>
        </w:rPr>
        <w:t>备案机构</w:t>
      </w:r>
      <w:r>
        <w:rPr>
          <w:rFonts w:ascii="Times New Roman" w:hAnsi="Times New Roman" w:eastAsia="仿宋_GB2312" w:cs="Times New Roman"/>
          <w:sz w:val="32"/>
          <w:szCs w:val="32"/>
        </w:rPr>
        <w:t>报告。原</w:t>
      </w:r>
      <w:r>
        <w:rPr>
          <w:rFonts w:hint="eastAsia" w:ascii="Times New Roman" w:hAnsi="Times New Roman" w:eastAsia="仿宋_GB2312" w:cs="Times New Roman"/>
          <w:sz w:val="32"/>
          <w:szCs w:val="32"/>
        </w:rPr>
        <w:t>备案机构</w:t>
      </w:r>
      <w:r>
        <w:rPr>
          <w:rFonts w:ascii="Times New Roman" w:hAnsi="Times New Roman" w:eastAsia="仿宋_GB2312" w:cs="Times New Roman"/>
          <w:sz w:val="32"/>
          <w:szCs w:val="32"/>
        </w:rPr>
        <w:t>应根据有关规定和项目具体情况，出具书面意见明确同意签订补充协议、要求修改完善补充协议或不同意签订补充协议。同意签订补充协议</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经修改完善后同意签订补充协议的，补充协议也应报原</w:t>
      </w:r>
      <w:r>
        <w:rPr>
          <w:rFonts w:hint="eastAsia" w:ascii="Times New Roman" w:hAnsi="Times New Roman" w:eastAsia="仿宋_GB2312" w:cs="Times New Roman"/>
          <w:sz w:val="32"/>
          <w:szCs w:val="32"/>
        </w:rPr>
        <w:t>备案机构</w:t>
      </w:r>
      <w:r>
        <w:rPr>
          <w:rFonts w:ascii="Times New Roman" w:hAnsi="Times New Roman" w:eastAsia="仿宋_GB2312" w:cs="Times New Roman"/>
          <w:sz w:val="32"/>
          <w:szCs w:val="32"/>
        </w:rPr>
        <w:t>备案留存；不同意签订补充协议的，其所签订补充协议无效。</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ascii="黑体" w:hAnsi="黑体" w:eastAsia="黑体" w:cs="黑体"/>
          <w:sz w:val="32"/>
          <w:szCs w:val="32"/>
        </w:rPr>
      </w:pPr>
      <w:r>
        <w:rPr>
          <w:rFonts w:ascii="黑体" w:hAnsi="黑体" w:eastAsia="黑体" w:cs="黑体"/>
          <w:sz w:val="32"/>
          <w:szCs w:val="32"/>
        </w:rPr>
        <w:t>第五章</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ascii="黑体" w:hAnsi="黑体" w:eastAsia="黑体" w:cs="黑体"/>
          <w:sz w:val="32"/>
          <w:szCs w:val="32"/>
        </w:rPr>
        <w:t>监督管理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第十三条  备案机构</w:t>
      </w:r>
      <w:r>
        <w:rPr>
          <w:rFonts w:ascii="Times New Roman" w:hAnsi="Times New Roman" w:eastAsia="仿宋_GB2312" w:cs="Times New Roman"/>
          <w:sz w:val="32"/>
          <w:szCs w:val="32"/>
        </w:rPr>
        <w:t>及其工作人员应严格执行法律法规和本办法的有关规定，不得变相增减备案事项，不得拖延备案时限，不得以备案的名义变相审批。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第十四条  </w:t>
      </w:r>
      <w:r>
        <w:rPr>
          <w:rFonts w:ascii="Times New Roman" w:hAnsi="Times New Roman" w:eastAsia="仿宋_GB2312" w:cs="Times New Roman"/>
          <w:sz w:val="32"/>
          <w:szCs w:val="32"/>
        </w:rPr>
        <w:t>项目单位有下列情形之一的，由</w:t>
      </w:r>
      <w:r>
        <w:rPr>
          <w:rFonts w:hint="eastAsia" w:ascii="Times New Roman" w:hAnsi="Times New Roman" w:eastAsia="仿宋_GB2312" w:cs="Times New Roman"/>
          <w:sz w:val="32"/>
          <w:szCs w:val="32"/>
        </w:rPr>
        <w:t>备案机构</w:t>
      </w:r>
      <w:r>
        <w:rPr>
          <w:rFonts w:ascii="Times New Roman" w:hAnsi="Times New Roman" w:eastAsia="仿宋_GB2312" w:cs="Times New Roman"/>
          <w:sz w:val="32"/>
          <w:szCs w:val="32"/>
        </w:rPr>
        <w:t>责令限期整改，拒不整改且情节严重的，</w:t>
      </w:r>
      <w:r>
        <w:rPr>
          <w:rFonts w:hint="eastAsia" w:ascii="Times New Roman" w:hAnsi="Times New Roman" w:eastAsia="仿宋_GB2312" w:cs="Times New Roman"/>
          <w:sz w:val="32"/>
          <w:szCs w:val="32"/>
        </w:rPr>
        <w:t>按有关规定由相关部门</w:t>
      </w:r>
      <w:r>
        <w:rPr>
          <w:rFonts w:ascii="Times New Roman" w:hAnsi="Times New Roman" w:eastAsia="仿宋_GB2312" w:cs="Times New Roman"/>
          <w:sz w:val="32"/>
          <w:szCs w:val="32"/>
        </w:rPr>
        <w:t>依法依规追究责任：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未在规定时限内签订合同并申请备案，也未向</w:t>
      </w:r>
      <w:r>
        <w:rPr>
          <w:rFonts w:hint="eastAsia" w:ascii="Times New Roman" w:hAnsi="Times New Roman" w:eastAsia="仿宋_GB2312" w:cs="Times New Roman"/>
          <w:sz w:val="32"/>
          <w:szCs w:val="32"/>
        </w:rPr>
        <w:t>备案机构</w:t>
      </w:r>
      <w:r>
        <w:rPr>
          <w:rFonts w:ascii="Times New Roman" w:hAnsi="Times New Roman" w:eastAsia="仿宋_GB2312" w:cs="Times New Roman"/>
          <w:sz w:val="32"/>
          <w:szCs w:val="32"/>
        </w:rPr>
        <w:t>说明理由的；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应办理而未办理备案手续擅自启动项目后续实施的；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备案中发现有关问题、经</w:t>
      </w:r>
      <w:r>
        <w:rPr>
          <w:rFonts w:hint="eastAsia" w:ascii="Times New Roman" w:hAnsi="Times New Roman" w:eastAsia="仿宋_GB2312" w:cs="Times New Roman"/>
          <w:sz w:val="32"/>
          <w:szCs w:val="32"/>
        </w:rPr>
        <w:t>备案机构</w:t>
      </w:r>
      <w:r>
        <w:rPr>
          <w:rFonts w:ascii="Times New Roman" w:hAnsi="Times New Roman" w:eastAsia="仿宋_GB2312" w:cs="Times New Roman"/>
          <w:sz w:val="32"/>
          <w:szCs w:val="32"/>
        </w:rPr>
        <w:t>指出而拒不进行整改的；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已办理备案手续后擅自对代建合同进行修改、未经报告原</w:t>
      </w:r>
      <w:r>
        <w:rPr>
          <w:rFonts w:hint="eastAsia" w:ascii="Times New Roman" w:hAnsi="Times New Roman" w:eastAsia="仿宋_GB2312" w:cs="Times New Roman"/>
          <w:sz w:val="32"/>
          <w:szCs w:val="32"/>
        </w:rPr>
        <w:t>备案机构</w:t>
      </w:r>
      <w:r>
        <w:rPr>
          <w:rFonts w:ascii="Times New Roman" w:hAnsi="Times New Roman" w:eastAsia="仿宋_GB2312" w:cs="Times New Roman"/>
          <w:sz w:val="32"/>
          <w:szCs w:val="32"/>
        </w:rPr>
        <w:t>擅自签订补充协议或签订阴阳合同的。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代建单位有上述情形的，纳入代建单位监管评价不良记录，按有关规定给予处理。</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备案机构</w:t>
      </w:r>
      <w:r>
        <w:rPr>
          <w:rFonts w:ascii="Times New Roman" w:hAnsi="Times New Roman" w:eastAsia="仿宋_GB2312" w:cs="Times New Roman"/>
          <w:sz w:val="32"/>
          <w:szCs w:val="32"/>
        </w:rPr>
        <w:t>应加强对代建合同备案工作的核查</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跟踪服务。</w:t>
      </w: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ascii="黑体" w:hAnsi="黑体" w:eastAsia="黑体" w:cs="黑体"/>
          <w:sz w:val="32"/>
          <w:szCs w:val="32"/>
        </w:rPr>
      </w:pPr>
      <w:r>
        <w:rPr>
          <w:rFonts w:ascii="黑体" w:hAnsi="黑体" w:eastAsia="黑体" w:cs="黑体"/>
          <w:sz w:val="32"/>
          <w:szCs w:val="32"/>
        </w:rPr>
        <w:t>第六章</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ascii="黑体" w:hAnsi="黑体" w:eastAsia="黑体" w:cs="黑体"/>
          <w:sz w:val="32"/>
          <w:szCs w:val="32"/>
        </w:rPr>
        <w:t>其</w:t>
      </w:r>
      <w:r>
        <w:rPr>
          <w:rFonts w:hint="eastAsia" w:ascii="黑体" w:hAnsi="黑体" w:eastAsia="黑体" w:cs="黑体"/>
          <w:sz w:val="32"/>
          <w:szCs w:val="32"/>
          <w:lang w:val="en-US" w:eastAsia="zh-CN"/>
        </w:rPr>
        <w:t xml:space="preserve"> </w:t>
      </w:r>
      <w:r>
        <w:rPr>
          <w:rFonts w:ascii="黑体" w:hAnsi="黑体" w:eastAsia="黑体" w:cs="黑体"/>
          <w:sz w:val="32"/>
          <w:szCs w:val="32"/>
        </w:rPr>
        <w:t>他</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第十六条 </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本备案办法自202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日起</w:t>
      </w:r>
      <w:r>
        <w:rPr>
          <w:rFonts w:hint="eastAsia" w:ascii="Times New Roman" w:hAnsi="Times New Roman" w:eastAsia="仿宋_GB2312" w:cs="Times New Roman"/>
          <w:sz w:val="32"/>
          <w:szCs w:val="32"/>
        </w:rPr>
        <w:t>施</w:t>
      </w:r>
      <w:r>
        <w:rPr>
          <w:rFonts w:ascii="Times New Roman" w:hAnsi="Times New Roman" w:eastAsia="仿宋_GB2312" w:cs="Times New Roman"/>
          <w:sz w:val="32"/>
          <w:szCs w:val="32"/>
        </w:rPr>
        <w:t>行</w:t>
      </w:r>
      <w:r>
        <w:rPr>
          <w:rFonts w:hint="eastAsia" w:ascii="Times New Roman" w:hAnsi="Times New Roman" w:eastAsia="仿宋_GB2312" w:cs="Times New Roman"/>
          <w:sz w:val="32"/>
          <w:szCs w:val="32"/>
        </w:rPr>
        <w:t>，有效期2年</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w:t>
      </w:r>
      <w:r>
        <w:rPr>
          <w:rFonts w:hint="eastAsia" w:ascii="Times New Roman" w:hAnsi="Times New Roman" w:eastAsia="仿宋_GB2312" w:cs="Times New Roman"/>
          <w:sz w:val="32"/>
          <w:szCs w:val="32"/>
          <w:lang w:val="en-US" w:eastAsia="zh-CN"/>
        </w:rPr>
        <w:t>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省直</w:t>
      </w:r>
      <w:r>
        <w:rPr>
          <w:rFonts w:ascii="Times New Roman" w:hAnsi="Times New Roman" w:eastAsia="仿宋_GB2312" w:cs="Times New Roman"/>
          <w:sz w:val="32"/>
          <w:szCs w:val="32"/>
        </w:rPr>
        <w:t>政府投资项目代建合同备案表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省直政府投资项目代建合同备案表</w:t>
      </w:r>
    </w:p>
    <w:tbl>
      <w:tblPr>
        <w:tblStyle w:val="22"/>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4"/>
        <w:gridCol w:w="2410"/>
        <w:gridCol w:w="3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64"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项目名称</w:t>
            </w:r>
          </w:p>
        </w:tc>
        <w:tc>
          <w:tcPr>
            <w:tcW w:w="6138" w:type="dxa"/>
            <w:gridSpan w:val="2"/>
            <w:shd w:val="clear" w:color="auto" w:fill="auto"/>
            <w:vAlign w:val="center"/>
          </w:tcPr>
          <w:p>
            <w:pPr>
              <w:spacing w:line="4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64"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招标人（章）</w:t>
            </w:r>
          </w:p>
        </w:tc>
        <w:tc>
          <w:tcPr>
            <w:tcW w:w="6138" w:type="dxa"/>
            <w:gridSpan w:val="2"/>
            <w:shd w:val="clear" w:color="auto" w:fill="auto"/>
            <w:vAlign w:val="center"/>
          </w:tcPr>
          <w:p>
            <w:pPr>
              <w:spacing w:line="4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64"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中标人（章）</w:t>
            </w:r>
          </w:p>
        </w:tc>
        <w:tc>
          <w:tcPr>
            <w:tcW w:w="6138" w:type="dxa"/>
            <w:gridSpan w:val="2"/>
            <w:shd w:val="clear" w:color="auto" w:fill="auto"/>
            <w:vAlign w:val="center"/>
          </w:tcPr>
          <w:p>
            <w:pPr>
              <w:spacing w:line="4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64"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中标通知书发布时间</w:t>
            </w:r>
          </w:p>
        </w:tc>
        <w:tc>
          <w:tcPr>
            <w:tcW w:w="6138" w:type="dxa"/>
            <w:gridSpan w:val="2"/>
            <w:shd w:val="clear" w:color="auto" w:fill="auto"/>
            <w:vAlign w:val="center"/>
          </w:tcPr>
          <w:p>
            <w:pPr>
              <w:spacing w:line="4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964"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代建合同签订时间</w:t>
            </w:r>
          </w:p>
        </w:tc>
        <w:tc>
          <w:tcPr>
            <w:tcW w:w="6138" w:type="dxa"/>
            <w:gridSpan w:val="2"/>
            <w:shd w:val="clear" w:color="auto" w:fill="auto"/>
            <w:vAlign w:val="center"/>
          </w:tcPr>
          <w:p>
            <w:pPr>
              <w:spacing w:line="4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964"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代建管理主要范围</w:t>
            </w:r>
          </w:p>
        </w:tc>
        <w:tc>
          <w:tcPr>
            <w:tcW w:w="6138" w:type="dxa"/>
            <w:gridSpan w:val="2"/>
            <w:shd w:val="clear" w:color="auto" w:fill="auto"/>
            <w:vAlign w:val="center"/>
          </w:tcPr>
          <w:p>
            <w:pPr>
              <w:spacing w:line="4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964"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代建服务主要内容</w:t>
            </w:r>
          </w:p>
        </w:tc>
        <w:tc>
          <w:tcPr>
            <w:tcW w:w="6138" w:type="dxa"/>
            <w:gridSpan w:val="2"/>
            <w:shd w:val="clear" w:color="auto" w:fill="auto"/>
            <w:vAlign w:val="center"/>
          </w:tcPr>
          <w:p>
            <w:pPr>
              <w:spacing w:line="4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964"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代建周期</w:t>
            </w:r>
          </w:p>
        </w:tc>
        <w:tc>
          <w:tcPr>
            <w:tcW w:w="6138" w:type="dxa"/>
            <w:gridSpan w:val="2"/>
            <w:shd w:val="clear" w:color="auto" w:fill="auto"/>
            <w:vAlign w:val="center"/>
          </w:tcPr>
          <w:p>
            <w:pPr>
              <w:spacing w:line="4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64"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代建项目管理目标</w:t>
            </w:r>
          </w:p>
        </w:tc>
        <w:tc>
          <w:tcPr>
            <w:tcW w:w="6138" w:type="dxa"/>
            <w:gridSpan w:val="2"/>
            <w:shd w:val="clear" w:color="auto" w:fill="auto"/>
            <w:vAlign w:val="center"/>
          </w:tcPr>
          <w:p>
            <w:pPr>
              <w:spacing w:line="4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964"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代建服务费率及支付方式</w:t>
            </w:r>
          </w:p>
        </w:tc>
        <w:tc>
          <w:tcPr>
            <w:tcW w:w="6138" w:type="dxa"/>
            <w:gridSpan w:val="2"/>
            <w:shd w:val="clear" w:color="auto" w:fill="auto"/>
            <w:vAlign w:val="center"/>
          </w:tcPr>
          <w:p>
            <w:pPr>
              <w:spacing w:line="4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64" w:type="dxa"/>
            <w:vMerge w:val="restart"/>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代建项目经理</w:t>
            </w:r>
          </w:p>
        </w:tc>
        <w:tc>
          <w:tcPr>
            <w:tcW w:w="2410"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3728"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64" w:type="dxa"/>
            <w:vMerge w:val="continue"/>
            <w:shd w:val="clear" w:color="auto" w:fill="auto"/>
            <w:vAlign w:val="center"/>
          </w:tcPr>
          <w:p>
            <w:pPr>
              <w:spacing w:line="400" w:lineRule="exact"/>
              <w:jc w:val="center"/>
              <w:rPr>
                <w:rFonts w:hint="eastAsia" w:ascii="仿宋_GB2312" w:hAnsi="仿宋_GB2312" w:eastAsia="仿宋_GB2312" w:cs="仿宋_GB2312"/>
                <w:kern w:val="0"/>
                <w:sz w:val="24"/>
                <w:szCs w:val="24"/>
              </w:rPr>
            </w:pPr>
          </w:p>
        </w:tc>
        <w:tc>
          <w:tcPr>
            <w:tcW w:w="2410"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身份证号</w:t>
            </w:r>
          </w:p>
        </w:tc>
        <w:tc>
          <w:tcPr>
            <w:tcW w:w="3728"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64" w:type="dxa"/>
            <w:vMerge w:val="continue"/>
            <w:shd w:val="clear" w:color="auto" w:fill="auto"/>
            <w:vAlign w:val="center"/>
          </w:tcPr>
          <w:p>
            <w:pPr>
              <w:spacing w:line="400" w:lineRule="exact"/>
              <w:jc w:val="center"/>
              <w:rPr>
                <w:rFonts w:hint="eastAsia" w:ascii="仿宋_GB2312" w:hAnsi="仿宋_GB2312" w:eastAsia="仿宋_GB2312" w:cs="仿宋_GB2312"/>
                <w:kern w:val="0"/>
                <w:sz w:val="24"/>
                <w:szCs w:val="24"/>
              </w:rPr>
            </w:pPr>
          </w:p>
        </w:tc>
        <w:tc>
          <w:tcPr>
            <w:tcW w:w="2410"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资格证书种类</w:t>
            </w:r>
          </w:p>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及证书号</w:t>
            </w:r>
          </w:p>
        </w:tc>
        <w:tc>
          <w:tcPr>
            <w:tcW w:w="3728"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64"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代建履约保证金</w:t>
            </w:r>
          </w:p>
        </w:tc>
        <w:tc>
          <w:tcPr>
            <w:tcW w:w="6138" w:type="dxa"/>
            <w:gridSpan w:val="2"/>
            <w:shd w:val="clear" w:color="auto" w:fill="auto"/>
            <w:vAlign w:val="center"/>
          </w:tcPr>
          <w:p>
            <w:pPr>
              <w:spacing w:line="4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64"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代建合同与招标文件相关内容比较主要修改内容</w:t>
            </w:r>
          </w:p>
        </w:tc>
        <w:tc>
          <w:tcPr>
            <w:tcW w:w="6138" w:type="dxa"/>
            <w:gridSpan w:val="2"/>
            <w:shd w:val="clear" w:color="auto" w:fill="auto"/>
            <w:vAlign w:val="center"/>
          </w:tcPr>
          <w:p>
            <w:pPr>
              <w:spacing w:line="4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64"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备案申请时间</w:t>
            </w:r>
          </w:p>
        </w:tc>
        <w:tc>
          <w:tcPr>
            <w:tcW w:w="6138" w:type="dxa"/>
            <w:gridSpan w:val="2"/>
            <w:shd w:val="clear" w:color="auto" w:fill="auto"/>
            <w:vAlign w:val="center"/>
          </w:tcPr>
          <w:p>
            <w:pPr>
              <w:spacing w:line="400" w:lineRule="exact"/>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64" w:type="dxa"/>
            <w:shd w:val="clear" w:color="auto" w:fill="auto"/>
            <w:vAlign w:val="center"/>
          </w:tcPr>
          <w:p>
            <w:pPr>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备案机构意见</w:t>
            </w:r>
          </w:p>
        </w:tc>
        <w:tc>
          <w:tcPr>
            <w:tcW w:w="6138" w:type="dxa"/>
            <w:gridSpan w:val="2"/>
            <w:shd w:val="clear" w:color="auto" w:fill="auto"/>
            <w:vAlign w:val="center"/>
          </w:tcPr>
          <w:p>
            <w:pPr>
              <w:spacing w:line="400" w:lineRule="exact"/>
              <w:jc w:val="center"/>
              <w:rPr>
                <w:rFonts w:hint="eastAsia" w:ascii="仿宋_GB2312" w:hAnsi="仿宋_GB2312" w:eastAsia="仿宋_GB2312" w:cs="仿宋_GB2312"/>
                <w:kern w:val="0"/>
                <w:sz w:val="24"/>
                <w:szCs w:val="24"/>
              </w:rPr>
            </w:pPr>
          </w:p>
        </w:tc>
      </w:tr>
    </w:tbl>
    <w:p>
      <w:pPr>
        <w:spacing w:beforeLines="50" w:line="400" w:lineRule="exact"/>
        <w:rPr>
          <w:rFonts w:hint="eastAsia" w:ascii="楷体_GB2312" w:hAnsi="楷体_GB2312" w:eastAsia="楷体_GB2312" w:cs="楷体_GB2312"/>
          <w:sz w:val="24"/>
        </w:rPr>
      </w:pPr>
      <w:r>
        <w:rPr>
          <w:rFonts w:hint="eastAsia" w:ascii="楷体_GB2312" w:hAnsi="楷体_GB2312" w:eastAsia="楷体_GB2312" w:cs="楷体_GB2312"/>
          <w:sz w:val="24"/>
        </w:rPr>
        <w:t>联系人：              联系电话：               填表时间：   年   月   日</w:t>
      </w:r>
    </w:p>
    <w:p>
      <w:pPr>
        <w:pStyle w:val="2"/>
        <w:rPr>
          <w:rFonts w:hint="eastAsia" w:ascii="楷体_GB2312" w:hAnsi="楷体_GB2312" w:eastAsia="楷体_GB2312" w:cs="楷体_GB2312"/>
          <w:sz w:val="24"/>
        </w:rPr>
      </w:pPr>
    </w:p>
    <w:p>
      <w:pPr>
        <w:pStyle w:val="2"/>
        <w:rPr>
          <w:rFonts w:hint="eastAsia" w:ascii="楷体_GB2312" w:hAnsi="楷体_GB2312" w:eastAsia="楷体_GB2312" w:cs="楷体_GB2312"/>
          <w:sz w:val="24"/>
        </w:rPr>
      </w:pPr>
    </w:p>
    <w:p>
      <w:pPr>
        <w:pStyle w:val="32"/>
        <w:snapToGrid w:val="0"/>
        <w:spacing w:line="572" w:lineRule="exact"/>
        <w:ind w:firstLine="0" w:firstLineChars="0"/>
        <w:rPr>
          <w:rFonts w:ascii="Times New Roman" w:hAnsi="Times New Roman" w:eastAsia="方正小标宋简体" w:cs="Times New Roman"/>
          <w:sz w:val="44"/>
          <w:szCs w:val="44"/>
        </w:rPr>
      </w:pPr>
      <w:r>
        <w:rPr>
          <w:rFonts w:hint="eastAsia" w:ascii="黑体" w:hAnsi="黑体" w:eastAsia="黑体" w:cs="黑体"/>
          <w:sz w:val="32"/>
          <w:szCs w:val="32"/>
          <w:lang w:val="en-US" w:eastAsia="zh-CN"/>
        </w:rPr>
        <w:t>附件4</w:t>
      </w:r>
    </w:p>
    <w:p>
      <w:pPr>
        <w:spacing w:line="572" w:lineRule="exact"/>
        <w:jc w:val="center"/>
        <w:outlineLvl w:val="0"/>
        <w:rPr>
          <w:rFonts w:hint="eastAsia" w:ascii="黑体" w:hAnsi="黑体" w:eastAsia="黑体" w:cs="黑体"/>
          <w:sz w:val="32"/>
          <w:szCs w:val="32"/>
        </w:rPr>
      </w:pPr>
      <w:r>
        <w:rPr>
          <w:rFonts w:hint="eastAsia" w:ascii="黑体" w:hAnsi="黑体" w:eastAsia="黑体" w:cs="黑体"/>
          <w:sz w:val="32"/>
          <w:szCs w:val="32"/>
        </w:rPr>
        <w:t>陕西省省直政府投资项目</w:t>
      </w:r>
    </w:p>
    <w:p>
      <w:pPr>
        <w:spacing w:line="572" w:lineRule="exact"/>
        <w:jc w:val="center"/>
        <w:outlineLvl w:val="0"/>
        <w:rPr>
          <w:rFonts w:hint="eastAsia" w:ascii="黑体" w:hAnsi="黑体" w:eastAsia="黑体" w:cs="黑体"/>
          <w:sz w:val="32"/>
          <w:szCs w:val="32"/>
        </w:rPr>
      </w:pPr>
      <w:r>
        <w:rPr>
          <w:rFonts w:hint="eastAsia" w:ascii="黑体" w:hAnsi="黑体" w:eastAsia="黑体" w:cs="黑体"/>
          <w:sz w:val="32"/>
          <w:szCs w:val="32"/>
        </w:rPr>
        <w:t>代建单位监管评价办法（试行）</w:t>
      </w:r>
    </w:p>
    <w:p/>
    <w:p>
      <w:pPr>
        <w:adjustRightInd w:val="0"/>
        <w:snapToGrid w:val="0"/>
        <w:spacing w:beforeLines="50" w:afterLines="50" w:line="572"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第一章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总</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则</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为规范</w:t>
      </w:r>
      <w:r>
        <w:rPr>
          <w:rFonts w:hint="eastAsia" w:ascii="Times New Roman" w:hAnsi="Times New Roman" w:eastAsia="仿宋_GB2312" w:cs="Times New Roman"/>
          <w:sz w:val="32"/>
          <w:szCs w:val="32"/>
        </w:rPr>
        <w:t>陕西</w:t>
      </w:r>
      <w:r>
        <w:rPr>
          <w:rFonts w:ascii="Times New Roman" w:hAnsi="Times New Roman" w:eastAsia="仿宋_GB2312" w:cs="Times New Roman"/>
          <w:sz w:val="32"/>
          <w:szCs w:val="32"/>
        </w:rPr>
        <w:t>省省直政府投资项目代建单位行为，促进代建市场诚信建设，加强事中事后监管，促进代建行业健康有序发展，根据《陕西省省直政府投资项目代建制管理办法（试行）》（</w:t>
      </w:r>
      <w:r>
        <w:rPr>
          <w:rFonts w:hint="eastAsia" w:ascii="Times New Roman" w:hAnsi="Times New Roman" w:eastAsia="仿宋_GB2312" w:cs="Times New Roman"/>
          <w:sz w:val="32"/>
          <w:szCs w:val="32"/>
        </w:rPr>
        <w:t>陕</w:t>
      </w:r>
      <w:r>
        <w:rPr>
          <w:rFonts w:hint="eastAsia" w:eastAsia="仿宋_GB2312" w:cs="Times New Roman"/>
          <w:sz w:val="32"/>
          <w:szCs w:val="32"/>
        </w:rPr>
        <w:t>发改投资</w:t>
      </w:r>
      <w:r>
        <w:rPr>
          <w:rFonts w:hint="eastAsia" w:ascii="Times New Roman" w:hAnsi="Times New Roman" w:eastAsia="仿宋_GB2312" w:cs="Times New Roman"/>
          <w:sz w:val="32"/>
          <w:szCs w:val="32"/>
        </w:rPr>
        <w:t>〔2021〕1410</w:t>
      </w:r>
      <w:r>
        <w:rPr>
          <w:rFonts w:hint="eastAsia" w:eastAsia="仿宋_GB2312" w:cs="Times New Roman"/>
          <w:sz w:val="32"/>
          <w:szCs w:val="32"/>
        </w:rPr>
        <w:t>号</w:t>
      </w:r>
      <w:r>
        <w:rPr>
          <w:rFonts w:ascii="Times New Roman" w:hAnsi="Times New Roman" w:eastAsia="仿宋_GB2312" w:cs="Times New Roman"/>
          <w:sz w:val="32"/>
          <w:szCs w:val="32"/>
        </w:rPr>
        <w:t>）有关规定，结合我省实际，制定本办法。</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省发展改革委将已开展省直政府投资项目代建业务的代建单位纳入代建机构库进行管理。省级项目主管部门以及财政、审计、自然资源、住房城乡建设、机关事务管理等部门按照各自职责对代建单位实施监督管理。</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省发展改革委负责对代建机构库内代建单位的监管评价</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代建单位</w:t>
      </w:r>
      <w:r>
        <w:rPr>
          <w:rFonts w:hint="eastAsia" w:ascii="Times New Roman" w:hAnsi="Times New Roman" w:eastAsia="仿宋_GB2312" w:cs="Times New Roman"/>
          <w:sz w:val="32"/>
          <w:szCs w:val="32"/>
        </w:rPr>
        <w:t>监管评价可与代建项目中期评估相结合，根据项目实施进展情况，每年度适时开展一次。监管评价结果在省发展改革委网站公示，公示5日后，正式公布并相应更新代建机构库信息。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59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第二章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监管评价</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省发展改革委通过听取汇报、现场检查、查阅资料、外部评议，运用财政、审计、自然资源、住房城乡建设、机关事务管理等有关部门的监管信息等方式实施监管评价。监管评价具体内容按照代建单位考核评分表（</w:t>
      </w:r>
      <w:r>
        <w:rPr>
          <w:rFonts w:hint="eastAsia" w:ascii="Times New Roman" w:hAnsi="Times New Roman" w:eastAsia="仿宋_GB2312" w:cs="Times New Roman"/>
          <w:sz w:val="32"/>
          <w:szCs w:val="32"/>
          <w:lang w:eastAsia="zh-CN"/>
        </w:rPr>
        <w:t>附件</w:t>
      </w:r>
      <w:r>
        <w:rPr>
          <w:rFonts w:ascii="Times New Roman" w:hAnsi="Times New Roman" w:eastAsia="仿宋_GB2312" w:cs="Times New Roman"/>
          <w:sz w:val="32"/>
          <w:szCs w:val="32"/>
        </w:rPr>
        <w:t>1）执行。</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对代建项目的现场检查应对照“</w:t>
      </w:r>
      <w:r>
        <w:rPr>
          <w:rFonts w:hint="eastAsia" w:ascii="Times New Roman" w:hAnsi="Times New Roman" w:eastAsia="仿宋_GB2312" w:cs="Times New Roman"/>
          <w:sz w:val="32"/>
          <w:szCs w:val="32"/>
          <w:lang w:eastAsia="zh-CN"/>
        </w:rPr>
        <w:t>附件</w:t>
      </w:r>
      <w:r>
        <w:rPr>
          <w:rFonts w:ascii="Times New Roman" w:hAnsi="Times New Roman" w:eastAsia="仿宋_GB2312" w:cs="Times New Roman"/>
          <w:sz w:val="32"/>
          <w:szCs w:val="32"/>
        </w:rPr>
        <w:t>1”标准要求，根据项目实际进度检查其已开展的代建工作情况。现场检查主要核实扣分事项、直接记为C级或记为严重违法违约不良行为记录，应以书面形式建立监管评价档案，并保留现场照片、情况记录等现场资料证据，检查人员和被检代建单位人员应签字确认。代建单位如对现场检查结果有不同意见，可在</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个工作日内向省发展改革委申诉。如发现代建单位或代建项目</w:t>
      </w:r>
      <w:r>
        <w:rPr>
          <w:rFonts w:hint="eastAsia" w:ascii="Times New Roman" w:hAnsi="Times New Roman" w:eastAsia="仿宋_GB2312" w:cs="Times New Roman"/>
          <w:sz w:val="32"/>
          <w:szCs w:val="32"/>
        </w:rPr>
        <w:t>存在</w:t>
      </w:r>
      <w:r>
        <w:rPr>
          <w:rFonts w:ascii="Times New Roman" w:hAnsi="Times New Roman" w:eastAsia="仿宋_GB2312" w:cs="Times New Roman"/>
          <w:sz w:val="32"/>
          <w:szCs w:val="32"/>
        </w:rPr>
        <w:t>严重违法违约不良行为，</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省发展改革委在代建机构库中记录公布。</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省发展改革委按照代建单位</w:t>
      </w:r>
      <w:r>
        <w:rPr>
          <w:rFonts w:hint="eastAsia" w:ascii="Times New Roman" w:hAnsi="Times New Roman" w:eastAsia="仿宋_GB2312" w:cs="Times New Roman"/>
          <w:sz w:val="32"/>
          <w:szCs w:val="32"/>
        </w:rPr>
        <w:t>考核</w:t>
      </w:r>
      <w:r>
        <w:rPr>
          <w:rFonts w:ascii="Times New Roman" w:hAnsi="Times New Roman" w:eastAsia="仿宋_GB2312" w:cs="Times New Roman"/>
          <w:sz w:val="32"/>
          <w:szCs w:val="32"/>
        </w:rPr>
        <w:t>评价等级表（</w:t>
      </w:r>
      <w:r>
        <w:rPr>
          <w:rFonts w:hint="eastAsia" w:ascii="Times New Roman" w:hAnsi="Times New Roman" w:eastAsia="仿宋_GB2312" w:cs="Times New Roman"/>
          <w:sz w:val="32"/>
          <w:szCs w:val="32"/>
          <w:lang w:eastAsia="zh-CN"/>
        </w:rPr>
        <w:t>附件</w:t>
      </w:r>
      <w:r>
        <w:rPr>
          <w:rFonts w:ascii="Times New Roman" w:hAnsi="Times New Roman" w:eastAsia="仿宋_GB2312" w:cs="Times New Roman"/>
          <w:sz w:val="32"/>
          <w:szCs w:val="32"/>
        </w:rPr>
        <w:t>2）对代建单位进行统一评价。有多个被检项目的代建单位，以各项目得分的算术平均分作为代建单位考核得分。</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代建单位监管评价等级从高到低划分为</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个级别，即：A、B、C、D，其中：</w:t>
      </w:r>
    </w:p>
    <w:p>
      <w:pPr>
        <w:pStyle w:val="12"/>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A：年度考核得分</w:t>
      </w:r>
      <w:r>
        <w:rPr>
          <w:rFonts w:hint="eastAsia" w:ascii="Times New Roman" w:hAnsi="Times New Roman" w:eastAsia="仿宋_GB2312" w:cs="Times New Roman"/>
          <w:sz w:val="32"/>
          <w:szCs w:val="32"/>
        </w:rPr>
        <w:t>80</w:t>
      </w:r>
      <w:r>
        <w:rPr>
          <w:rFonts w:ascii="Times New Roman" w:hAnsi="Times New Roman" w:eastAsia="仿宋_GB2312" w:cs="Times New Roman"/>
          <w:sz w:val="32"/>
          <w:szCs w:val="32"/>
        </w:rPr>
        <w:t>分</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以上；</w:t>
      </w:r>
    </w:p>
    <w:p>
      <w:pPr>
        <w:pStyle w:val="12"/>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B：年度考核得分</w:t>
      </w:r>
      <w:r>
        <w:rPr>
          <w:rFonts w:hint="eastAsia" w:ascii="Times New Roman" w:hAnsi="Times New Roman" w:eastAsia="仿宋_GB2312" w:cs="Times New Roman"/>
          <w:sz w:val="32"/>
          <w:szCs w:val="32"/>
        </w:rPr>
        <w:t>60</w:t>
      </w:r>
      <w:r>
        <w:rPr>
          <w:rFonts w:ascii="Times New Roman" w:hAnsi="Times New Roman" w:eastAsia="仿宋_GB2312" w:cs="Times New Roman"/>
          <w:sz w:val="32"/>
          <w:szCs w:val="32"/>
        </w:rPr>
        <w:t>分</w:t>
      </w:r>
      <w:r>
        <w:rPr>
          <w:rFonts w:hint="eastAsia" w:ascii="Times New Roman" w:hAnsi="Times New Roman" w:eastAsia="仿宋_GB2312" w:cs="Times New Roman"/>
          <w:sz w:val="32"/>
          <w:szCs w:val="32"/>
        </w:rPr>
        <w:t>（含）—80分</w:t>
      </w:r>
      <w:r>
        <w:rPr>
          <w:rFonts w:ascii="Times New Roman" w:hAnsi="Times New Roman" w:eastAsia="仿宋_GB2312" w:cs="Times New Roman"/>
          <w:sz w:val="32"/>
          <w:szCs w:val="32"/>
        </w:rPr>
        <w:t>；</w:t>
      </w:r>
    </w:p>
    <w:p>
      <w:pPr>
        <w:pStyle w:val="12"/>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C：被直接记为</w:t>
      </w:r>
      <w:r>
        <w:rPr>
          <w:rFonts w:hint="eastAsia" w:ascii="Times New Roman" w:hAnsi="Times New Roman" w:eastAsia="仿宋_GB2312" w:cs="Times New Roman"/>
          <w:sz w:val="32"/>
          <w:szCs w:val="32"/>
        </w:rPr>
        <w:t>C级或</w:t>
      </w:r>
      <w:r>
        <w:rPr>
          <w:rFonts w:ascii="Times New Roman" w:hAnsi="Times New Roman" w:eastAsia="仿宋_GB2312" w:cs="Times New Roman"/>
          <w:sz w:val="32"/>
          <w:szCs w:val="32"/>
        </w:rPr>
        <w:t>年度考核得分</w:t>
      </w:r>
      <w:r>
        <w:rPr>
          <w:rFonts w:hint="eastAsia" w:ascii="Times New Roman" w:hAnsi="Times New Roman" w:eastAsia="仿宋_GB2312" w:cs="Times New Roman"/>
          <w:sz w:val="32"/>
          <w:szCs w:val="32"/>
        </w:rPr>
        <w:t>60分以下；</w:t>
      </w:r>
      <w:r>
        <w:rPr>
          <w:rFonts w:ascii="Times New Roman" w:hAnsi="Times New Roman" w:eastAsia="仿宋_GB2312" w:cs="Times New Roman"/>
          <w:sz w:val="32"/>
          <w:szCs w:val="32"/>
        </w:rPr>
        <w:t>或未承担代建项目，参与代建单位投标无违反招标投标行为；</w:t>
      </w:r>
    </w:p>
    <w:p>
      <w:pPr>
        <w:pStyle w:val="12"/>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rPr>
        <w:t>被记为严重违法违约不良行为。</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代建单位年度考核评价出现直接记为</w:t>
      </w: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级或</w:t>
      </w:r>
      <w:r>
        <w:rPr>
          <w:rFonts w:ascii="Times New Roman" w:hAnsi="Times New Roman" w:eastAsia="仿宋_GB2312" w:cs="Times New Roman"/>
          <w:sz w:val="32"/>
          <w:szCs w:val="32"/>
        </w:rPr>
        <w:t>严重违法违约不良行为</w:t>
      </w:r>
      <w:r>
        <w:rPr>
          <w:rFonts w:hint="eastAsia" w:ascii="Times New Roman" w:hAnsi="Times New Roman" w:eastAsia="仿宋_GB2312" w:cs="Times New Roman"/>
          <w:sz w:val="32"/>
          <w:szCs w:val="32"/>
        </w:rPr>
        <w:t>的，不再对后续考核评价内容打分，代建单位当年度监管评价等级相应地直接记为</w:t>
      </w: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级或</w:t>
      </w: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rPr>
        <w:t>级。</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9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第三章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结果运用</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64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代建单位监管评价等级在省发展改革委网站公布，并在代建机构库记录，纳入代建单位信用档案。按规定将相关违法违约等信用信息归集到全国信用信息共享平台（陕西）。</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64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对年度监管评价等级为A、B、C的代建单位（联合体指牵头单位），按省直政府投资项目代建单位招标投标有关规定纳入代建单位招标评分奖惩范围。在评标委员会评标基础得分上，对代建单位最近一次监管评价等级为A级的加2分，B级的加1分，C级的不予加减。对年度监管评价等级为D级的代建单位，两年内不得参与省直政府投资项目代建工作，并根据具体情况依法依规实施惩戒。</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64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省发展改革委委托陕西省重大项目储备推进中心依法依规履行代建管理机构职责，负责代建单位监管评价具体工作。</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本办</w:t>
      </w:r>
      <w:r>
        <w:rPr>
          <w:rFonts w:ascii="Times New Roman" w:hAnsi="Times New Roman" w:eastAsia="仿宋_GB2312" w:cs="Times New Roman"/>
          <w:sz w:val="32"/>
          <w:szCs w:val="32"/>
        </w:rPr>
        <w:t>法自202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日起施行</w:t>
      </w:r>
      <w:r>
        <w:rPr>
          <w:rFonts w:hint="eastAsia" w:ascii="Times New Roman" w:hAnsi="Times New Roman" w:eastAsia="仿宋_GB2312" w:cs="Times New Roman"/>
          <w:sz w:val="32"/>
          <w:szCs w:val="32"/>
        </w:rPr>
        <w:t>，有效期2年</w:t>
      </w:r>
      <w:r>
        <w:rPr>
          <w:rFonts w:ascii="Times New Roman" w:hAnsi="Times New Roman" w:eastAsia="仿宋_GB2312" w:cs="Times New Roman"/>
          <w:sz w:val="32"/>
          <w:szCs w:val="32"/>
        </w:rPr>
        <w:t>。</w:t>
      </w:r>
    </w:p>
    <w:p>
      <w:pPr>
        <w:pStyle w:val="12"/>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90" w:lineRule="exact"/>
        <w:jc w:val="both"/>
        <w:textAlignment w:val="auto"/>
        <w:rPr>
          <w:rFonts w:ascii="Times New Roman" w:hAnsi="Times New Roman" w:eastAsia="仿宋_GB2312" w:cs="Times New Roman"/>
          <w:sz w:val="32"/>
          <w:szCs w:val="32"/>
        </w:rPr>
      </w:pPr>
    </w:p>
    <w:p>
      <w:pPr>
        <w:pStyle w:val="12"/>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代建单位考核评分表</w:t>
      </w:r>
    </w:p>
    <w:p>
      <w:pPr>
        <w:pStyle w:val="12"/>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32"/>
          <w:szCs w:val="32"/>
          <w:lang w:val="en-US" w:eastAsia="zh-CN"/>
        </w:rPr>
        <w:sectPr>
          <w:footerReference r:id="rId3" w:type="default"/>
          <w:pgSz w:w="11906" w:h="16838"/>
          <w:pgMar w:top="1757" w:right="1531" w:bottom="2041" w:left="1531" w:header="851" w:footer="1701" w:gutter="0"/>
          <w:pgNumType w:fmt="decimal" w:start="22"/>
          <w:cols w:space="0" w:num="1"/>
          <w:rtlGutter w:val="0"/>
          <w:docGrid w:type="lines" w:linePitch="312" w:charSpace="0"/>
        </w:sectPr>
      </w:pPr>
      <w:r>
        <w:rPr>
          <w:rFonts w:hint="eastAsia" w:ascii="Times New Roman" w:hAnsi="Times New Roman" w:eastAsia="仿宋_GB2312" w:cs="Times New Roman"/>
          <w:sz w:val="32"/>
          <w:szCs w:val="32"/>
          <w:lang w:val="en-US" w:eastAsia="zh-CN"/>
        </w:rPr>
        <w:t xml:space="preserve">          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代建单位考核评价等级表</w:t>
      </w:r>
    </w:p>
    <w:p>
      <w:pPr>
        <w:spacing w:line="572" w:lineRule="exact"/>
        <w:jc w:val="left"/>
        <w:rPr>
          <w:rFonts w:hint="eastAsia" w:ascii="黑体" w:hAnsi="黑体" w:eastAsia="黑体" w:cs="黑体"/>
          <w:bCs/>
          <w:kern w:val="0"/>
          <w:sz w:val="32"/>
          <w:szCs w:val="32"/>
        </w:rPr>
      </w:pPr>
      <w:r>
        <w:rPr>
          <w:rFonts w:hint="eastAsia" w:ascii="黑体" w:hAnsi="黑体" w:eastAsia="黑体" w:cs="黑体"/>
          <w:bCs/>
          <w:kern w:val="0"/>
          <w:sz w:val="32"/>
          <w:szCs w:val="32"/>
          <w:lang w:eastAsia="zh-CN"/>
        </w:rPr>
        <w:t>附件</w:t>
      </w:r>
      <w:r>
        <w:rPr>
          <w:rFonts w:hint="eastAsia" w:ascii="黑体" w:hAnsi="黑体" w:eastAsia="黑体" w:cs="黑体"/>
          <w:bCs/>
          <w:kern w:val="0"/>
          <w:sz w:val="32"/>
          <w:szCs w:val="32"/>
        </w:rPr>
        <w:t>1</w:t>
      </w:r>
    </w:p>
    <w:p>
      <w:pPr>
        <w:spacing w:line="572" w:lineRule="exact"/>
        <w:jc w:val="center"/>
        <w:rPr>
          <w:rFonts w:hint="eastAsia" w:ascii="黑体" w:hAnsi="黑体" w:eastAsia="黑体" w:cs="黑体"/>
          <w:bCs/>
          <w:color w:val="000000"/>
          <w:kern w:val="0"/>
          <w:sz w:val="32"/>
          <w:szCs w:val="32"/>
        </w:rPr>
      </w:pPr>
      <w:r>
        <w:rPr>
          <w:rFonts w:hint="eastAsia" w:ascii="黑体" w:hAnsi="黑体" w:eastAsia="黑体" w:cs="黑体"/>
          <w:bCs/>
          <w:kern w:val="0"/>
          <w:sz w:val="32"/>
          <w:szCs w:val="32"/>
        </w:rPr>
        <w:t>代建单位考核</w:t>
      </w:r>
      <w:r>
        <w:rPr>
          <w:rFonts w:hint="eastAsia" w:ascii="黑体" w:hAnsi="黑体" w:eastAsia="黑体" w:cs="黑体"/>
          <w:bCs/>
          <w:color w:val="000000"/>
          <w:kern w:val="0"/>
          <w:sz w:val="32"/>
          <w:szCs w:val="32"/>
        </w:rPr>
        <w:t>评分表</w:t>
      </w:r>
    </w:p>
    <w:p>
      <w:pPr>
        <w:spacing w:line="560" w:lineRule="exact"/>
        <w:jc w:val="left"/>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 xml:space="preserve">代建单位名称：                                                                           </w:t>
      </w:r>
      <w:r>
        <w:rPr>
          <w:rFonts w:hint="eastAsia" w:ascii="仿宋_GB2312" w:hAnsi="仿宋_GB2312" w:eastAsia="仿宋_GB2312" w:cs="仿宋_GB2312"/>
          <w:bCs/>
          <w:color w:val="000000"/>
          <w:kern w:val="0"/>
          <w:sz w:val="24"/>
          <w:lang w:val="en-US" w:eastAsia="zh-CN"/>
        </w:rPr>
        <w:t xml:space="preserve">             </w:t>
      </w:r>
      <w:r>
        <w:rPr>
          <w:rFonts w:hint="eastAsia" w:ascii="仿宋_GB2312" w:hAnsi="仿宋_GB2312" w:eastAsia="仿宋_GB2312" w:cs="仿宋_GB2312"/>
          <w:bCs/>
          <w:color w:val="000000"/>
          <w:kern w:val="0"/>
          <w:sz w:val="24"/>
        </w:rPr>
        <w:t xml:space="preserve"> 年   月   日</w:t>
      </w:r>
    </w:p>
    <w:p>
      <w:pPr>
        <w:spacing w:afterLines="50" w:line="560" w:lineRule="exact"/>
        <w:jc w:val="left"/>
        <w:rPr>
          <w:rFonts w:ascii="Times New Roman" w:hAnsi="Times New Roman" w:cs="Times New Roman"/>
          <w:bCs/>
          <w:color w:val="000000"/>
          <w:kern w:val="0"/>
          <w:sz w:val="24"/>
        </w:rPr>
      </w:pPr>
      <w:r>
        <w:rPr>
          <w:rFonts w:hint="eastAsia" w:ascii="仿宋_GB2312" w:hAnsi="仿宋_GB2312" w:eastAsia="仿宋_GB2312" w:cs="仿宋_GB2312"/>
          <w:bCs/>
          <w:color w:val="000000"/>
          <w:kern w:val="0"/>
          <w:sz w:val="24"/>
        </w:rPr>
        <w:t xml:space="preserve">代建项目名称：              </w:t>
      </w:r>
      <w:r>
        <w:rPr>
          <w:rFonts w:ascii="Times New Roman" w:hAnsi="Times New Roman" w:cs="Times New Roman"/>
          <w:bCs/>
          <w:color w:val="000000"/>
          <w:kern w:val="0"/>
          <w:sz w:val="24"/>
        </w:rPr>
        <w:t xml:space="preserve">                                                        </w:t>
      </w:r>
    </w:p>
    <w:tbl>
      <w:tblPr>
        <w:tblStyle w:val="22"/>
        <w:tblW w:w="14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2181"/>
        <w:gridCol w:w="9638"/>
        <w:gridCol w:w="804"/>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jc w:val="center"/>
        </w:trPr>
        <w:tc>
          <w:tcPr>
            <w:tcW w:w="1254" w:type="dxa"/>
            <w:vAlign w:val="center"/>
          </w:tcPr>
          <w:p>
            <w:pPr>
              <w:spacing w:line="5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评分内容</w:t>
            </w:r>
          </w:p>
        </w:tc>
        <w:tc>
          <w:tcPr>
            <w:tcW w:w="2181" w:type="dxa"/>
            <w:vAlign w:val="center"/>
          </w:tcPr>
          <w:p>
            <w:pPr>
              <w:spacing w:line="5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考核检查内容</w:t>
            </w:r>
          </w:p>
        </w:tc>
        <w:tc>
          <w:tcPr>
            <w:tcW w:w="9638" w:type="dxa"/>
            <w:vAlign w:val="center"/>
          </w:tcPr>
          <w:p>
            <w:pPr>
              <w:spacing w:line="5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评分说明</w:t>
            </w:r>
          </w:p>
        </w:tc>
        <w:tc>
          <w:tcPr>
            <w:tcW w:w="804" w:type="dxa"/>
            <w:vAlign w:val="center"/>
          </w:tcPr>
          <w:p>
            <w:pPr>
              <w:spacing w:line="5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评分</w:t>
            </w:r>
          </w:p>
        </w:tc>
        <w:tc>
          <w:tcPr>
            <w:tcW w:w="701" w:type="dxa"/>
            <w:vAlign w:val="center"/>
          </w:tcPr>
          <w:p>
            <w:pPr>
              <w:spacing w:line="5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1254" w:type="dxa"/>
            <w:vMerge w:val="restart"/>
            <w:vAlign w:val="center"/>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合同签订</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w:t>
            </w: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履约保证金到位情况。代建单位应当在代建合同签订前，按投标承诺的额度向项目单位提交履约保证金。</w:t>
            </w:r>
          </w:p>
        </w:tc>
        <w:tc>
          <w:tcPr>
            <w:tcW w:w="96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根据代建合同备案情况、项目单位反映情况和检查现场情况。</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①未在规定时间内提供履约保证金或未提交投标承诺足额的履约保证金的，视为弄虚作假，代建单位年度考核直接记为C级。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②代建合同签订后，检查发现履约保证金提前撤回的，从发现之日起，代建单位年度考核直接记为C级。</w:t>
            </w:r>
          </w:p>
        </w:tc>
        <w:tc>
          <w:tcPr>
            <w:tcW w:w="804" w:type="dxa"/>
            <w:vAlign w:val="center"/>
          </w:tcPr>
          <w:p>
            <w:pPr>
              <w:spacing w:line="572" w:lineRule="exact"/>
              <w:jc w:val="center"/>
              <w:rPr>
                <w:rFonts w:hint="eastAsia" w:ascii="仿宋_GB2312" w:hAnsi="仿宋_GB2312" w:eastAsia="仿宋_GB2312" w:cs="仿宋_GB2312"/>
                <w:sz w:val="21"/>
                <w:szCs w:val="21"/>
              </w:rPr>
            </w:pPr>
          </w:p>
        </w:tc>
        <w:tc>
          <w:tcPr>
            <w:tcW w:w="701" w:type="dxa"/>
            <w:vAlign w:val="center"/>
          </w:tcPr>
          <w:p>
            <w:pPr>
              <w:spacing w:line="572"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jc w:val="center"/>
        </w:trPr>
        <w:tc>
          <w:tcPr>
            <w:tcW w:w="1254" w:type="dxa"/>
            <w:vMerge w:val="continue"/>
            <w:vAlign w:val="center"/>
          </w:tcPr>
          <w:p>
            <w:pPr>
              <w:spacing w:line="572" w:lineRule="exact"/>
              <w:jc w:val="center"/>
              <w:rPr>
                <w:rFonts w:hint="eastAsia" w:ascii="仿宋_GB2312" w:hAnsi="仿宋_GB2312" w:eastAsia="仿宋_GB2312" w:cs="仿宋_GB2312"/>
                <w:sz w:val="21"/>
                <w:szCs w:val="21"/>
              </w:rPr>
            </w:pP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落实代建合同管理制。严格按招标文件和投标文件要求和承诺签订代建合同。代建合同签订后，按规定报省重大项目储备推进中心备案。</w:t>
            </w:r>
          </w:p>
        </w:tc>
        <w:tc>
          <w:tcPr>
            <w:tcW w:w="96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根据代建合同备案有关记录情况。</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①无正当理由拒绝签订代建合同，代建单位年度考核直接记为C级。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②与项目单位私自更改合同实质性内容，从发现之日起，代建单位年度考核直接记为C级。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③未经代建合同备案机构同意，不按规定时间要求进行代建合同备案的扣10分。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④合同签订后未按时备案，且经备案机构通知提醒后仍不备案的，代建单位年度考核直接记为C级。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⑤合同备案后，私自修改合同条款或签订阴阳合同的，从发现之日起，代建单位年度考核直接记为C级。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⑥代建单位违规分包、转让代建业务的，从发现之日起，代建单位年度考核直接记为C级。</w:t>
            </w:r>
          </w:p>
        </w:tc>
        <w:tc>
          <w:tcPr>
            <w:tcW w:w="804" w:type="dxa"/>
            <w:vAlign w:val="center"/>
          </w:tcPr>
          <w:p>
            <w:pPr>
              <w:spacing w:line="572" w:lineRule="exact"/>
              <w:jc w:val="center"/>
              <w:rPr>
                <w:rFonts w:hint="eastAsia" w:ascii="仿宋_GB2312" w:hAnsi="仿宋_GB2312" w:eastAsia="仿宋_GB2312" w:cs="仿宋_GB2312"/>
                <w:sz w:val="21"/>
                <w:szCs w:val="21"/>
              </w:rPr>
            </w:pPr>
          </w:p>
        </w:tc>
        <w:tc>
          <w:tcPr>
            <w:tcW w:w="701" w:type="dxa"/>
            <w:vAlign w:val="center"/>
          </w:tcPr>
          <w:p>
            <w:pPr>
              <w:spacing w:line="572"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1254" w:type="dxa"/>
            <w:vAlign w:val="center"/>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人员配置</w:t>
            </w:r>
          </w:p>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（20分）</w:t>
            </w: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代建合同签订后代建单位应当按照投标承诺成立项目管理团队，落实人员职责。</w:t>
            </w:r>
          </w:p>
        </w:tc>
        <w:tc>
          <w:tcPr>
            <w:tcW w:w="96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检查现场、听取项目单位意见、查阅资料（团队成立配备资料、签到情况、在岗情况、各人员履职情况）。</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①未按投标承诺配备代建团队人员，从发现之日起，代建单位年度考核直接记为C级。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②擅自变更不得替换人员（代建项目经理、专业负责人），从发现之日起，代建单位年度考核直接记为C级；擅自变更其他人员的，每人次扣10分。扣完20分后扣项目考核总分。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因特殊原因无法履职，确需人员变更，经项目单位书面同意，代建单位更换代建项目经理，每人次扣10分（代建期内最多只能更换一次）；更换专业负责人，每人次扣5分；更换其他人员的，每人次扣2分。扣完20分后扣项目考核总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④代建单位项目管理人员履职水平过低，项目单位责令其更换的，更换代建项目经理每人次扣20分；更换专业负责人每人次扣10分；更换其他人员每人次扣5分。扣完20分后扣项目考核总分。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⑤检查现场时，发现</w:t>
            </w:r>
            <w:r>
              <w:rPr>
                <w:rFonts w:hint="eastAsia" w:ascii="仿宋_GB2312" w:hAnsi="仿宋_GB2312" w:eastAsia="仿宋_GB2312" w:cs="仿宋_GB2312"/>
                <w:color w:val="000000" w:themeColor="text1"/>
                <w:sz w:val="21"/>
                <w:szCs w:val="21"/>
                <w14:textFill>
                  <w14:solidFill>
                    <w14:schemeClr w14:val="tx1"/>
                  </w14:solidFill>
                </w14:textFill>
              </w:rPr>
              <w:t>项目经理、专业负责人未正常履职的，每人次扣5分；其他人员未正常履职的，每人次扣2分。</w:t>
            </w:r>
            <w:r>
              <w:rPr>
                <w:rFonts w:hint="eastAsia" w:ascii="仿宋_GB2312" w:hAnsi="仿宋_GB2312" w:eastAsia="仿宋_GB2312" w:cs="仿宋_GB2312"/>
                <w:sz w:val="21"/>
                <w:szCs w:val="21"/>
              </w:rPr>
              <w:t>扣完20分后扣项目考核总分。</w:t>
            </w:r>
          </w:p>
        </w:tc>
        <w:tc>
          <w:tcPr>
            <w:tcW w:w="804" w:type="dxa"/>
            <w:vAlign w:val="center"/>
          </w:tcPr>
          <w:p>
            <w:pPr>
              <w:spacing w:line="572" w:lineRule="exact"/>
              <w:jc w:val="center"/>
              <w:rPr>
                <w:rFonts w:hint="eastAsia" w:ascii="仿宋_GB2312" w:hAnsi="仿宋_GB2312" w:eastAsia="仿宋_GB2312" w:cs="仿宋_GB2312"/>
                <w:sz w:val="21"/>
                <w:szCs w:val="21"/>
              </w:rPr>
            </w:pPr>
          </w:p>
        </w:tc>
        <w:tc>
          <w:tcPr>
            <w:tcW w:w="701" w:type="dxa"/>
            <w:vAlign w:val="center"/>
          </w:tcPr>
          <w:p>
            <w:pPr>
              <w:spacing w:line="572"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54"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前期工作（10分）</w:t>
            </w: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代建单位应当依据代建合同范围和法定程序，履行把关职责，按时完成开工前的准备工作，确保概算不超估算、预算不超概算。</w:t>
            </w:r>
          </w:p>
          <w:p>
            <w:pPr>
              <w:spacing w:line="276" w:lineRule="auto"/>
              <w:rPr>
                <w:rFonts w:hint="eastAsia" w:ascii="仿宋_GB2312" w:hAnsi="仿宋_GB2312" w:eastAsia="仿宋_GB2312" w:cs="仿宋_GB2312"/>
                <w:sz w:val="21"/>
                <w:szCs w:val="21"/>
              </w:rPr>
            </w:pPr>
          </w:p>
        </w:tc>
        <w:tc>
          <w:tcPr>
            <w:tcW w:w="96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查看资料、检查现场和征询行政主管部门记录等方式。</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①因手续不全、违规开工，代建单位收到停工整改通知书的，项目考核总分扣10分；被处以罚款的，从处罚之日起，代建单位年度考核直接记为C级。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②代建单位前期工作推进不力，影响计划进度的，每次扣5分，扣完10分为止。</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③未按政策和代建合同要求，可行性研究报告编制出现缺项、漏项或缺陷，导致项目概算超估算的，每项扣5分，扣完10分后扣项目考核总分。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④代建单位承担工程勘察出现缺项、漏项或缺陷，导致需要设计变更，每次扣5分，扣完10分后扣项目考核总分；导致项目重大设计变更并超概算的，代建单位记为严重违法违约不良行为。</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⑤把关不严，工程设计出现缺项、漏项或缺陷，导致较大设计变更的，每次扣5分，扣完10分后扣项目考核总分；导致项目重大设计变更并超概算的，代建单位记为严重违法违约不良行为。</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6 \* GB3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⑥</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除政策调整和物价上涨外，未履行规定程序，出现概算突破估算或预算突破概算或设计功能发生实质性变化的，从发现之日起，代建单位年度考核直接记为C级。</w:t>
            </w:r>
          </w:p>
        </w:tc>
        <w:tc>
          <w:tcPr>
            <w:tcW w:w="804" w:type="dxa"/>
            <w:vAlign w:val="center"/>
          </w:tcPr>
          <w:p>
            <w:pPr>
              <w:spacing w:line="572" w:lineRule="exact"/>
              <w:jc w:val="center"/>
              <w:rPr>
                <w:rFonts w:hint="eastAsia" w:ascii="仿宋_GB2312" w:hAnsi="仿宋_GB2312" w:eastAsia="仿宋_GB2312" w:cs="仿宋_GB2312"/>
                <w:sz w:val="21"/>
                <w:szCs w:val="21"/>
              </w:rPr>
            </w:pPr>
          </w:p>
        </w:tc>
        <w:tc>
          <w:tcPr>
            <w:tcW w:w="701" w:type="dxa"/>
            <w:vAlign w:val="center"/>
          </w:tcPr>
          <w:p>
            <w:pPr>
              <w:spacing w:line="572"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4" w:type="dxa"/>
            <w:vMerge w:val="restart"/>
            <w:vAlign w:val="center"/>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招标及合同管理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w:t>
            </w: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代建单位应依法依规组织开展招标采购活动，将招标投标有关文件、资料及时报告代建管理机构。</w:t>
            </w:r>
          </w:p>
        </w:tc>
        <w:tc>
          <w:tcPr>
            <w:tcW w:w="96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检查现场、征询行政主管部门记录、查看招投标报告和了解实际情况。</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①不按规定进行招标或在招标过程中有弄虚作假、收受贿赂、索取回扣等违法违规行为的，从发现之日起，代建单位记为严重违法违约不良行为。</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②违背代建合同要求或相关规定，代建单位人员违规担任评标（或谈判）委员会成员的，从发现之日起，代建单位年度考核直接记为C级。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③未按代建合同要求及时将招投标重点环节（招标公告发布、中标通知书发出等）的有关信息报告代建管理机构的，1次扣项目考核总分5分；累计出现3次及以上的，代建单位年度考核直接记为C级。</w:t>
            </w:r>
          </w:p>
        </w:tc>
        <w:tc>
          <w:tcPr>
            <w:tcW w:w="804" w:type="dxa"/>
            <w:vAlign w:val="center"/>
          </w:tcPr>
          <w:p>
            <w:pPr>
              <w:spacing w:line="572" w:lineRule="exact"/>
              <w:jc w:val="center"/>
              <w:rPr>
                <w:rFonts w:hint="eastAsia" w:ascii="仿宋_GB2312" w:hAnsi="仿宋_GB2312" w:eastAsia="仿宋_GB2312" w:cs="仿宋_GB2312"/>
                <w:sz w:val="21"/>
                <w:szCs w:val="21"/>
              </w:rPr>
            </w:pPr>
          </w:p>
        </w:tc>
        <w:tc>
          <w:tcPr>
            <w:tcW w:w="701" w:type="dxa"/>
            <w:vAlign w:val="center"/>
          </w:tcPr>
          <w:p>
            <w:pPr>
              <w:spacing w:line="572"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4" w:type="dxa"/>
            <w:vMerge w:val="continue"/>
            <w:vAlign w:val="center"/>
          </w:tcPr>
          <w:p>
            <w:pPr>
              <w:spacing w:line="572" w:lineRule="exact"/>
              <w:jc w:val="center"/>
              <w:rPr>
                <w:rFonts w:hint="eastAsia" w:ascii="仿宋_GB2312" w:hAnsi="仿宋_GB2312" w:eastAsia="仿宋_GB2312" w:cs="仿宋_GB2312"/>
                <w:sz w:val="21"/>
                <w:szCs w:val="21"/>
              </w:rPr>
            </w:pP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代建单位应当按照投标文件中代建项目服务承诺，依法依规签订合同和履行合同。</w:t>
            </w:r>
          </w:p>
        </w:tc>
        <w:tc>
          <w:tcPr>
            <w:tcW w:w="96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查看合同文件资料、征询行政主管部门记录和听取有关单位情况反馈。</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①按照工程进度，合同资料不全、缺一项合同扣3分，扣完10分后扣项目考核总分。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②合同未按要求向有关部门备案，缺一次扣3分，扣完10分为止。</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③出现合同违约纠纷并被追究法律责任的，每次扣5分，扣完10分后扣项目考核总分。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④因代建单位监管不力或未及时审核申请工程款，出现有关农民工薪资纠纷，造成严重不良影响（如上访事件、引发舆情、被政府部门通报批评等），代建单位年度考核直接记为C级。</w:t>
            </w:r>
          </w:p>
        </w:tc>
        <w:tc>
          <w:tcPr>
            <w:tcW w:w="804" w:type="dxa"/>
            <w:vAlign w:val="center"/>
          </w:tcPr>
          <w:p>
            <w:pPr>
              <w:widowControl/>
              <w:spacing w:line="572" w:lineRule="exact"/>
              <w:jc w:val="center"/>
              <w:rPr>
                <w:rFonts w:hint="eastAsia" w:ascii="仿宋_GB2312" w:hAnsi="仿宋_GB2312" w:eastAsia="仿宋_GB2312" w:cs="仿宋_GB2312"/>
                <w:kern w:val="0"/>
                <w:sz w:val="21"/>
                <w:szCs w:val="21"/>
              </w:rPr>
            </w:pPr>
          </w:p>
        </w:tc>
        <w:tc>
          <w:tcPr>
            <w:tcW w:w="701" w:type="dxa"/>
            <w:vAlign w:val="center"/>
          </w:tcPr>
          <w:p>
            <w:pPr>
              <w:spacing w:line="572"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254" w:type="dxa"/>
            <w:vMerge w:val="restart"/>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工程建设日常管理</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（35分）</w:t>
            </w:r>
          </w:p>
          <w:p>
            <w:pPr>
              <w:spacing w:line="276" w:lineRule="auto"/>
              <w:rPr>
                <w:rFonts w:hint="eastAsia" w:ascii="仿宋_GB2312" w:hAnsi="仿宋_GB2312" w:eastAsia="仿宋_GB2312" w:cs="仿宋_GB2312"/>
                <w:sz w:val="21"/>
                <w:szCs w:val="21"/>
              </w:rPr>
            </w:pP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项目部内部管理。代建单位应当确保内部管理规范廉洁，工程建设项目档案应当参照国家档案整理规范和相关行业管理要求的规定格式、标准、规范进行归档、整理。</w:t>
            </w:r>
          </w:p>
        </w:tc>
        <w:tc>
          <w:tcPr>
            <w:tcW w:w="96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检查现场和查阅资料。</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①项目管理团队办公室杂乱无序、管理混乱，每发现一次扣2分。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未制定代建管理工作书面制度，代建单位年度考核直接记为C级；未制定廉洁管理书面制度，代建单位年度考核直接记为C级；未建立代建工作例会制度，项目考核总分扣10分；代建工作例会未形成书面会议纪要，每缺一次扣2分；扣完35分后扣项目考核总分。未记录工作日志30天以上，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③未按代建合同约定采用管理创新措施、节能环保、技术创新措施，代建单位年度考核直接记为C级。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④未制定档案管理书面制度，扣5分；根据工程进度，档案资料管理混乱，每次扣5分；档案不全，严重缺失，每缺一份扣2分；扣完35分后扣项目考核总分。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⑤实施档案管理信息化的，项目考核总分加5分。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⑥指令违背政府有关部门批复的设计文件、投资规模开展项目建设的，从发现之日起，代建单位记为严重违法违约不良行为。</w:t>
            </w:r>
          </w:p>
        </w:tc>
        <w:tc>
          <w:tcPr>
            <w:tcW w:w="804" w:type="dxa"/>
            <w:vAlign w:val="center"/>
          </w:tcPr>
          <w:p>
            <w:pPr>
              <w:spacing w:line="572" w:lineRule="exact"/>
              <w:jc w:val="center"/>
              <w:rPr>
                <w:rFonts w:hint="eastAsia" w:ascii="仿宋_GB2312" w:hAnsi="仿宋_GB2312" w:eastAsia="仿宋_GB2312" w:cs="仿宋_GB2312"/>
                <w:sz w:val="21"/>
                <w:szCs w:val="21"/>
              </w:rPr>
            </w:pPr>
          </w:p>
        </w:tc>
        <w:tc>
          <w:tcPr>
            <w:tcW w:w="701" w:type="dxa"/>
            <w:vAlign w:val="center"/>
          </w:tcPr>
          <w:p>
            <w:pPr>
              <w:spacing w:line="572"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1" w:hRule="atLeast"/>
          <w:jc w:val="center"/>
        </w:trPr>
        <w:tc>
          <w:tcPr>
            <w:tcW w:w="1254" w:type="dxa"/>
            <w:vMerge w:val="continue"/>
            <w:vAlign w:val="center"/>
          </w:tcPr>
          <w:p>
            <w:pPr>
              <w:spacing w:line="276" w:lineRule="auto"/>
              <w:rPr>
                <w:rFonts w:hint="eastAsia" w:ascii="仿宋_GB2312" w:hAnsi="仿宋_GB2312" w:eastAsia="仿宋_GB2312" w:cs="仿宋_GB2312"/>
                <w:sz w:val="21"/>
                <w:szCs w:val="21"/>
              </w:rPr>
            </w:pP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安全、环境、职业健康管理情况。代建单位应当代为履行建设单位质量安全职责，对各参建单位的质量安全管理、环境保护、职业健康工作进行指导、检查和监督，责成各参建单位做好项目现场的社会治安、环境保护、职业健康工作。</w:t>
            </w:r>
          </w:p>
        </w:tc>
        <w:tc>
          <w:tcPr>
            <w:tcW w:w="96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检查现场、查阅资料、征询行政主管部门记录和听取有关情况。</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①未按要求设置代建项目、省直政府投资项目标示，每发现一次扣2分。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未制定质量、环境、职业健康、安全等书面制度，每发现一次扣5分；未采取定期和不定期检查相结合的方式对代建项目的工程质量、环境、职业健康、安全等管理内容进行监督检查，未形成监督检查和记录台账扣5分；对发现问题未及时协调处理扣5分；扣完35分后扣项目考核总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未按有关规定和合同约定向项目单位提出拨付施工单位建设工程现场安全文明施工措施费，每发现一次扣项目考核总分10分，出现2次及以上的，代建单位年度考核直接记为C级；未组织签订建设工程项目施工安全责任保证书，或两个以上施工单位在同一作业区域进行施工作业时未组织双方签订安全生产管理协议的，每发现一次扣项目考核总分10分，出现2次及以上的，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④因管理不力，代建单位收到有关整改通知书且未整改的，每次扣项目考核总分10分，累计3次及以上代建单位年度考核直接记为C级；收到停工通知书且被处以罚款的，1次扣项目考核总分20分，2次及以上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⑤因代建单位管理不力，项目建设出现一般质量安全责任事故，代建单位每次扣项目考核总分20分，累计2次及以上，代建单位年度考核直接记为C级；出现较大及以上质量安全责任事故，从事故认定之日起，代建单位记为严重违法违约不良行为。</w:t>
            </w:r>
          </w:p>
        </w:tc>
        <w:tc>
          <w:tcPr>
            <w:tcW w:w="804" w:type="dxa"/>
            <w:vAlign w:val="center"/>
          </w:tcPr>
          <w:p>
            <w:pPr>
              <w:spacing w:line="572" w:lineRule="exact"/>
              <w:jc w:val="center"/>
              <w:rPr>
                <w:rFonts w:hint="eastAsia" w:ascii="仿宋_GB2312" w:hAnsi="仿宋_GB2312" w:eastAsia="仿宋_GB2312" w:cs="仿宋_GB2312"/>
                <w:sz w:val="21"/>
                <w:szCs w:val="21"/>
              </w:rPr>
            </w:pPr>
          </w:p>
        </w:tc>
        <w:tc>
          <w:tcPr>
            <w:tcW w:w="701" w:type="dxa"/>
            <w:vAlign w:val="center"/>
          </w:tcPr>
          <w:p>
            <w:pPr>
              <w:spacing w:line="572"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1254" w:type="dxa"/>
            <w:vMerge w:val="continue"/>
            <w:vAlign w:val="center"/>
          </w:tcPr>
          <w:p>
            <w:pPr>
              <w:spacing w:line="276" w:lineRule="auto"/>
              <w:rPr>
                <w:rFonts w:hint="eastAsia" w:ascii="仿宋_GB2312" w:hAnsi="仿宋_GB2312" w:eastAsia="仿宋_GB2312" w:cs="仿宋_GB2312"/>
                <w:sz w:val="21"/>
                <w:szCs w:val="21"/>
              </w:rPr>
            </w:pP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工程进度控制。代建单位应当按照投标时代建项目管理方案的项目进度计划和管理办法确保工程进度。</w:t>
            </w:r>
          </w:p>
        </w:tc>
        <w:tc>
          <w:tcPr>
            <w:tcW w:w="96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检查现场和查阅资料。</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①无进度计划图示，每次扣项目考核总分10分。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②未制定进度管理书面制度，每发现一次扣项目考核总分10分。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③工程实际进度落后于进度计划节点且无调整措施方案的，每次扣项目考核总分10分。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④因代建单位原因未按进度完成合同约定代建任务的，代建单位记为严重违法违约不良行为。</w:t>
            </w:r>
          </w:p>
        </w:tc>
        <w:tc>
          <w:tcPr>
            <w:tcW w:w="804" w:type="dxa"/>
            <w:vAlign w:val="center"/>
          </w:tcPr>
          <w:p>
            <w:pPr>
              <w:spacing w:line="572" w:lineRule="exact"/>
              <w:jc w:val="center"/>
              <w:rPr>
                <w:rFonts w:hint="eastAsia" w:ascii="仿宋_GB2312" w:hAnsi="仿宋_GB2312" w:eastAsia="仿宋_GB2312" w:cs="仿宋_GB2312"/>
                <w:sz w:val="21"/>
                <w:szCs w:val="21"/>
              </w:rPr>
            </w:pPr>
          </w:p>
        </w:tc>
        <w:tc>
          <w:tcPr>
            <w:tcW w:w="701" w:type="dxa"/>
            <w:vAlign w:val="center"/>
          </w:tcPr>
          <w:p>
            <w:pPr>
              <w:spacing w:line="572"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254" w:type="dxa"/>
            <w:vMerge w:val="continue"/>
            <w:vAlign w:val="center"/>
          </w:tcPr>
          <w:p>
            <w:pPr>
              <w:spacing w:line="276" w:lineRule="auto"/>
              <w:rPr>
                <w:rFonts w:hint="eastAsia" w:ascii="仿宋_GB2312" w:hAnsi="仿宋_GB2312" w:eastAsia="仿宋_GB2312" w:cs="仿宋_GB2312"/>
                <w:sz w:val="21"/>
                <w:szCs w:val="21"/>
              </w:rPr>
            </w:pPr>
          </w:p>
        </w:tc>
        <w:tc>
          <w:tcPr>
            <w:tcW w:w="218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财务管理。代建单位应当严格执行财经纪律，建立健全财务管理制度。</w:t>
            </w:r>
          </w:p>
        </w:tc>
        <w:tc>
          <w:tcPr>
            <w:tcW w:w="963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检查现场、征询财政和审计等行政主管部门记录、查看财务记录和听取有关情况。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①未制定项目资金管理、财务管理书面制度的，代建单位年度考核直接记为C级。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②财务记录不全、混乱的，每发现一次扣5分，扣完35分后扣项目考核总分。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③因代建单位原因未及时申请拨付资金而影响进度的，每次扣10分；因此导致重大纠纷的每次扣20分；扣完35分后扣项目考核总分。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④造价审核不严，导致多计费用的，每发现一次扣项目考核总分10分。</w:t>
            </w:r>
          </w:p>
        </w:tc>
        <w:tc>
          <w:tcPr>
            <w:tcW w:w="804" w:type="dxa"/>
            <w:vAlign w:val="center"/>
          </w:tcPr>
          <w:p>
            <w:pPr>
              <w:spacing w:line="276" w:lineRule="auto"/>
              <w:rPr>
                <w:rFonts w:hint="eastAsia" w:ascii="仿宋_GB2312" w:hAnsi="仿宋_GB2312" w:eastAsia="仿宋_GB2312" w:cs="仿宋_GB2312"/>
                <w:sz w:val="21"/>
                <w:szCs w:val="21"/>
              </w:rPr>
            </w:pPr>
          </w:p>
        </w:tc>
        <w:tc>
          <w:tcPr>
            <w:tcW w:w="701" w:type="dxa"/>
            <w:vAlign w:val="center"/>
          </w:tcPr>
          <w:p>
            <w:pPr>
              <w:spacing w:line="276" w:lineRule="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jc w:val="center"/>
        </w:trPr>
        <w:tc>
          <w:tcPr>
            <w:tcW w:w="1254" w:type="dxa"/>
            <w:vAlign w:val="center"/>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信息报送</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w:t>
            </w:r>
          </w:p>
        </w:tc>
        <w:tc>
          <w:tcPr>
            <w:tcW w:w="218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落实项目管理季报制和重要环节报告制。代建单位应当将工作进度于次季度首月5号前、项目的重要环节、争议事项及时向代建管理机构报告。</w:t>
            </w:r>
          </w:p>
        </w:tc>
        <w:tc>
          <w:tcPr>
            <w:tcW w:w="963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查看代建管理机构记录资料和核实了解有关情况。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①代建单位每季度向代建管理机构提交项目进度信息（含视频或照片）。未按时报送一次扣5分；年内累计出现3次及以上，代建单位年度考核直接记为C级。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代建项目开工后，未及时将重要环节（项目开工、项目招标和政府采购活动、重大设计变更论证、概算调整、项目竣工验收、项目实体移交、决算、结算批复情况等）报告代建管理机构的，每次扣5分，扣完10分后扣项目考核总分，年内累计出现3次及以上的，代建单位年度考核直接记为C级；未将重大争议事项报告代建管理机构，影响项目建设的，代建单位年度考核直接记为C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③现场核实季报相关情况，情况不实1次扣项目考核总分5分；年内累计出现3次及以上，代建单位年度考核直接记为C级。</w:t>
            </w:r>
          </w:p>
        </w:tc>
        <w:tc>
          <w:tcPr>
            <w:tcW w:w="804" w:type="dxa"/>
            <w:vAlign w:val="center"/>
          </w:tcPr>
          <w:p>
            <w:pPr>
              <w:spacing w:line="276" w:lineRule="auto"/>
              <w:rPr>
                <w:rFonts w:hint="eastAsia" w:ascii="仿宋_GB2312" w:hAnsi="仿宋_GB2312" w:eastAsia="仿宋_GB2312" w:cs="仿宋_GB2312"/>
                <w:sz w:val="21"/>
                <w:szCs w:val="21"/>
              </w:rPr>
            </w:pPr>
          </w:p>
        </w:tc>
        <w:tc>
          <w:tcPr>
            <w:tcW w:w="701" w:type="dxa"/>
            <w:vAlign w:val="center"/>
          </w:tcPr>
          <w:p>
            <w:pPr>
              <w:spacing w:line="276" w:lineRule="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1254" w:type="dxa"/>
            <w:vAlign w:val="center"/>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项目单位评价</w:t>
            </w:r>
          </w:p>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218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按照合同要求，做好与项目单位的沟通，形成合力。</w:t>
            </w:r>
          </w:p>
        </w:tc>
        <w:tc>
          <w:tcPr>
            <w:tcW w:w="963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采取向项目单位主要负责人、分管负责人和现场联系人员进行问卷调查的方式，每人满分5分，取平均值。主要考察代建单位人员到岗出勤情况、服务水平、服务态度、服务质量、服务效果等。</w:t>
            </w:r>
          </w:p>
        </w:tc>
        <w:tc>
          <w:tcPr>
            <w:tcW w:w="804" w:type="dxa"/>
            <w:vAlign w:val="center"/>
          </w:tcPr>
          <w:p>
            <w:pPr>
              <w:spacing w:line="276" w:lineRule="auto"/>
              <w:rPr>
                <w:rFonts w:hint="eastAsia" w:ascii="仿宋_GB2312" w:hAnsi="仿宋_GB2312" w:eastAsia="仿宋_GB2312" w:cs="仿宋_GB2312"/>
                <w:sz w:val="21"/>
                <w:szCs w:val="21"/>
              </w:rPr>
            </w:pPr>
          </w:p>
        </w:tc>
        <w:tc>
          <w:tcPr>
            <w:tcW w:w="701" w:type="dxa"/>
            <w:vAlign w:val="center"/>
          </w:tcPr>
          <w:p>
            <w:pPr>
              <w:spacing w:line="276" w:lineRule="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1254" w:type="dxa"/>
            <w:vMerge w:val="restart"/>
            <w:vAlign w:val="center"/>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代建目标</w:t>
            </w:r>
          </w:p>
          <w:p>
            <w:pPr>
              <w:spacing w:line="276" w:lineRule="auto"/>
              <w:jc w:val="center"/>
              <w:rPr>
                <w:rFonts w:hint="eastAsia" w:ascii="仿宋_GB2312" w:hAnsi="仿宋_GB2312" w:eastAsia="仿宋_GB2312" w:cs="仿宋_GB2312"/>
                <w:sz w:val="21"/>
                <w:szCs w:val="21"/>
              </w:rPr>
            </w:pPr>
          </w:p>
        </w:tc>
        <w:tc>
          <w:tcPr>
            <w:tcW w:w="2181"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投资控制，确保竣工财务决算不超概算。</w:t>
            </w:r>
          </w:p>
        </w:tc>
        <w:tc>
          <w:tcPr>
            <w:tcW w:w="9638"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查看项目竣工财务决算资料和核实有关情况。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①除项目代建期内政策调整、物价上涨或不可抗力原因外，竣工财务决算超概算投资的，代建单位记为严重违法违约不良行为。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②违反项目代建合同约定，竣工财务决算超概算投资的，代建单位记为严重违法违约不良行为。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w:t>
            </w:r>
            <w:r>
              <w:rPr>
                <w:rFonts w:hint="eastAsia" w:ascii="仿宋_GB2312" w:hAnsi="仿宋_GB2312" w:eastAsia="仿宋_GB2312" w:cs="仿宋_GB2312"/>
                <w:spacing w:val="-6"/>
                <w:sz w:val="21"/>
                <w:szCs w:val="21"/>
              </w:rPr>
              <w:t>节约投资5‰（含）-2%的，加10分；节约投资2%（含）-5%，加15分；节约5%（含）以上的，加20分。</w:t>
            </w:r>
          </w:p>
        </w:tc>
        <w:tc>
          <w:tcPr>
            <w:tcW w:w="804" w:type="dxa"/>
            <w:vAlign w:val="center"/>
          </w:tcPr>
          <w:p>
            <w:pPr>
              <w:spacing w:line="276" w:lineRule="auto"/>
              <w:rPr>
                <w:rFonts w:hint="eastAsia" w:ascii="仿宋_GB2312" w:hAnsi="仿宋_GB2312" w:eastAsia="仿宋_GB2312" w:cs="仿宋_GB2312"/>
                <w:sz w:val="21"/>
                <w:szCs w:val="21"/>
              </w:rPr>
            </w:pPr>
          </w:p>
        </w:tc>
        <w:tc>
          <w:tcPr>
            <w:tcW w:w="701" w:type="dxa"/>
            <w:vAlign w:val="center"/>
          </w:tcPr>
          <w:p>
            <w:pPr>
              <w:spacing w:line="276" w:lineRule="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254" w:type="dxa"/>
            <w:vMerge w:val="continue"/>
            <w:vAlign w:val="center"/>
          </w:tcPr>
          <w:p>
            <w:pPr>
              <w:spacing w:line="276" w:lineRule="auto"/>
              <w:rPr>
                <w:rFonts w:hint="eastAsia" w:ascii="仿宋_GB2312" w:hAnsi="仿宋_GB2312" w:eastAsia="仿宋_GB2312" w:cs="仿宋_GB2312"/>
                <w:sz w:val="21"/>
                <w:szCs w:val="21"/>
              </w:rPr>
            </w:pP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代建周期控制，确保按照合同约定如期移交实体。</w:t>
            </w:r>
          </w:p>
        </w:tc>
        <w:tc>
          <w:tcPr>
            <w:tcW w:w="96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查看资料和核实有关情况。</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①因代建单位原因致使项目代建周期延长的，从延长之日起，代建单位年度考核直接记为C级；代建周期延期三个月以上的，代建单位记为严重违法违约不良行为。</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②项目实体移交比合同约定提前一至三个月，加10分；提前三个月以上，加20分。</w:t>
            </w:r>
          </w:p>
        </w:tc>
        <w:tc>
          <w:tcPr>
            <w:tcW w:w="804" w:type="dxa"/>
            <w:vAlign w:val="center"/>
          </w:tcPr>
          <w:p>
            <w:pPr>
              <w:spacing w:line="276" w:lineRule="auto"/>
              <w:rPr>
                <w:rFonts w:hint="eastAsia" w:ascii="仿宋_GB2312" w:hAnsi="仿宋_GB2312" w:eastAsia="仿宋_GB2312" w:cs="仿宋_GB2312"/>
                <w:sz w:val="21"/>
                <w:szCs w:val="21"/>
              </w:rPr>
            </w:pPr>
          </w:p>
        </w:tc>
        <w:tc>
          <w:tcPr>
            <w:tcW w:w="701" w:type="dxa"/>
            <w:vAlign w:val="center"/>
          </w:tcPr>
          <w:p>
            <w:pPr>
              <w:spacing w:line="276" w:lineRule="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254" w:type="dxa"/>
            <w:vMerge w:val="continue"/>
            <w:vAlign w:val="center"/>
          </w:tcPr>
          <w:p>
            <w:pPr>
              <w:spacing w:line="276" w:lineRule="auto"/>
              <w:rPr>
                <w:rFonts w:hint="eastAsia" w:ascii="仿宋_GB2312" w:hAnsi="仿宋_GB2312" w:eastAsia="仿宋_GB2312" w:cs="仿宋_GB2312"/>
                <w:sz w:val="21"/>
                <w:szCs w:val="21"/>
              </w:rPr>
            </w:pP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质量控制，确保代建项目的质量合格。</w:t>
            </w:r>
          </w:p>
        </w:tc>
        <w:tc>
          <w:tcPr>
            <w:tcW w:w="96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查看资料和核实有关情况。</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①竣工验收工程质量不合格，从认定之日起，代建单位记为严重违法违约不良行为。</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②项目获得省级行政部门奖项，每项加10分；获得国家部委奖项，每项加20分。（以获奖证书或获奖文件颁布时间计入代建单位考核得分）</w:t>
            </w:r>
          </w:p>
        </w:tc>
        <w:tc>
          <w:tcPr>
            <w:tcW w:w="804" w:type="dxa"/>
            <w:vAlign w:val="center"/>
          </w:tcPr>
          <w:p>
            <w:pPr>
              <w:spacing w:line="276" w:lineRule="auto"/>
              <w:rPr>
                <w:rFonts w:hint="eastAsia" w:ascii="仿宋_GB2312" w:hAnsi="仿宋_GB2312" w:eastAsia="仿宋_GB2312" w:cs="仿宋_GB2312"/>
                <w:sz w:val="21"/>
                <w:szCs w:val="21"/>
              </w:rPr>
            </w:pPr>
          </w:p>
        </w:tc>
        <w:tc>
          <w:tcPr>
            <w:tcW w:w="701" w:type="dxa"/>
            <w:vAlign w:val="center"/>
          </w:tcPr>
          <w:p>
            <w:pPr>
              <w:spacing w:line="276" w:lineRule="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1254" w:type="dxa"/>
            <w:vMerge w:val="continue"/>
            <w:vAlign w:val="center"/>
          </w:tcPr>
          <w:p>
            <w:pPr>
              <w:spacing w:line="276" w:lineRule="auto"/>
              <w:rPr>
                <w:rFonts w:hint="eastAsia" w:ascii="仿宋_GB2312" w:hAnsi="仿宋_GB2312" w:eastAsia="仿宋_GB2312" w:cs="仿宋_GB2312"/>
                <w:sz w:val="21"/>
                <w:szCs w:val="21"/>
              </w:rPr>
            </w:pP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廉洁守法，保证国家和社会公共利益。</w:t>
            </w:r>
          </w:p>
        </w:tc>
        <w:tc>
          <w:tcPr>
            <w:tcW w:w="96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①与项目单位串通，损害国家利益或者社会公共利益的，从发现之日起，代建单位记为严重违法违约不良行为。</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与设计、监理、施工、设备材料供应等单位串通，谋取不正当利益或者损害使用单位利益的，从发现之日起，代建单位年度考核直接记为C级；情节严重或受到行政处罚的，代建单位记为严重违法违约不良行为。</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在代建过程中，发生其他违背廉洁承诺、违反法律法规和政策要求行为，代建单位或单位员工因代建工作被追究刑事责任、处以责令停产停业、暂扣或者吊销许可证或执照、受经济处罚的，从发现之日起，代建单位记为严重违法违约不良行为；受到其他程度处理的，代建单位年度考核直接记为C级。</w:t>
            </w:r>
          </w:p>
        </w:tc>
        <w:tc>
          <w:tcPr>
            <w:tcW w:w="804" w:type="dxa"/>
            <w:vAlign w:val="center"/>
          </w:tcPr>
          <w:p>
            <w:pPr>
              <w:spacing w:line="276" w:lineRule="auto"/>
              <w:rPr>
                <w:rFonts w:hint="eastAsia" w:ascii="仿宋_GB2312" w:hAnsi="仿宋_GB2312" w:eastAsia="仿宋_GB2312" w:cs="仿宋_GB2312"/>
                <w:sz w:val="21"/>
                <w:szCs w:val="21"/>
              </w:rPr>
            </w:pPr>
          </w:p>
        </w:tc>
        <w:tc>
          <w:tcPr>
            <w:tcW w:w="701" w:type="dxa"/>
            <w:vAlign w:val="center"/>
          </w:tcPr>
          <w:p>
            <w:pPr>
              <w:spacing w:line="276" w:lineRule="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254" w:type="dxa"/>
            <w:vMerge w:val="continue"/>
            <w:vAlign w:val="center"/>
          </w:tcPr>
          <w:p>
            <w:pPr>
              <w:spacing w:line="276" w:lineRule="auto"/>
              <w:rPr>
                <w:rFonts w:hint="eastAsia" w:ascii="仿宋_GB2312" w:hAnsi="仿宋_GB2312" w:eastAsia="仿宋_GB2312" w:cs="仿宋_GB2312"/>
                <w:sz w:val="21"/>
                <w:szCs w:val="21"/>
              </w:rPr>
            </w:pP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项目获奖成果</w:t>
            </w:r>
          </w:p>
        </w:tc>
        <w:tc>
          <w:tcPr>
            <w:tcW w:w="96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项目获得省级成果奖项，每项加20分；项目获得国家级成果奖项，每项加30分。（以获奖证书颁布时间计入代建单位考核得分，同时获得国家级和省级同类奖项的，取最高分）</w:t>
            </w:r>
          </w:p>
        </w:tc>
        <w:tc>
          <w:tcPr>
            <w:tcW w:w="804" w:type="dxa"/>
            <w:vAlign w:val="center"/>
          </w:tcPr>
          <w:p>
            <w:pPr>
              <w:spacing w:line="276" w:lineRule="auto"/>
              <w:rPr>
                <w:rFonts w:hint="eastAsia" w:ascii="仿宋_GB2312" w:hAnsi="仿宋_GB2312" w:eastAsia="仿宋_GB2312" w:cs="仿宋_GB2312"/>
                <w:sz w:val="21"/>
                <w:szCs w:val="21"/>
              </w:rPr>
            </w:pPr>
          </w:p>
        </w:tc>
        <w:tc>
          <w:tcPr>
            <w:tcW w:w="701" w:type="dxa"/>
            <w:vAlign w:val="center"/>
          </w:tcPr>
          <w:p>
            <w:pPr>
              <w:spacing w:line="276" w:lineRule="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254" w:type="dxa"/>
            <w:vAlign w:val="center"/>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投标行为</w:t>
            </w: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代建单位参与其他代建项目投标情况</w:t>
            </w:r>
          </w:p>
        </w:tc>
        <w:tc>
          <w:tcPr>
            <w:tcW w:w="96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w:t>
            </w:r>
            <w:r>
              <w:rPr>
                <w:rFonts w:hint="eastAsia" w:ascii="仿宋_GB2312" w:hAnsi="仿宋_GB2312" w:eastAsia="仿宋_GB2312" w:cs="仿宋_GB2312"/>
                <w:kern w:val="0"/>
                <w:sz w:val="21"/>
                <w:szCs w:val="21"/>
              </w:rPr>
              <w:t>违反国家和省招投标法律法规且被行政主管部门</w:t>
            </w:r>
            <w:r>
              <w:rPr>
                <w:rFonts w:hint="eastAsia" w:ascii="仿宋_GB2312" w:hAnsi="仿宋_GB2312" w:eastAsia="仿宋_GB2312" w:cs="仿宋_GB2312"/>
                <w:sz w:val="21"/>
                <w:szCs w:val="21"/>
              </w:rPr>
              <w:t>通报批评的，代建单位年度考核直接记为C级。</w:t>
            </w:r>
          </w:p>
          <w:p>
            <w:pPr>
              <w:spacing w:line="276" w:lineRule="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②</w:t>
            </w:r>
            <w:r>
              <w:rPr>
                <w:rFonts w:hint="eastAsia" w:ascii="仿宋_GB2312" w:hAnsi="仿宋_GB2312" w:eastAsia="仿宋_GB2312" w:cs="仿宋_GB2312"/>
                <w:kern w:val="0"/>
                <w:sz w:val="21"/>
                <w:szCs w:val="21"/>
              </w:rPr>
              <w:t>违反国家和省招投标法律法规且受到行政</w:t>
            </w:r>
            <w:r>
              <w:rPr>
                <w:rFonts w:hint="eastAsia" w:ascii="仿宋_GB2312" w:hAnsi="仿宋_GB2312" w:eastAsia="仿宋_GB2312" w:cs="仿宋_GB2312"/>
                <w:sz w:val="21"/>
                <w:szCs w:val="21"/>
              </w:rPr>
              <w:t>处罚的（含未罚款），从处罚之日起，代建单位记为严重违法违约不良行为。</w:t>
            </w:r>
          </w:p>
        </w:tc>
        <w:tc>
          <w:tcPr>
            <w:tcW w:w="804" w:type="dxa"/>
            <w:vAlign w:val="center"/>
          </w:tcPr>
          <w:p>
            <w:pPr>
              <w:spacing w:line="276" w:lineRule="auto"/>
              <w:rPr>
                <w:rFonts w:hint="eastAsia" w:ascii="仿宋_GB2312" w:hAnsi="仿宋_GB2312" w:eastAsia="仿宋_GB2312" w:cs="仿宋_GB2312"/>
                <w:kern w:val="0"/>
                <w:sz w:val="21"/>
                <w:szCs w:val="21"/>
              </w:rPr>
            </w:pPr>
          </w:p>
        </w:tc>
        <w:tc>
          <w:tcPr>
            <w:tcW w:w="701" w:type="dxa"/>
            <w:vAlign w:val="center"/>
          </w:tcPr>
          <w:p>
            <w:pPr>
              <w:spacing w:line="276" w:lineRule="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4" w:type="dxa"/>
            <w:vAlign w:val="center"/>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考核总分</w:t>
            </w:r>
          </w:p>
        </w:tc>
        <w:tc>
          <w:tcPr>
            <w:tcW w:w="13324" w:type="dxa"/>
            <w:gridSpan w:val="4"/>
            <w:vAlign w:val="center"/>
          </w:tcPr>
          <w:p>
            <w:pPr>
              <w:tabs>
                <w:tab w:val="left" w:pos="8612"/>
              </w:tabs>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b/>
            </w:r>
          </w:p>
          <w:p>
            <w:pPr>
              <w:tabs>
                <w:tab w:val="left" w:pos="8612"/>
              </w:tabs>
              <w:spacing w:line="276" w:lineRule="auto"/>
              <w:rPr>
                <w:rFonts w:hint="eastAsia" w:ascii="仿宋_GB2312" w:hAnsi="仿宋_GB2312" w:eastAsia="仿宋_GB2312" w:cs="仿宋_GB2312"/>
                <w:sz w:val="21"/>
                <w:szCs w:val="21"/>
              </w:rPr>
            </w:pPr>
          </w:p>
        </w:tc>
      </w:tr>
    </w:tbl>
    <w:p>
      <w:pPr>
        <w:widowControl/>
        <w:spacing w:line="520" w:lineRule="exact"/>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备注：同一件事不在多次考核中重复扣分或加分。</w:t>
      </w:r>
    </w:p>
    <w:p>
      <w:pPr>
        <w:widowControl/>
        <w:spacing w:line="520" w:lineRule="exact"/>
        <w:jc w:val="left"/>
        <w:rPr>
          <w:rFonts w:hint="eastAsia" w:ascii="楷体_GB2312" w:hAnsi="楷体_GB2312" w:eastAsia="楷体_GB2312" w:cs="楷体_GB2312"/>
          <w:sz w:val="24"/>
        </w:rPr>
      </w:pPr>
      <w:r>
        <w:rPr>
          <w:rFonts w:hint="eastAsia" w:ascii="仿宋_GB2312" w:hAnsi="仿宋_GB2312" w:eastAsia="仿宋_GB2312" w:cs="仿宋_GB2312"/>
          <w:sz w:val="24"/>
          <w:szCs w:val="24"/>
        </w:rPr>
        <w:t xml:space="preserve">监管评价单位代表签字：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代建单位代表签字：</w:t>
      </w:r>
    </w:p>
    <w:p>
      <w:pPr>
        <w:widowControl/>
        <w:spacing w:line="520" w:lineRule="exact"/>
        <w:jc w:val="left"/>
        <w:rPr>
          <w:rFonts w:hint="eastAsia" w:ascii="Times New Roman" w:hAnsi="Times New Roman" w:eastAsia="黑体" w:cs="Times New Roman"/>
          <w:bCs/>
          <w:kern w:val="0"/>
          <w:sz w:val="32"/>
          <w:szCs w:val="32"/>
          <w:lang w:eastAsia="zh-CN"/>
        </w:rPr>
      </w:pPr>
    </w:p>
    <w:p>
      <w:pPr>
        <w:widowControl/>
        <w:spacing w:line="520" w:lineRule="exact"/>
        <w:jc w:val="left"/>
        <w:rPr>
          <w:rFonts w:hint="eastAsia" w:ascii="黑体" w:hAnsi="黑体" w:eastAsia="黑体" w:cs="黑体"/>
          <w:bCs/>
          <w:kern w:val="0"/>
          <w:sz w:val="32"/>
          <w:szCs w:val="32"/>
        </w:rPr>
      </w:pPr>
      <w:r>
        <w:rPr>
          <w:rFonts w:hint="eastAsia" w:ascii="黑体" w:hAnsi="黑体" w:eastAsia="黑体" w:cs="黑体"/>
          <w:bCs/>
          <w:kern w:val="0"/>
          <w:sz w:val="32"/>
          <w:szCs w:val="32"/>
          <w:lang w:eastAsia="zh-CN"/>
        </w:rPr>
        <w:t>附件</w:t>
      </w:r>
      <w:r>
        <w:rPr>
          <w:rFonts w:hint="eastAsia" w:ascii="黑体" w:hAnsi="黑体" w:eastAsia="黑体" w:cs="黑体"/>
          <w:bCs/>
          <w:kern w:val="0"/>
          <w:sz w:val="32"/>
          <w:szCs w:val="32"/>
        </w:rPr>
        <w:t>2</w:t>
      </w:r>
    </w:p>
    <w:p>
      <w:pPr>
        <w:spacing w:line="572" w:lineRule="exact"/>
        <w:jc w:val="center"/>
        <w:rPr>
          <w:rFonts w:ascii="Times New Roman" w:hAnsi="Times New Roman" w:eastAsia="方正小标宋简体" w:cs="Times New Roman"/>
          <w:bCs/>
          <w:color w:val="000000"/>
          <w:kern w:val="0"/>
          <w:sz w:val="32"/>
          <w:szCs w:val="32"/>
        </w:rPr>
      </w:pPr>
      <w:r>
        <w:rPr>
          <w:rFonts w:hint="eastAsia" w:ascii="黑体" w:hAnsi="黑体" w:eastAsia="黑体" w:cs="黑体"/>
          <w:bCs/>
          <w:kern w:val="0"/>
          <w:sz w:val="32"/>
          <w:szCs w:val="32"/>
        </w:rPr>
        <w:t>代建单位考核评价等级</w:t>
      </w:r>
      <w:r>
        <w:rPr>
          <w:rFonts w:hint="eastAsia" w:ascii="黑体" w:hAnsi="黑体" w:eastAsia="黑体" w:cs="黑体"/>
          <w:bCs/>
          <w:color w:val="000000"/>
          <w:kern w:val="0"/>
          <w:sz w:val="32"/>
          <w:szCs w:val="32"/>
        </w:rPr>
        <w:t>表</w:t>
      </w:r>
    </w:p>
    <w:p>
      <w:pPr>
        <w:spacing w:afterLines="50" w:line="572" w:lineRule="exact"/>
        <w:jc w:val="left"/>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代建单位名称：                                                                    </w:t>
      </w: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 xml:space="preserve"> 年    月   日</w:t>
      </w:r>
    </w:p>
    <w:tbl>
      <w:tblPr>
        <w:tblStyle w:val="22"/>
        <w:tblW w:w="14550"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6"/>
        <w:gridCol w:w="2662"/>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2" w:lineRule="exact"/>
              <w:jc w:val="center"/>
              <w:rPr>
                <w:rFonts w:hint="eastAsia" w:ascii="黑体" w:hAnsi="黑体" w:eastAsia="黑体" w:cs="黑体"/>
                <w:b w:val="0"/>
                <w:bCs/>
                <w:sz w:val="24"/>
                <w:szCs w:val="24"/>
              </w:rPr>
            </w:pPr>
            <w:r>
              <w:rPr>
                <w:rFonts w:hint="eastAsia" w:ascii="黑体" w:hAnsi="黑体" w:eastAsia="黑体" w:cs="黑体"/>
                <w:b w:val="0"/>
                <w:bCs/>
                <w:kern w:val="0"/>
                <w:sz w:val="24"/>
                <w:szCs w:val="24"/>
              </w:rPr>
              <w:t>一、代建单位考核评分</w:t>
            </w:r>
          </w:p>
        </w:tc>
        <w:tc>
          <w:tcPr>
            <w:tcW w:w="26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2" w:lineRule="exact"/>
              <w:jc w:val="center"/>
              <w:rPr>
                <w:rFonts w:hint="eastAsia" w:ascii="黑体" w:hAnsi="黑体" w:eastAsia="黑体" w:cs="黑体"/>
                <w:b w:val="0"/>
                <w:bCs/>
                <w:sz w:val="24"/>
                <w:szCs w:val="24"/>
              </w:rPr>
            </w:pPr>
            <w:r>
              <w:rPr>
                <w:rFonts w:hint="eastAsia" w:ascii="黑体" w:hAnsi="黑体" w:eastAsia="黑体" w:cs="黑体"/>
                <w:b w:val="0"/>
                <w:bCs/>
                <w:kern w:val="0"/>
                <w:sz w:val="24"/>
                <w:szCs w:val="24"/>
              </w:rPr>
              <w:t>评分或评价</w:t>
            </w:r>
          </w:p>
        </w:tc>
        <w:tc>
          <w:tcPr>
            <w:tcW w:w="2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代建单位监管评价等级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2"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1、（代建项目名称）</w:t>
            </w:r>
          </w:p>
        </w:tc>
        <w:tc>
          <w:tcPr>
            <w:tcW w:w="2662" w:type="dxa"/>
            <w:tcBorders>
              <w:top w:val="single" w:color="auto" w:sz="4" w:space="0"/>
              <w:left w:val="single" w:color="auto" w:sz="4" w:space="0"/>
              <w:bottom w:val="single" w:color="auto" w:sz="4" w:space="0"/>
              <w:right w:val="single" w:color="auto" w:sz="4" w:space="0"/>
            </w:tcBorders>
            <w:shd w:val="clear" w:color="auto" w:fill="auto"/>
          </w:tcPr>
          <w:p>
            <w:pPr>
              <w:spacing w:line="572" w:lineRule="exact"/>
              <w:ind w:firstLine="240" w:firstLineChars="100"/>
              <w:jc w:val="center"/>
              <w:rPr>
                <w:rFonts w:hint="eastAsia" w:ascii="仿宋_GB2312" w:hAnsi="仿宋_GB2312" w:eastAsia="仿宋_GB2312" w:cs="仿宋_GB2312"/>
                <w:sz w:val="24"/>
                <w:szCs w:val="24"/>
              </w:rPr>
            </w:pPr>
          </w:p>
        </w:tc>
        <w:tc>
          <w:tcPr>
            <w:tcW w:w="2822" w:type="dxa"/>
            <w:vMerge w:val="restart"/>
            <w:tcBorders>
              <w:top w:val="single" w:color="auto" w:sz="4" w:space="0"/>
              <w:left w:val="single" w:color="auto" w:sz="4" w:space="0"/>
              <w:right w:val="single" w:color="auto" w:sz="4" w:space="0"/>
            </w:tcBorders>
            <w:shd w:val="clear" w:color="auto" w:fill="auto"/>
          </w:tcPr>
          <w:p>
            <w:pPr>
              <w:spacing w:line="572"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2"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2、（代建项目名称）</w:t>
            </w:r>
          </w:p>
        </w:tc>
        <w:tc>
          <w:tcPr>
            <w:tcW w:w="2662" w:type="dxa"/>
            <w:tcBorders>
              <w:top w:val="single" w:color="auto" w:sz="4" w:space="0"/>
              <w:left w:val="single" w:color="auto" w:sz="4" w:space="0"/>
              <w:bottom w:val="single" w:color="auto" w:sz="4" w:space="0"/>
              <w:right w:val="single" w:color="auto" w:sz="4" w:space="0"/>
            </w:tcBorders>
            <w:shd w:val="clear" w:color="auto" w:fill="auto"/>
          </w:tcPr>
          <w:p>
            <w:pPr>
              <w:spacing w:line="572" w:lineRule="exact"/>
              <w:ind w:firstLine="240" w:firstLineChars="100"/>
              <w:rPr>
                <w:rFonts w:hint="eastAsia" w:ascii="仿宋_GB2312" w:hAnsi="仿宋_GB2312" w:eastAsia="仿宋_GB2312" w:cs="仿宋_GB2312"/>
                <w:sz w:val="24"/>
                <w:szCs w:val="24"/>
              </w:rPr>
            </w:pPr>
          </w:p>
        </w:tc>
        <w:tc>
          <w:tcPr>
            <w:tcW w:w="2822" w:type="dxa"/>
            <w:vMerge w:val="continue"/>
            <w:tcBorders>
              <w:left w:val="single" w:color="auto" w:sz="4" w:space="0"/>
              <w:right w:val="single" w:color="auto" w:sz="4" w:space="0"/>
            </w:tcBorders>
            <w:shd w:val="clear" w:color="auto" w:fill="auto"/>
          </w:tcPr>
          <w:p>
            <w:pPr>
              <w:spacing w:line="572" w:lineRule="exact"/>
              <w:ind w:firstLine="240" w:firstLineChars="10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2"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2662" w:type="dxa"/>
            <w:tcBorders>
              <w:top w:val="single" w:color="auto" w:sz="4" w:space="0"/>
              <w:left w:val="single" w:color="auto" w:sz="4" w:space="0"/>
              <w:bottom w:val="single" w:color="auto" w:sz="4" w:space="0"/>
              <w:right w:val="single" w:color="auto" w:sz="4" w:space="0"/>
            </w:tcBorders>
            <w:shd w:val="clear" w:color="auto" w:fill="auto"/>
          </w:tcPr>
          <w:p>
            <w:pPr>
              <w:spacing w:line="572" w:lineRule="exact"/>
              <w:ind w:firstLine="240" w:firstLineChars="100"/>
              <w:rPr>
                <w:rFonts w:hint="eastAsia" w:ascii="仿宋_GB2312" w:hAnsi="仿宋_GB2312" w:eastAsia="仿宋_GB2312" w:cs="仿宋_GB2312"/>
                <w:sz w:val="24"/>
                <w:szCs w:val="24"/>
              </w:rPr>
            </w:pPr>
          </w:p>
        </w:tc>
        <w:tc>
          <w:tcPr>
            <w:tcW w:w="2822" w:type="dxa"/>
            <w:vMerge w:val="continue"/>
            <w:tcBorders>
              <w:left w:val="single" w:color="auto" w:sz="4" w:space="0"/>
              <w:right w:val="single" w:color="auto" w:sz="4" w:space="0"/>
            </w:tcBorders>
            <w:shd w:val="clear" w:color="auto" w:fill="auto"/>
          </w:tcPr>
          <w:p>
            <w:pPr>
              <w:spacing w:line="572" w:lineRule="exact"/>
              <w:ind w:firstLine="240" w:firstLineChars="10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2" w:lineRule="exact"/>
              <w:ind w:firstLine="241" w:firstLineChars="100"/>
              <w:jc w:val="left"/>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代建单位考核得分（项目考核总分/项目个数）</w:t>
            </w:r>
          </w:p>
        </w:tc>
        <w:tc>
          <w:tcPr>
            <w:tcW w:w="2662" w:type="dxa"/>
            <w:tcBorders>
              <w:top w:val="single" w:color="auto" w:sz="4" w:space="0"/>
              <w:left w:val="single" w:color="auto" w:sz="4" w:space="0"/>
              <w:bottom w:val="single" w:color="auto" w:sz="4" w:space="0"/>
              <w:right w:val="single" w:color="auto" w:sz="4" w:space="0"/>
            </w:tcBorders>
            <w:shd w:val="clear" w:color="auto" w:fill="auto"/>
          </w:tcPr>
          <w:p>
            <w:pPr>
              <w:spacing w:line="572" w:lineRule="exact"/>
              <w:ind w:firstLine="240" w:firstLineChars="100"/>
              <w:rPr>
                <w:rFonts w:hint="eastAsia" w:ascii="仿宋_GB2312" w:hAnsi="仿宋_GB2312" w:eastAsia="仿宋_GB2312" w:cs="仿宋_GB2312"/>
                <w:sz w:val="24"/>
                <w:szCs w:val="24"/>
              </w:rPr>
            </w:pPr>
          </w:p>
        </w:tc>
        <w:tc>
          <w:tcPr>
            <w:tcW w:w="2822" w:type="dxa"/>
            <w:vMerge w:val="continue"/>
            <w:tcBorders>
              <w:left w:val="single" w:color="auto" w:sz="4" w:space="0"/>
              <w:right w:val="single" w:color="auto" w:sz="4" w:space="0"/>
            </w:tcBorders>
            <w:shd w:val="clear" w:color="auto" w:fill="auto"/>
          </w:tcPr>
          <w:p>
            <w:pPr>
              <w:spacing w:line="572" w:lineRule="exact"/>
              <w:ind w:firstLine="240" w:firstLineChars="100"/>
              <w:rPr>
                <w:rFonts w:hint="eastAsia" w:ascii="仿宋_GB2312" w:hAnsi="仿宋_GB2312" w:eastAsia="仿宋_GB2312" w:cs="仿宋_GB2312"/>
                <w:sz w:val="24"/>
                <w:szCs w:val="24"/>
              </w:rPr>
            </w:pPr>
          </w:p>
        </w:tc>
      </w:tr>
    </w:tbl>
    <w:p>
      <w:pPr>
        <w:pStyle w:val="12"/>
        <w:numPr>
          <w:ilvl w:val="255"/>
          <w:numId w:val="0"/>
        </w:numPr>
        <w:tabs>
          <w:tab w:val="left" w:pos="0"/>
        </w:tabs>
        <w:spacing w:line="520" w:lineRule="exact"/>
        <w:ind w:firstLine="240" w:firstLineChars="1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注：代建单位有多个被检代建项目的，任一被检代建项目出现直接记为C级或D级的，代建单位当年度监管评价等级相应定为C级或D级。</w:t>
      </w:r>
    </w:p>
    <w:p>
      <w:pPr>
        <w:pStyle w:val="12"/>
        <w:numPr>
          <w:ilvl w:val="255"/>
          <w:numId w:val="0"/>
        </w:numPr>
        <w:tabs>
          <w:tab w:val="left" w:pos="0"/>
        </w:tabs>
        <w:spacing w:line="520" w:lineRule="exact"/>
        <w:rPr>
          <w:rFonts w:hint="eastAsia" w:ascii="黑体" w:hAnsi="黑体" w:eastAsia="黑体" w:cs="黑体"/>
          <w:sz w:val="32"/>
          <w:szCs w:val="32"/>
          <w:lang w:val="en-US" w:eastAsia="zh-CN"/>
        </w:rPr>
      </w:pPr>
    </w:p>
    <w:p>
      <w:pPr>
        <w:pStyle w:val="12"/>
        <w:numPr>
          <w:ilvl w:val="255"/>
          <w:numId w:val="0"/>
        </w:numPr>
        <w:tabs>
          <w:tab w:val="left" w:pos="0"/>
        </w:tabs>
        <w:spacing w:line="52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pStyle w:val="2"/>
      </w:pPr>
      <w:bookmarkStart w:id="0" w:name="_Toc144974478"/>
      <w:bookmarkStart w:id="1" w:name="_Toc152042286"/>
      <w:bookmarkStart w:id="2" w:name="_Toc247527532"/>
      <w:bookmarkStart w:id="3" w:name="_Toc300834926"/>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陕西省省直政府投资项目</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黑体" w:hAnsi="黑体" w:eastAsia="黑体" w:cs="黑体"/>
          <w:b/>
          <w:bCs/>
          <w:sz w:val="32"/>
          <w:szCs w:val="32"/>
        </w:rPr>
      </w:pPr>
      <w:r>
        <w:rPr>
          <w:rFonts w:hint="eastAsia" w:ascii="黑体" w:hAnsi="黑体" w:eastAsia="黑体" w:cs="黑体"/>
          <w:b w:val="0"/>
          <w:bCs w:val="0"/>
          <w:sz w:val="32"/>
          <w:szCs w:val="32"/>
        </w:rPr>
        <w:t>代建单位招标文件示范文本（试行）</w:t>
      </w:r>
    </w:p>
    <w:p>
      <w:pPr>
        <w:keepNext w:val="0"/>
        <w:keepLines w:val="0"/>
        <w:pageBreakBefore w:val="0"/>
        <w:widowControl w:val="0"/>
        <w:kinsoku/>
        <w:wordWrap/>
        <w:overflowPunct/>
        <w:topLinePunct w:val="0"/>
        <w:autoSpaceDE/>
        <w:autoSpaceDN/>
        <w:bidi w:val="0"/>
        <w:adjustRightInd/>
        <w:snapToGrid/>
        <w:spacing w:before="624" w:line="572" w:lineRule="exact"/>
        <w:ind w:left="400" w:hanging="640"/>
        <w:jc w:val="center"/>
        <w:textAlignment w:val="auto"/>
        <w:rPr>
          <w:sz w:val="32"/>
          <w:szCs w:val="32"/>
        </w:rPr>
      </w:pPr>
      <w:r>
        <w:rPr>
          <w:rFonts w:hint="eastAsia" w:ascii="仿宋_GB2312" w:hAnsi="仿宋_GB2312" w:eastAsia="仿宋_GB2312" w:cs="仿宋_GB2312"/>
          <w:spacing w:val="-20"/>
          <w:position w:val="6"/>
          <w:sz w:val="32"/>
          <w:szCs w:val="32"/>
        </w:rPr>
        <w:t>2022年版</w:t>
      </w:r>
    </w:p>
    <w:p>
      <w:pPr>
        <w:pStyle w:val="2"/>
        <w:rPr>
          <w:sz w:val="32"/>
          <w:szCs w:val="32"/>
        </w:rPr>
      </w:pPr>
    </w:p>
    <w:p>
      <w:pPr>
        <w:pStyle w:val="2"/>
        <w:rPr>
          <w:sz w:val="32"/>
          <w:szCs w:val="32"/>
        </w:rPr>
      </w:pPr>
    </w:p>
    <w:p>
      <w:pPr>
        <w:pStyle w:val="2"/>
        <w:rPr>
          <w:sz w:val="32"/>
          <w:szCs w:val="32"/>
        </w:rPr>
      </w:pPr>
    </w:p>
    <w:p>
      <w:pPr>
        <w:pStyle w:val="2"/>
        <w:rPr>
          <w:sz w:val="32"/>
          <w:szCs w:val="32"/>
        </w:rPr>
      </w:pPr>
    </w:p>
    <w:p>
      <w:pPr>
        <w:spacing w:line="360" w:lineRule="auto"/>
        <w:jc w:val="center"/>
        <w:rPr>
          <w:rFonts w:ascii="仿宋" w:hAnsi="仿宋" w:eastAsia="仿宋" w:cs="仿宋"/>
          <w:spacing w:val="-20"/>
          <w:position w:val="6"/>
          <w:sz w:val="32"/>
          <w:szCs w:val="32"/>
        </w:rPr>
      </w:pPr>
    </w:p>
    <w:p>
      <w:pPr>
        <w:pStyle w:val="2"/>
        <w:rPr>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陕西省发展和改革委员会</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2022年4月</w:t>
      </w:r>
    </w:p>
    <w:p>
      <w:pPr>
        <w:jc w:val="center"/>
        <w:rPr>
          <w:rFonts w:hint="eastAsia" w:ascii="仿宋_GB2312" w:hAnsi="仿宋_GB2312" w:eastAsia="仿宋_GB2312" w:cs="仿宋_GB2312"/>
          <w:sz w:val="32"/>
          <w:szCs w:val="32"/>
        </w:rPr>
        <w:sectPr>
          <w:pgSz w:w="11906" w:h="16838"/>
          <w:pgMar w:top="1440" w:right="1800" w:bottom="1440" w:left="1800" w:header="851" w:footer="992" w:gutter="0"/>
          <w:pgNumType w:fmt="numberInDash"/>
          <w:cols w:space="720" w:num="1"/>
          <w:docGrid w:type="lines" w:linePitch="312" w:charSpace="0"/>
        </w:sectPr>
      </w:pPr>
    </w:p>
    <w:p>
      <w:pPr>
        <w:pageBreakBefore/>
        <w:jc w:val="center"/>
      </w:pPr>
      <w:r>
        <w:rPr>
          <w:rFonts w:hint="eastAsia" w:ascii="仿宋" w:hAnsi="仿宋" w:eastAsia="仿宋" w:cs="仿宋"/>
          <w:b/>
          <w:sz w:val="24"/>
        </w:rPr>
        <w:t xml:space="preserve"> </w:t>
      </w:r>
    </w:p>
    <w:p>
      <w:pPr>
        <w:jc w:val="center"/>
        <w:rPr>
          <w:rFonts w:hint="eastAsia" w:ascii="黑体" w:hAnsi="黑体" w:eastAsia="黑体" w:cs="黑体"/>
          <w:sz w:val="32"/>
          <w:szCs w:val="32"/>
        </w:rPr>
      </w:pPr>
      <w:r>
        <w:rPr>
          <w:rFonts w:hint="eastAsia" w:ascii="黑体" w:hAnsi="黑体" w:eastAsia="黑体" w:cs="黑体"/>
          <w:b/>
          <w:sz w:val="32"/>
          <w:szCs w:val="32"/>
        </w:rPr>
        <w:t>使 用 说 明</w:t>
      </w:r>
    </w:p>
    <w:p>
      <w:pPr>
        <w:spacing w:line="540" w:lineRule="exact"/>
        <w:ind w:firstLine="480"/>
        <w:jc w:val="left"/>
        <w:rPr>
          <w:rFonts w:hint="eastAsia" w:ascii="仿宋_GB2312" w:hAnsi="仿宋_GB2312" w:eastAsia="仿宋_GB2312" w:cs="仿宋_GB2312"/>
          <w:b/>
          <w:sz w:val="32"/>
          <w:szCs w:val="32"/>
        </w:rPr>
      </w:pPr>
    </w:p>
    <w:p>
      <w:pPr>
        <w:snapToGrid w:val="0"/>
        <w:spacing w:line="540" w:lineRule="exact"/>
        <w:ind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陕西省省直政府投资项目代建单位招标文件示范文本》（试行）（以下简称“招标文件示范文本”）依据《中华人民共和国招标投标法》《中华人民共和国政府采购法》《中华人民共和国招标投标法实施条例》《中华人民共和国政府采购法实施条例》《陕西省实施〈中华人民共和国招标投标法〉办法》《陕西省省直政府投资项目代建单位招标投标办法（试行）》等编制。</w:t>
      </w:r>
    </w:p>
    <w:p>
      <w:pPr>
        <w:snapToGrid w:val="0"/>
        <w:spacing w:line="540" w:lineRule="exact"/>
        <w:ind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二、《招标文件示范文本》适用于本省行政区域内省直政府投资项目代建单位招标，招标限额以下和市县（区）政府投资项目、企业投资项目的代建单位选择可参考使用。</w:t>
      </w:r>
    </w:p>
    <w:p>
      <w:pPr>
        <w:snapToGrid w:val="0"/>
        <w:spacing w:line="540" w:lineRule="exact"/>
        <w:ind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招标文件示范文本》中，空格加下划线标示的内容由招标人填写；文本中在章、节、条、款、项、目前标注“□”的内容表示可选，选择后应将“□”和其他备选内容删除；条文后括号内斜体字为编制正式招标文件的说明提示，正式发布招标文件时应删除斜体文字。除文本中明示可以调整的内容可根据项目情况进行表述外，其余部分均应不加修改地直接引用。填空、选择和补充内容由招标人根据国家和地方有关法律法规的规定以及招标项目具体情况确定并用醒目的字体标记。用下划线标出的引用文件须用最新的有效文件替代。用下划线标出的内容可根据项目实际情况进行调整。</w:t>
      </w:r>
    </w:p>
    <w:p>
      <w:pPr>
        <w:snapToGrid w:val="0"/>
        <w:spacing w:line="54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招标文件示范文本》第三章“评标办法”规定了综合评估法评标办法，各评审因素的权重等由招标人按《招标文件示范文本》的有关规定和代建项目具体情况确定，《招标文件示范文本》规定的其他评标程序、方式、标准和要求均须严格执行。</w:t>
      </w:r>
    </w:p>
    <w:p>
      <w:pPr>
        <w:snapToGrid w:val="0"/>
        <w:spacing w:line="54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五、《招标文件示范文本》第四章中的“合同专用条款”规定如下：</w:t>
      </w:r>
    </w:p>
    <w:p>
      <w:pPr>
        <w:snapToGrid w:val="0"/>
        <w:spacing w:line="54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合同专用条款”是对“合同通用条款”的补充和细化，但不得违反法律、行政法规的强制性规定，以及平等、自愿、公平和诚实信用原则。除“合同通用条款”明确“合同专用条款”可作出不同约定外，补充和细化的内容不得与“合同通用条款”相抵触，否则抵触内容无效。</w:t>
      </w:r>
    </w:p>
    <w:p>
      <w:pPr>
        <w:snapToGrid w:val="0"/>
        <w:spacing w:line="54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2、“合同专用条款”的编号应与相应的“合同通用条款”的编号一致。</w:t>
      </w:r>
    </w:p>
    <w:p>
      <w:pPr>
        <w:snapToGrid w:val="0"/>
        <w:spacing w:line="54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合同专用条款”中有下划线的条款，合同双方当事人可针对相应的“合同通用条款”进行细化、完善、补充、修改或另行约定，如果不需进行细化、完善、补充、修改或另行约定，可删除或写“无”，但必须符合本《招标文件示范文本》中说明提示的要求。</w:t>
      </w:r>
    </w:p>
    <w:p>
      <w:pPr>
        <w:spacing w:line="360" w:lineRule="auto"/>
        <w:jc w:val="center"/>
        <w:rPr>
          <w:rFonts w:hint="eastAsia" w:ascii="仿宋_GB2312" w:hAnsi="仿宋_GB2312" w:eastAsia="仿宋_GB2312" w:cs="仿宋_GB2312"/>
          <w:b/>
          <w:position w:val="6"/>
          <w:sz w:val="32"/>
          <w:szCs w:val="32"/>
          <w:u w:val="single"/>
        </w:rPr>
      </w:pPr>
    </w:p>
    <w:p>
      <w:pPr>
        <w:pageBreakBefore/>
        <w:spacing w:line="360" w:lineRule="auto"/>
        <w:jc w:val="center"/>
        <w:rPr>
          <w:rFonts w:hint="eastAsia" w:ascii="仿宋_GB2312" w:hAnsi="仿宋_GB2312" w:eastAsia="仿宋_GB2312" w:cs="仿宋_GB2312"/>
          <w:b/>
          <w:position w:val="6"/>
          <w:sz w:val="32"/>
          <w:szCs w:val="32"/>
          <w:u w:val="single"/>
        </w:rPr>
        <w:sectPr>
          <w:footerReference r:id="rId4" w:type="default"/>
          <w:pgSz w:w="11906" w:h="16838"/>
          <w:pgMar w:top="1440" w:right="1800" w:bottom="1440" w:left="1800" w:header="851" w:footer="992" w:gutter="0"/>
          <w:pgNumType w:fmt="numberInDash" w:start="1"/>
          <w:cols w:space="720" w:num="1"/>
          <w:docGrid w:type="lines" w:linePitch="312" w:charSpace="0"/>
        </w:sectPr>
      </w:pPr>
    </w:p>
    <w:p>
      <w:pPr>
        <w:pStyle w:val="2"/>
      </w:pPr>
    </w:p>
    <w:p>
      <w:pPr>
        <w:pStyle w:val="2"/>
      </w:pPr>
    </w:p>
    <w:p>
      <w:pPr>
        <w:spacing w:line="360" w:lineRule="auto"/>
        <w:jc w:val="center"/>
        <w:rPr>
          <w:rFonts w:ascii="仿宋" w:hAnsi="仿宋" w:eastAsia="仿宋" w:cs="仿宋"/>
          <w:b/>
          <w:position w:val="6"/>
          <w:sz w:val="24"/>
          <w:u w:val="single"/>
        </w:rPr>
      </w:pPr>
    </w:p>
    <w:p>
      <w:pPr>
        <w:spacing w:line="360" w:lineRule="auto"/>
        <w:jc w:val="center"/>
        <w:rPr>
          <w:rFonts w:hint="eastAsia" w:ascii="黑体" w:hAnsi="黑体" w:eastAsia="黑体" w:cs="黑体"/>
          <w:b w:val="0"/>
          <w:bCs/>
          <w:sz w:val="32"/>
          <w:szCs w:val="32"/>
        </w:rPr>
      </w:pPr>
      <w:r>
        <w:rPr>
          <w:rFonts w:hint="eastAsia" w:ascii="黑体" w:hAnsi="黑体" w:eastAsia="黑体" w:cs="黑体"/>
          <w:b w:val="0"/>
          <w:bCs/>
          <w:i/>
          <w:position w:val="6"/>
          <w:sz w:val="32"/>
          <w:szCs w:val="32"/>
          <w:u w:val="single"/>
        </w:rPr>
        <w:t xml:space="preserve">            </w:t>
      </w:r>
      <w:r>
        <w:rPr>
          <w:rFonts w:hint="eastAsia" w:ascii="黑体" w:hAnsi="黑体" w:eastAsia="黑体" w:cs="黑体"/>
          <w:b w:val="0"/>
          <w:bCs/>
          <w:position w:val="6"/>
          <w:sz w:val="32"/>
          <w:szCs w:val="32"/>
        </w:rPr>
        <w:t>项目代建单位招标</w:t>
      </w:r>
    </w:p>
    <w:p>
      <w:pPr>
        <w:spacing w:line="360" w:lineRule="auto"/>
        <w:jc w:val="center"/>
        <w:rPr>
          <w:rFonts w:hint="eastAsia" w:ascii="黑体" w:hAnsi="黑体" w:eastAsia="黑体" w:cs="黑体"/>
          <w:b/>
          <w:position w:val="6"/>
          <w:sz w:val="32"/>
          <w:szCs w:val="32"/>
        </w:rPr>
      </w:pPr>
    </w:p>
    <w:p>
      <w:pPr>
        <w:spacing w:line="360" w:lineRule="auto"/>
        <w:jc w:val="center"/>
        <w:rPr>
          <w:rFonts w:hint="eastAsia" w:ascii="黑体" w:hAnsi="黑体" w:eastAsia="黑体" w:cs="黑体"/>
          <w:b w:val="0"/>
          <w:bCs/>
          <w:sz w:val="32"/>
          <w:szCs w:val="32"/>
        </w:rPr>
      </w:pPr>
      <w:r>
        <w:rPr>
          <w:rFonts w:hint="eastAsia" w:ascii="黑体" w:hAnsi="黑体" w:eastAsia="黑体" w:cs="黑体"/>
          <w:b w:val="0"/>
          <w:bCs/>
          <w:position w:val="6"/>
          <w:sz w:val="32"/>
          <w:szCs w:val="32"/>
        </w:rPr>
        <w:t>招</w:t>
      </w:r>
      <w:r>
        <w:rPr>
          <w:rFonts w:hint="eastAsia" w:ascii="黑体" w:hAnsi="黑体" w:eastAsia="黑体" w:cs="黑体"/>
          <w:b w:val="0"/>
          <w:bCs/>
          <w:position w:val="6"/>
          <w:sz w:val="32"/>
          <w:szCs w:val="32"/>
          <w:lang w:val="en-US" w:eastAsia="zh-CN"/>
        </w:rPr>
        <w:t xml:space="preserve"> </w:t>
      </w:r>
      <w:r>
        <w:rPr>
          <w:rFonts w:hint="eastAsia" w:ascii="黑体" w:hAnsi="黑体" w:eastAsia="黑体" w:cs="黑体"/>
          <w:b w:val="0"/>
          <w:bCs/>
          <w:position w:val="6"/>
          <w:sz w:val="32"/>
          <w:szCs w:val="32"/>
        </w:rPr>
        <w:t>标</w:t>
      </w:r>
      <w:r>
        <w:rPr>
          <w:rFonts w:hint="eastAsia" w:ascii="黑体" w:hAnsi="黑体" w:eastAsia="黑体" w:cs="黑体"/>
          <w:b w:val="0"/>
          <w:bCs/>
          <w:position w:val="6"/>
          <w:sz w:val="32"/>
          <w:szCs w:val="32"/>
          <w:lang w:val="en-US" w:eastAsia="zh-CN"/>
        </w:rPr>
        <w:t xml:space="preserve"> </w:t>
      </w:r>
      <w:r>
        <w:rPr>
          <w:rFonts w:hint="eastAsia" w:ascii="黑体" w:hAnsi="黑体" w:eastAsia="黑体" w:cs="黑体"/>
          <w:b w:val="0"/>
          <w:bCs/>
          <w:position w:val="6"/>
          <w:sz w:val="32"/>
          <w:szCs w:val="32"/>
        </w:rPr>
        <w:t>文</w:t>
      </w:r>
      <w:r>
        <w:rPr>
          <w:rFonts w:hint="eastAsia" w:ascii="黑体" w:hAnsi="黑体" w:eastAsia="黑体" w:cs="黑体"/>
          <w:b w:val="0"/>
          <w:bCs/>
          <w:position w:val="6"/>
          <w:sz w:val="32"/>
          <w:szCs w:val="32"/>
          <w:lang w:val="en-US" w:eastAsia="zh-CN"/>
        </w:rPr>
        <w:t xml:space="preserve"> </w:t>
      </w:r>
      <w:r>
        <w:rPr>
          <w:rFonts w:hint="eastAsia" w:ascii="黑体" w:hAnsi="黑体" w:eastAsia="黑体" w:cs="黑体"/>
          <w:b w:val="0"/>
          <w:bCs/>
          <w:position w:val="6"/>
          <w:sz w:val="32"/>
          <w:szCs w:val="32"/>
        </w:rPr>
        <w:t>件</w:t>
      </w:r>
    </w:p>
    <w:p>
      <w:pPr>
        <w:pStyle w:val="2"/>
      </w:pPr>
    </w:p>
    <w:p>
      <w:pPr>
        <w:spacing w:line="360" w:lineRule="auto"/>
        <w:jc w:val="center"/>
        <w:rPr>
          <w:rFonts w:ascii="仿宋" w:hAnsi="仿宋" w:eastAsia="仿宋" w:cs="仿宋"/>
          <w:spacing w:val="-20"/>
          <w:position w:val="6"/>
          <w:sz w:val="30"/>
          <w:szCs w:val="30"/>
        </w:rPr>
      </w:pPr>
    </w:p>
    <w:p>
      <w:pPr>
        <w:pStyle w:val="2"/>
      </w:pPr>
    </w:p>
    <w:p>
      <w:pPr>
        <w:spacing w:line="360" w:lineRule="auto"/>
        <w:jc w:val="center"/>
        <w:rPr>
          <w:rFonts w:ascii="仿宋" w:hAnsi="仿宋" w:eastAsia="仿宋" w:cs="仿宋"/>
          <w:spacing w:val="-20"/>
          <w:position w:val="6"/>
          <w:sz w:val="30"/>
          <w:szCs w:val="30"/>
        </w:rPr>
      </w:pPr>
    </w:p>
    <w:p>
      <w:pPr>
        <w:pStyle w:val="2"/>
      </w:pPr>
    </w:p>
    <w:p>
      <w:pPr>
        <w:spacing w:line="360" w:lineRule="auto"/>
        <w:jc w:val="center"/>
        <w:rPr>
          <w:rFonts w:ascii="仿宋" w:hAnsi="仿宋" w:eastAsia="仿宋" w:cs="仿宋"/>
          <w:spacing w:val="-20"/>
          <w:position w:val="6"/>
          <w:sz w:val="30"/>
          <w:szCs w:val="30"/>
        </w:rPr>
      </w:pPr>
    </w:p>
    <w:p>
      <w:pPr>
        <w:pStyle w:val="2"/>
        <w:rPr>
          <w:rFonts w:ascii="仿宋" w:hAnsi="仿宋" w:eastAsia="仿宋" w:cs="仿宋"/>
          <w:spacing w:val="-20"/>
          <w:position w:val="6"/>
          <w:sz w:val="30"/>
          <w:szCs w:val="30"/>
        </w:rPr>
      </w:pPr>
    </w:p>
    <w:p>
      <w:pPr>
        <w:pStyle w:val="2"/>
        <w:rPr>
          <w:rFonts w:ascii="仿宋" w:hAnsi="仿宋" w:eastAsia="仿宋" w:cs="仿宋"/>
          <w:spacing w:val="-20"/>
          <w:position w:val="6"/>
          <w:sz w:val="30"/>
          <w:szCs w:val="30"/>
        </w:rPr>
      </w:pPr>
    </w:p>
    <w:p>
      <w:pPr>
        <w:pStyle w:val="2"/>
        <w:rPr>
          <w:rFonts w:ascii="仿宋" w:hAnsi="仿宋" w:eastAsia="仿宋" w:cs="仿宋"/>
          <w:spacing w:val="-20"/>
          <w:position w:val="6"/>
          <w:sz w:val="30"/>
          <w:szCs w:val="30"/>
        </w:rPr>
      </w:pPr>
    </w:p>
    <w:p>
      <w:pPr>
        <w:pStyle w:val="2"/>
        <w:rPr>
          <w:rFonts w:ascii="仿宋" w:hAnsi="仿宋" w:eastAsia="仿宋" w:cs="仿宋"/>
          <w:spacing w:val="-20"/>
          <w:position w:val="6"/>
          <w:sz w:val="30"/>
          <w:szCs w:val="30"/>
        </w:rPr>
      </w:pPr>
    </w:p>
    <w:p>
      <w:pPr>
        <w:pStyle w:val="2"/>
        <w:rPr>
          <w:rFonts w:ascii="仿宋" w:hAnsi="仿宋" w:eastAsia="仿宋" w:cs="仿宋"/>
          <w:spacing w:val="-20"/>
          <w:position w:val="6"/>
          <w:sz w:val="30"/>
          <w:szCs w:val="30"/>
        </w:rPr>
      </w:pPr>
    </w:p>
    <w:p>
      <w:pPr>
        <w:pStyle w:val="2"/>
        <w:rPr>
          <w:rFonts w:ascii="仿宋" w:hAnsi="仿宋" w:eastAsia="仿宋" w:cs="仿宋"/>
          <w:spacing w:val="-20"/>
          <w:position w:val="6"/>
          <w:sz w:val="30"/>
          <w:szCs w:val="30"/>
        </w:rPr>
      </w:pPr>
    </w:p>
    <w:p>
      <w:pPr>
        <w:pStyle w:val="2"/>
        <w:rPr>
          <w:rFonts w:ascii="仿宋" w:hAnsi="仿宋" w:eastAsia="仿宋" w:cs="仿宋"/>
          <w:spacing w:val="-20"/>
          <w:position w:val="6"/>
          <w:sz w:val="30"/>
          <w:szCs w:val="30"/>
        </w:rPr>
      </w:pPr>
    </w:p>
    <w:p>
      <w:pPr>
        <w:pStyle w:val="2"/>
        <w:rPr>
          <w:rFonts w:ascii="仿宋" w:hAnsi="仿宋" w:eastAsia="仿宋" w:cs="仿宋"/>
          <w:spacing w:val="-20"/>
          <w:position w:val="6"/>
          <w:sz w:val="30"/>
          <w:szCs w:val="30"/>
        </w:rPr>
      </w:pPr>
    </w:p>
    <w:p>
      <w:pPr>
        <w:spacing w:line="360" w:lineRule="auto"/>
        <w:jc w:val="center"/>
        <w:rPr>
          <w:rFonts w:ascii="仿宋" w:hAnsi="仿宋" w:eastAsia="仿宋" w:cs="仿宋"/>
          <w:spacing w:val="-20"/>
          <w:position w:val="6"/>
          <w:sz w:val="30"/>
          <w:szCs w:val="30"/>
        </w:rPr>
      </w:pPr>
    </w:p>
    <w:p>
      <w:pPr>
        <w:spacing w:line="360" w:lineRule="auto"/>
        <w:jc w:val="center"/>
        <w:rPr>
          <w:rFonts w:ascii="仿宋" w:hAnsi="仿宋" w:eastAsia="仿宋" w:cs="仿宋"/>
          <w:spacing w:val="-20"/>
          <w:position w:val="6"/>
          <w:sz w:val="30"/>
          <w:szCs w:val="30"/>
        </w:rPr>
      </w:pPr>
    </w:p>
    <w:p>
      <w:pPr>
        <w:spacing w:line="720" w:lineRule="auto"/>
        <w:ind w:left="420" w:firstLine="765"/>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pacing w:val="20"/>
          <w:sz w:val="32"/>
          <w:szCs w:val="32"/>
        </w:rPr>
        <w:t>招 标 人：</w:t>
      </w:r>
      <w:r>
        <w:rPr>
          <w:rFonts w:hint="eastAsia" w:ascii="仿宋_GB2312" w:hAnsi="仿宋_GB2312" w:eastAsia="仿宋_GB2312" w:cs="仿宋_GB2312"/>
          <w:b w:val="0"/>
          <w:bCs/>
          <w:spacing w:val="20"/>
          <w:sz w:val="32"/>
          <w:szCs w:val="32"/>
          <w:u w:val="single"/>
        </w:rPr>
        <w:t xml:space="preserve">                   </w:t>
      </w:r>
    </w:p>
    <w:p>
      <w:pPr>
        <w:spacing w:line="720" w:lineRule="auto"/>
        <w:ind w:left="420" w:firstLine="765"/>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pacing w:val="20"/>
          <w:sz w:val="32"/>
          <w:szCs w:val="32"/>
        </w:rPr>
        <w:t>招标代理机构：</w:t>
      </w:r>
      <w:r>
        <w:rPr>
          <w:rFonts w:hint="eastAsia" w:ascii="仿宋_GB2312" w:hAnsi="仿宋_GB2312" w:eastAsia="仿宋_GB2312" w:cs="仿宋_GB2312"/>
          <w:b w:val="0"/>
          <w:bCs/>
          <w:spacing w:val="20"/>
          <w:sz w:val="32"/>
          <w:szCs w:val="32"/>
          <w:u w:val="single"/>
        </w:rPr>
        <w:t xml:space="preserve">（盖单位章）      </w:t>
      </w:r>
    </w:p>
    <w:p>
      <w:pPr>
        <w:spacing w:line="720" w:lineRule="auto"/>
        <w:ind w:left="420" w:firstLine="765"/>
      </w:pPr>
      <w:r>
        <w:rPr>
          <w:rFonts w:hint="eastAsia" w:ascii="仿宋_GB2312" w:hAnsi="仿宋_GB2312" w:eastAsia="仿宋_GB2312" w:cs="仿宋_GB2312"/>
          <w:b w:val="0"/>
          <w:bCs/>
          <w:spacing w:val="20"/>
          <w:sz w:val="32"/>
          <w:szCs w:val="32"/>
        </w:rPr>
        <w:t>日    期：</w:t>
      </w:r>
      <w:r>
        <w:rPr>
          <w:rFonts w:hint="eastAsia" w:ascii="仿宋_GB2312" w:hAnsi="仿宋_GB2312" w:eastAsia="仿宋_GB2312" w:cs="仿宋_GB2312"/>
          <w:b w:val="0"/>
          <w:bCs/>
          <w:spacing w:val="20"/>
          <w:sz w:val="32"/>
          <w:szCs w:val="32"/>
          <w:u w:val="single"/>
        </w:rPr>
        <w:t xml:space="preserve">     </w:t>
      </w:r>
      <w:r>
        <w:rPr>
          <w:rFonts w:hint="eastAsia" w:ascii="仿宋_GB2312" w:hAnsi="仿宋_GB2312" w:eastAsia="仿宋_GB2312" w:cs="仿宋_GB2312"/>
          <w:b w:val="0"/>
          <w:bCs/>
          <w:spacing w:val="20"/>
          <w:sz w:val="32"/>
          <w:szCs w:val="32"/>
        </w:rPr>
        <w:t>年</w:t>
      </w:r>
      <w:r>
        <w:rPr>
          <w:rFonts w:hint="eastAsia" w:ascii="仿宋_GB2312" w:hAnsi="仿宋_GB2312" w:eastAsia="仿宋_GB2312" w:cs="仿宋_GB2312"/>
          <w:b w:val="0"/>
          <w:bCs/>
          <w:spacing w:val="20"/>
          <w:sz w:val="32"/>
          <w:szCs w:val="32"/>
          <w:u w:val="single"/>
        </w:rPr>
        <w:t xml:space="preserve">    </w:t>
      </w:r>
      <w:r>
        <w:rPr>
          <w:rFonts w:hint="eastAsia" w:ascii="仿宋_GB2312" w:hAnsi="仿宋_GB2312" w:eastAsia="仿宋_GB2312" w:cs="仿宋_GB2312"/>
          <w:b w:val="0"/>
          <w:bCs/>
          <w:spacing w:val="20"/>
          <w:sz w:val="32"/>
          <w:szCs w:val="32"/>
        </w:rPr>
        <w:t>月</w:t>
      </w:r>
      <w:r>
        <w:rPr>
          <w:rFonts w:hint="eastAsia" w:ascii="仿宋_GB2312" w:hAnsi="仿宋_GB2312" w:eastAsia="仿宋_GB2312" w:cs="仿宋_GB2312"/>
          <w:b w:val="0"/>
          <w:bCs/>
          <w:spacing w:val="20"/>
          <w:sz w:val="32"/>
          <w:szCs w:val="32"/>
          <w:u w:val="single"/>
        </w:rPr>
        <w:t xml:space="preserve">    </w:t>
      </w:r>
      <w:r>
        <w:rPr>
          <w:rFonts w:hint="eastAsia" w:ascii="仿宋_GB2312" w:hAnsi="仿宋_GB2312" w:eastAsia="仿宋_GB2312" w:cs="仿宋_GB2312"/>
          <w:b w:val="0"/>
          <w:bCs/>
          <w:spacing w:val="20"/>
          <w:sz w:val="32"/>
          <w:szCs w:val="32"/>
        </w:rPr>
        <w:t>日</w:t>
      </w:r>
      <w:r>
        <w:rPr>
          <w:rFonts w:hint="eastAsia" w:ascii="仿宋" w:hAnsi="仿宋" w:eastAsia="仿宋" w:cs="仿宋"/>
          <w:b w:val="0"/>
          <w:bCs/>
          <w:spacing w:val="20"/>
          <w:sz w:val="30"/>
          <w:szCs w:val="30"/>
        </w:rPr>
        <w:t xml:space="preserve"> </w:t>
      </w:r>
    </w:p>
    <w:p>
      <w:pPr>
        <w:keepNext/>
        <w:keepLines/>
        <w:spacing w:line="360" w:lineRule="auto"/>
        <w:jc w:val="center"/>
        <w:sectPr>
          <w:footerReference r:id="rId5" w:type="default"/>
          <w:pgSz w:w="11906" w:h="16838"/>
          <w:pgMar w:top="1440" w:right="1800" w:bottom="1440" w:left="1800" w:header="851" w:footer="992" w:gutter="0"/>
          <w:pgNumType w:fmt="numberInDash" w:start="1"/>
          <w:cols w:space="720" w:num="1"/>
          <w:docGrid w:type="lines" w:linePitch="312" w:charSpace="0"/>
        </w:sectPr>
      </w:pPr>
    </w:p>
    <w:p>
      <w:pPr>
        <w:keepNext/>
        <w:keepLines/>
        <w:spacing w:line="360" w:lineRule="auto"/>
        <w:jc w:val="center"/>
        <w:rPr>
          <w:rFonts w:hint="eastAsia"/>
          <w:b/>
          <w:bCs/>
          <w:sz w:val="32"/>
          <w:szCs w:val="32"/>
        </w:rPr>
      </w:pPr>
    </w:p>
    <w:p>
      <w:pPr>
        <w:keepNext/>
        <w:keepLines/>
        <w:spacing w:line="360" w:lineRule="auto"/>
        <w:jc w:val="center"/>
        <w:rPr>
          <w:rFonts w:hint="eastAsia" w:ascii="黑体" w:hAnsi="黑体" w:eastAsia="黑体" w:cs="黑体"/>
          <w:b/>
          <w:bCs/>
          <w:sz w:val="32"/>
          <w:szCs w:val="32"/>
        </w:rPr>
      </w:pPr>
      <w:r>
        <w:rPr>
          <w:rFonts w:hint="eastAsia" w:ascii="黑体" w:hAnsi="黑体" w:eastAsia="黑体" w:cs="黑体"/>
          <w:b/>
          <w:bCs/>
          <w:sz w:val="32"/>
          <w:szCs w:val="32"/>
        </w:rPr>
        <w:t>目   录</w:t>
      </w:r>
      <w:bookmarkEnd w:id="0"/>
      <w:bookmarkEnd w:id="1"/>
      <w:bookmarkEnd w:id="2"/>
      <w:bookmarkEnd w:id="3"/>
    </w:p>
    <w:p>
      <w:pPr>
        <w:pStyle w:val="2"/>
        <w:rPr>
          <w:rFonts w:hint="eastAsia"/>
          <w:b/>
          <w:bCs/>
          <w:sz w:val="32"/>
          <w:szCs w:val="32"/>
        </w:rPr>
      </w:pPr>
    </w:p>
    <w:p>
      <w:pPr>
        <w:pStyle w:val="18"/>
        <w:tabs>
          <w:tab w:val="right" w:leader="dot" w:pos="8306"/>
        </w:tabs>
        <w:rPr>
          <w:rFonts w:hint="eastAsia" w:ascii="仿宋_GB2312" w:hAnsi="仿宋_GB2312" w:eastAsia="仿宋_GB2312" w:cs="仿宋_GB2312"/>
          <w:sz w:val="32"/>
          <w:szCs w:val="32"/>
        </w:rPr>
      </w:pPr>
      <w:bookmarkStart w:id="4" w:name="_Toc247513932"/>
      <w:bookmarkStart w:id="5" w:name="_Toc247527533"/>
      <w:bookmarkStart w:id="6" w:name="_Toc152045511"/>
      <w:bookmarkStart w:id="7" w:name="_Toc144974479"/>
      <w:bookmarkStart w:id="8" w:name="_Toc152042287"/>
      <w:r>
        <w:rPr>
          <w:rFonts w:hint="eastAsia" w:ascii="仿宋_GB2312" w:hAnsi="仿宋_GB2312" w:eastAsia="仿宋_GB2312" w:cs="仿宋_GB2312"/>
          <w:b w:val="0"/>
          <w:bCs w:val="0"/>
          <w:caps w:val="0"/>
          <w:sz w:val="32"/>
          <w:szCs w:val="32"/>
        </w:rPr>
        <w:fldChar w:fldCharType="begin"/>
      </w:r>
      <w:r>
        <w:rPr>
          <w:rFonts w:hint="eastAsia" w:ascii="仿宋_GB2312" w:hAnsi="仿宋_GB2312" w:eastAsia="仿宋_GB2312" w:cs="仿宋_GB2312"/>
          <w:b w:val="0"/>
          <w:bCs w:val="0"/>
          <w:caps w:val="0"/>
          <w:sz w:val="32"/>
          <w:szCs w:val="32"/>
        </w:rPr>
        <w:instrText xml:space="preserve"> TOC \o "1-3" \h \z \u </w:instrText>
      </w:r>
      <w:r>
        <w:rPr>
          <w:rFonts w:hint="eastAsia" w:ascii="仿宋_GB2312" w:hAnsi="仿宋_GB2312" w:eastAsia="仿宋_GB2312" w:cs="仿宋_GB2312"/>
          <w:b w:val="0"/>
          <w:bCs w:val="0"/>
          <w:caps w:val="0"/>
          <w:sz w:val="32"/>
          <w:szCs w:val="32"/>
        </w:rPr>
        <w:fldChar w:fldCharType="separate"/>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_Toc26345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第一章 招标公告（适用于公开招标）</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_Toc26345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- 1 -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_Toc9667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rPr>
        <w:t>1.招标条件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_Toc9667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_Toc23654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rPr>
        <w:t>2.代建项目概况与招标范围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_Toc23654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_Toc20635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rPr>
        <w:t>3.投标人资格条件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_Toc20635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_Toc5779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rPr>
        <w:t>4.招标文件的获取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_Toc5779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_Toc23577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rPr>
        <w:t>5.投标文件的递交及开标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_Toc23577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_Toc1965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rPr>
        <w:t>6.发布公告的媒介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_Toc2349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rPr>
        <w:t>7.其他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_Toc19941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rPr>
        <w:t>8.行政监督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_Toc19941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_Toc25152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sz w:val="32"/>
          <w:szCs w:val="32"/>
        </w:rPr>
        <w:t>9.联系方式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_Toc25152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val="0"/>
          <w:sz w:val="32"/>
          <w:szCs w:val="32"/>
        </w:rPr>
        <w:fldChar w:fldCharType="end"/>
      </w:r>
    </w:p>
    <w:p>
      <w:pPr>
        <w:pStyle w:val="1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_Toc793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第一章 投标邀请书（适用于邀请招标）</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_Toc793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- 5 -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_Toc13956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1.招标条件</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_Toc13956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- 5 -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_Toc2894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2.代建项目概况与招标范围</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_Toc2894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- 5 -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_Toc27905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3.投标人资格条件</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_Toc27905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- 6 -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_Toc24607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4.招标文件的获取</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_Toc24607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- 7 -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_Toc21717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5.投标文件的递交及开标</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_Toc21717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- 7 -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_Toc2167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6.确认</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_Toc2167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- 7 -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_Toc1136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7.其他</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_Toc1136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- 8 -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_Toc10071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8.行政监督</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_Toc10071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- 8 -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_Toc10211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9.联系方式</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_Toc10211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- 8 -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8"/>
        <w:tabs>
          <w:tab w:val="right" w:leader="dot" w:pos="8306"/>
        </w:tabs>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_Toc8556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第二章 投标人须知</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_Toc8556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- 14 -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_Toc24185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投标人须知前附表</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_Toc24185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- 14 -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_Toc6343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1.总则</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_Toc6343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- 19 -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_Toc2605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2.招标文件</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_Toc2605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- 22 -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_Toc14076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3.投标文件</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_Toc14076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- 23 -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_Toc18364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4.投标</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_Toc18364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- 26 -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_Toc16740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5.开标</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_Toc16740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- 27 -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_Toc15461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6.评标</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_Toc15461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- 29 -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_Toc4194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7.合同授予</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_Toc4194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- 29 -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_Toc3739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8.纪律和监督</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_Toc3739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- 31 -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_Toc2518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9.需要补充的其他内容</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_Toc2518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- 32 -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_Toc18725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10.电子招标投标</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_Toc18725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- 32 -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8"/>
        <w:tabs>
          <w:tab w:val="right" w:leader="dot" w:pos="8306"/>
        </w:tabs>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_Toc37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第三章 评标办法（综合评估法）</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_Toc37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- 41 -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_Toc9360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评标办法前附表</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_Toc9360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- 41 -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_Toc8828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1.评标方法</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_Toc8828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- 51 -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_Toc20702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2.评审标准</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_Toc20702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- 51 -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_Toc20540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3.评标程序</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_Toc20540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- 52 -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8"/>
        <w:tabs>
          <w:tab w:val="right" w:leader="dot" w:pos="8306"/>
        </w:tabs>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_Toc28848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第四章 合同条款及格式</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_Toc28848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- 93 -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_Toc21009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第一部分 协议书</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_Toc21009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- 93 -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_Toc14710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第二部分 合同通用条款</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_Toc14710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- 97 -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_Toc22238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val="en-US" w:eastAsia="zh-CN"/>
        </w:rPr>
        <w:t>1.</w:t>
      </w:r>
      <w:r>
        <w:rPr>
          <w:rFonts w:hint="eastAsia" w:ascii="仿宋_GB2312" w:hAnsi="仿宋_GB2312" w:eastAsia="仿宋_GB2312" w:cs="仿宋_GB2312"/>
          <w:bCs w:val="0"/>
          <w:sz w:val="32"/>
          <w:szCs w:val="32"/>
        </w:rPr>
        <w:t>项目管理（代建）部分</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_Toc22238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- 97 -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_Toc24908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val="en-US" w:eastAsia="zh-CN"/>
        </w:rPr>
        <w:t>2.</w:t>
      </w:r>
      <w:r>
        <w:rPr>
          <w:rFonts w:hint="eastAsia" w:ascii="仿宋_GB2312" w:hAnsi="仿宋_GB2312" w:eastAsia="仿宋_GB2312" w:cs="仿宋_GB2312"/>
          <w:bCs w:val="0"/>
          <w:sz w:val="32"/>
          <w:szCs w:val="32"/>
        </w:rPr>
        <w:t>可行性研究报告编制部分</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_Toc24908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- 116 -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_Toc16833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val="en-US" w:eastAsia="zh-CN"/>
        </w:rPr>
        <w:t>3.勘察部分</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_Toc16833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- 117 -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_Toc27161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val="en-US" w:eastAsia="zh-CN"/>
        </w:rPr>
        <w:t>4.造价咨询部分</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_Toc27161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- 133 -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_Toc31001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val="en-US" w:eastAsia="zh-CN"/>
        </w:rPr>
        <w:t>5.招标代理部分</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_Toc31001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- 142 -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_Toc17516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第三部分 合同专用条款</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_Toc17516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- 150 -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_Toc2088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val="en-US" w:eastAsia="zh-CN"/>
        </w:rPr>
        <w:t>1.</w:t>
      </w:r>
      <w:r>
        <w:rPr>
          <w:rFonts w:hint="eastAsia" w:ascii="仿宋_GB2312" w:hAnsi="仿宋_GB2312" w:eastAsia="仿宋_GB2312" w:cs="仿宋_GB2312"/>
          <w:bCs w:val="0"/>
          <w:sz w:val="32"/>
          <w:szCs w:val="32"/>
        </w:rPr>
        <w:t>项目管理部分</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_Toc2088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- 150 -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_Toc24521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val="en-US" w:eastAsia="zh-CN"/>
        </w:rPr>
        <w:t>2.可行性研究报告编制部分</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_Toc24521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- 156 -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_Toc29850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val="en-US" w:eastAsia="zh-CN"/>
        </w:rPr>
        <w:t>3.勘察部分</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_Toc29850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- 160 -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_Toc5750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val="en-US" w:eastAsia="zh-CN"/>
        </w:rPr>
        <w:t>4.造价咨询部分</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_Toc5750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- 166 -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_Toc13737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val="en-US" w:eastAsia="zh-CN"/>
        </w:rPr>
        <w:t>5.招标代理部分</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_Toc13737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- 176 -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_Toc6316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第五章 发包人提供的资料及要求</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_Toc6316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- 180 -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_Toc256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1</w:t>
      </w:r>
      <w:r>
        <w:rPr>
          <w:rFonts w:hint="eastAsia" w:ascii="仿宋_GB2312" w:hAnsi="仿宋_GB2312" w:eastAsia="仿宋_GB2312" w:cs="仿宋_GB2312"/>
          <w:bCs w:val="0"/>
          <w:sz w:val="32"/>
          <w:szCs w:val="32"/>
          <w:lang w:val="en-US" w:eastAsia="zh-CN"/>
        </w:rPr>
        <w:t>.</w:t>
      </w:r>
      <w:r>
        <w:rPr>
          <w:rFonts w:hint="eastAsia" w:ascii="仿宋_GB2312" w:hAnsi="仿宋_GB2312" w:eastAsia="仿宋_GB2312" w:cs="仿宋_GB2312"/>
          <w:bCs w:val="0"/>
          <w:sz w:val="32"/>
          <w:szCs w:val="32"/>
        </w:rPr>
        <w:t>项目概况介绍</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_Toc256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- 180 -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_Toc23128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2</w:t>
      </w:r>
      <w:r>
        <w:rPr>
          <w:rFonts w:hint="eastAsia" w:ascii="仿宋_GB2312" w:hAnsi="仿宋_GB2312" w:eastAsia="仿宋_GB2312" w:cs="仿宋_GB2312"/>
          <w:bCs w:val="0"/>
          <w:sz w:val="32"/>
          <w:szCs w:val="32"/>
          <w:lang w:val="en-US" w:eastAsia="zh-CN"/>
        </w:rPr>
        <w:t>.</w:t>
      </w:r>
      <w:r>
        <w:rPr>
          <w:rFonts w:hint="eastAsia" w:ascii="仿宋_GB2312" w:hAnsi="仿宋_GB2312" w:eastAsia="仿宋_GB2312" w:cs="仿宋_GB2312"/>
          <w:bCs w:val="0"/>
          <w:sz w:val="32"/>
          <w:szCs w:val="32"/>
        </w:rPr>
        <w:t>发包人要求</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_Toc23128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- 180 -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8"/>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_Toc1030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第六章 投标文件格式</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_Toc1030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- 183 -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_Toc24524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目</w:t>
      </w:r>
      <w:r>
        <w:rPr>
          <w:rFonts w:hint="eastAsia" w:ascii="仿宋_GB2312" w:hAnsi="仿宋_GB2312" w:eastAsia="仿宋_GB2312" w:cs="仿宋_GB2312"/>
          <w:bCs w:val="0"/>
          <w:sz w:val="32"/>
          <w:szCs w:val="32"/>
          <w:lang w:val="en-US" w:eastAsia="zh-CN"/>
        </w:rPr>
        <w:t xml:space="preserve"> </w:t>
      </w:r>
      <w:r>
        <w:rPr>
          <w:rFonts w:hint="eastAsia" w:ascii="仿宋_GB2312" w:hAnsi="仿宋_GB2312" w:eastAsia="仿宋_GB2312" w:cs="仿宋_GB2312"/>
          <w:bCs w:val="0"/>
          <w:sz w:val="32"/>
          <w:szCs w:val="32"/>
        </w:rPr>
        <w:t>录</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_Toc24524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- 184 -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_Toc5180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一、投标函及投标函附录</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_Toc5180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- 185 -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_Toc26897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二、法定代表人身份证明</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_Toc26897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- 187 -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_Toc30675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三、法定代表人授权委托书</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_Toc30675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- 188 -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_Toc14525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四、投标保证金</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_Toc14525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- 189 -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_Toc12195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五、投标报价（下浮率）书</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_Toc12195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- 190 -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_Toc23155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eastAsia="zh-CN"/>
        </w:rPr>
        <w:t>六、</w:t>
      </w:r>
      <w:r>
        <w:rPr>
          <w:rFonts w:hint="eastAsia" w:ascii="仿宋_GB2312" w:hAnsi="仿宋_GB2312" w:eastAsia="仿宋_GB2312" w:cs="仿宋_GB2312"/>
          <w:bCs w:val="0"/>
          <w:sz w:val="32"/>
          <w:szCs w:val="32"/>
        </w:rPr>
        <w:t>资格审查资料</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_Toc23155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- 197 -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_Toc13866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eastAsia="zh-CN"/>
        </w:rPr>
        <w:t>七、技术部分</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_Toc13866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- 202 -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HYPERLINK \l _Toc11903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lang w:eastAsia="zh-CN"/>
        </w:rPr>
        <w:t>八、投标人须知前附表规定的其他资料</w:t>
      </w:r>
      <w:r>
        <w:rPr>
          <w:rFonts w:hint="eastAsia" w:ascii="仿宋_GB2312" w:hAnsi="仿宋_GB2312" w:eastAsia="仿宋_GB2312" w:cs="仿宋_GB2312"/>
          <w:bCs w:val="0"/>
          <w:sz w:val="32"/>
          <w:szCs w:val="32"/>
        </w:rPr>
        <w:tab/>
      </w:r>
      <w:r>
        <w:rPr>
          <w:rFonts w:hint="eastAsia" w:ascii="仿宋_GB2312" w:hAnsi="仿宋_GB2312" w:eastAsia="仿宋_GB2312" w:cs="仿宋_GB2312"/>
          <w:bCs w:val="0"/>
          <w:sz w:val="32"/>
          <w:szCs w:val="32"/>
        </w:rPr>
        <w:fldChar w:fldCharType="begin"/>
      </w:r>
      <w:r>
        <w:rPr>
          <w:rFonts w:hint="eastAsia" w:ascii="仿宋_GB2312" w:hAnsi="仿宋_GB2312" w:eastAsia="仿宋_GB2312" w:cs="仿宋_GB2312"/>
          <w:bCs w:val="0"/>
          <w:sz w:val="32"/>
          <w:szCs w:val="32"/>
        </w:rPr>
        <w:instrText xml:space="preserve"> PAGEREF _Toc11903 \h </w:instrText>
      </w:r>
      <w:r>
        <w:rPr>
          <w:rFonts w:hint="eastAsia" w:ascii="仿宋_GB2312" w:hAnsi="仿宋_GB2312" w:eastAsia="仿宋_GB2312" w:cs="仿宋_GB2312"/>
          <w:bCs w:val="0"/>
          <w:sz w:val="32"/>
          <w:szCs w:val="32"/>
        </w:rPr>
        <w:fldChar w:fldCharType="separate"/>
      </w:r>
      <w:r>
        <w:rPr>
          <w:rFonts w:hint="eastAsia" w:ascii="仿宋_GB2312" w:hAnsi="仿宋_GB2312" w:eastAsia="仿宋_GB2312" w:cs="仿宋_GB2312"/>
          <w:bCs w:val="0"/>
          <w:sz w:val="32"/>
          <w:szCs w:val="32"/>
        </w:rPr>
        <w:t>- 203 -</w:t>
      </w:r>
      <w:r>
        <w:rPr>
          <w:rFonts w:hint="eastAsia" w:ascii="仿宋_GB2312" w:hAnsi="仿宋_GB2312" w:eastAsia="仿宋_GB2312" w:cs="仿宋_GB2312"/>
          <w:bCs w:val="0"/>
          <w:sz w:val="32"/>
          <w:szCs w:val="32"/>
        </w:rPr>
        <w:fldChar w:fldCharType="end"/>
      </w:r>
      <w:r>
        <w:rPr>
          <w:rFonts w:hint="eastAsia" w:ascii="仿宋_GB2312" w:hAnsi="仿宋_GB2312" w:eastAsia="仿宋_GB2312" w:cs="仿宋_GB2312"/>
          <w:bCs w:val="0"/>
          <w:sz w:val="32"/>
          <w:szCs w:val="32"/>
        </w:rPr>
        <w:fldChar w:fldCharType="end"/>
      </w:r>
    </w:p>
    <w:p>
      <w:pPr>
        <w:pStyle w:val="3"/>
        <w:snapToGrid w:val="0"/>
        <w:spacing w:before="0" w:after="0" w:line="360" w:lineRule="exact"/>
        <w:jc w:val="center"/>
        <w:rPr>
          <w:rFonts w:hint="eastAsia" w:ascii="仿宋_GB2312" w:hAnsi="仿宋_GB2312" w:eastAsia="仿宋_GB2312" w:cs="仿宋_GB2312"/>
          <w:b w:val="0"/>
          <w:bCs w:val="0"/>
          <w:sz w:val="32"/>
          <w:szCs w:val="32"/>
        </w:rPr>
        <w:sectPr>
          <w:footerReference r:id="rId6" w:type="default"/>
          <w:pgSz w:w="11906" w:h="16838"/>
          <w:pgMar w:top="1440" w:right="1800" w:bottom="1440" w:left="1800" w:header="851" w:footer="992" w:gutter="0"/>
          <w:pgNumType w:fmt="numberInDash" w:start="1"/>
          <w:cols w:space="720" w:num="1"/>
          <w:docGrid w:type="lines" w:linePitch="312" w:charSpace="0"/>
        </w:sectPr>
      </w:pPr>
      <w:r>
        <w:rPr>
          <w:rFonts w:hint="eastAsia" w:ascii="仿宋_GB2312" w:hAnsi="仿宋_GB2312" w:eastAsia="仿宋_GB2312" w:cs="仿宋_GB2312"/>
          <w:bCs w:val="0"/>
          <w:sz w:val="32"/>
          <w:szCs w:val="32"/>
        </w:rPr>
        <w:fldChar w:fldCharType="end"/>
      </w:r>
    </w:p>
    <w:bookmarkEnd w:id="4"/>
    <w:bookmarkEnd w:id="5"/>
    <w:p>
      <w:pPr>
        <w:pStyle w:val="4"/>
        <w:snapToGrid w:val="0"/>
        <w:spacing w:before="0" w:after="0" w:line="300" w:lineRule="auto"/>
        <w:jc w:val="center"/>
      </w:pPr>
      <w:bookmarkStart w:id="9" w:name="_Toc247513933"/>
      <w:bookmarkStart w:id="10" w:name="_Toc247527534"/>
      <w:bookmarkStart w:id="11" w:name="_Toc26345"/>
      <w:r>
        <w:rPr>
          <w:rFonts w:hint="eastAsia"/>
        </w:rPr>
        <w:t xml:space="preserve">第一章 </w:t>
      </w:r>
      <w:bookmarkEnd w:id="6"/>
      <w:bookmarkEnd w:id="7"/>
      <w:bookmarkEnd w:id="8"/>
      <w:bookmarkEnd w:id="9"/>
      <w:bookmarkEnd w:id="10"/>
      <w:bookmarkStart w:id="12" w:name="_Toc247513950"/>
      <w:bookmarkStart w:id="13" w:name="_Toc152042303"/>
      <w:bookmarkStart w:id="14" w:name="_Toc144974495"/>
      <w:bookmarkStart w:id="15" w:name="_Toc247527551"/>
      <w:bookmarkStart w:id="16" w:name="_Toc152045527"/>
      <w:r>
        <w:rPr>
          <w:rFonts w:hint="eastAsia"/>
        </w:rPr>
        <w:t>招标公告（适用于公开招标）</w:t>
      </w:r>
      <w:bookmarkEnd w:id="11"/>
    </w:p>
    <w:p>
      <w:pPr>
        <w:rPr>
          <w:rFonts w:ascii="仿宋" w:hAnsi="仿宋" w:eastAsia="仿宋" w:cs="仿宋"/>
          <w:i/>
          <w:sz w:val="24"/>
        </w:rPr>
      </w:pPr>
    </w:p>
    <w:p>
      <w:pPr>
        <w:pStyle w:val="5"/>
        <w:numPr>
          <w:ilvl w:val="0"/>
          <w:numId w:val="4"/>
        </w:numPr>
        <w:snapToGrid w:val="0"/>
        <w:spacing w:before="0" w:after="0" w:line="500" w:lineRule="exact"/>
        <w:ind w:firstLine="118"/>
        <w:rPr>
          <w:rFonts w:hint="eastAsia" w:ascii="仿宋_GB2312" w:hAnsi="仿宋_GB2312" w:eastAsia="仿宋_GB2312" w:cs="仿宋_GB2312"/>
          <w:sz w:val="32"/>
          <w:szCs w:val="32"/>
        </w:rPr>
      </w:pPr>
      <w:bookmarkStart w:id="17" w:name="_Toc9667"/>
      <w:r>
        <w:rPr>
          <w:rFonts w:hint="eastAsia" w:ascii="仿宋_GB2312" w:hAnsi="仿宋_GB2312" w:eastAsia="仿宋_GB2312" w:cs="仿宋_GB2312"/>
          <w:sz w:val="32"/>
          <w:szCs w:val="32"/>
        </w:rPr>
        <w:t>招标条件</w:t>
      </w:r>
      <w:bookmarkEnd w:id="17"/>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i/>
          <w:sz w:val="32"/>
          <w:szCs w:val="32"/>
        </w:rPr>
        <w:t>项目名称</w:t>
      </w:r>
      <w:r>
        <w:rPr>
          <w:rFonts w:hint="eastAsia" w:ascii="仿宋_GB2312" w:hAnsi="仿宋_GB2312" w:eastAsia="仿宋_GB2312" w:cs="仿宋_GB2312"/>
          <w:sz w:val="32"/>
          <w:szCs w:val="32"/>
        </w:rPr>
        <w:t xml:space="preserve">）已由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i/>
          <w:sz w:val="32"/>
          <w:szCs w:val="32"/>
        </w:rPr>
        <w:t>项目审批、核准或备案机关名称</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i/>
          <w:sz w:val="32"/>
          <w:szCs w:val="32"/>
        </w:rPr>
        <w:t>审批、核准或备案文件名称及编号</w:t>
      </w:r>
      <w:r>
        <w:rPr>
          <w:rFonts w:hint="eastAsia" w:ascii="仿宋_GB2312" w:hAnsi="仿宋_GB2312" w:eastAsia="仿宋_GB2312" w:cs="仿宋_GB2312"/>
          <w:sz w:val="32"/>
          <w:szCs w:val="32"/>
        </w:rPr>
        <w:t>）同意建设，建设资金来自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i/>
          <w:sz w:val="32"/>
          <w:szCs w:val="32"/>
        </w:rPr>
        <w:t>资金来源</w:t>
      </w:r>
      <w:r>
        <w:rPr>
          <w:rFonts w:hint="eastAsia" w:ascii="仿宋_GB2312" w:hAnsi="仿宋_GB2312" w:eastAsia="仿宋_GB2312" w:cs="仿宋_GB2312"/>
          <w:sz w:val="32"/>
          <w:szCs w:val="32"/>
        </w:rPr>
        <w:t>）。目前已具备招标条件，现就其代建单位进行公开招标，招标人为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，招标代理机构为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napToGrid w:val="0"/>
        <w:spacing w:line="500" w:lineRule="exact"/>
        <w:ind w:firstLine="480"/>
        <w:rPr>
          <w:rFonts w:hint="eastAsia" w:ascii="仿宋_GB2312" w:hAnsi="仿宋_GB2312" w:eastAsia="仿宋_GB2312" w:cs="仿宋_GB2312"/>
          <w:sz w:val="32"/>
          <w:szCs w:val="32"/>
        </w:rPr>
      </w:pPr>
    </w:p>
    <w:p>
      <w:pPr>
        <w:pStyle w:val="5"/>
        <w:numPr>
          <w:ilvl w:val="0"/>
          <w:numId w:val="4"/>
        </w:numPr>
        <w:snapToGrid w:val="0"/>
        <w:spacing w:before="0" w:after="0" w:line="500" w:lineRule="exact"/>
        <w:ind w:firstLine="118"/>
        <w:rPr>
          <w:rFonts w:hint="eastAsia" w:ascii="仿宋_GB2312" w:hAnsi="仿宋_GB2312" w:eastAsia="仿宋_GB2312" w:cs="仿宋_GB2312"/>
          <w:sz w:val="32"/>
          <w:szCs w:val="32"/>
        </w:rPr>
      </w:pPr>
      <w:bookmarkStart w:id="18" w:name="_Toc23654"/>
      <w:r>
        <w:rPr>
          <w:rFonts w:hint="eastAsia" w:ascii="仿宋_GB2312" w:hAnsi="仿宋_GB2312" w:eastAsia="仿宋_GB2312" w:cs="仿宋_GB2312"/>
          <w:sz w:val="32"/>
          <w:szCs w:val="32"/>
        </w:rPr>
        <w:t>代建项目概况与招标范围</w:t>
      </w:r>
      <w:bookmarkEnd w:id="18"/>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  招标人：</w:t>
      </w:r>
      <w:r>
        <w:rPr>
          <w:rFonts w:hint="eastAsia" w:ascii="仿宋_GB2312" w:hAnsi="仿宋_GB2312" w:eastAsia="仿宋_GB2312" w:cs="仿宋_GB2312"/>
          <w:sz w:val="32"/>
          <w:szCs w:val="32"/>
          <w:u w:val="single"/>
        </w:rPr>
        <w:t xml:space="preserve">                             </w:t>
      </w:r>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  项目名称：</w:t>
      </w:r>
      <w:r>
        <w:rPr>
          <w:rFonts w:hint="eastAsia" w:ascii="仿宋_GB2312" w:hAnsi="仿宋_GB2312" w:eastAsia="仿宋_GB2312" w:cs="仿宋_GB2312"/>
          <w:sz w:val="32"/>
          <w:szCs w:val="32"/>
          <w:u w:val="single"/>
        </w:rPr>
        <w:t xml:space="preserve">                           </w:t>
      </w:r>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  项目建设地点：</w:t>
      </w:r>
      <w:r>
        <w:rPr>
          <w:rFonts w:hint="eastAsia" w:ascii="仿宋_GB2312" w:hAnsi="仿宋_GB2312" w:eastAsia="仿宋_GB2312" w:cs="仿宋_GB2312"/>
          <w:sz w:val="32"/>
          <w:szCs w:val="32"/>
          <w:u w:val="single"/>
        </w:rPr>
        <w:t xml:space="preserve">                       </w:t>
      </w:r>
    </w:p>
    <w:p>
      <w:pPr>
        <w:snapToGrid w:val="0"/>
        <w:spacing w:line="50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2.4  项目建设内容及规模（</w:t>
      </w:r>
      <w:r>
        <w:rPr>
          <w:rFonts w:hint="eastAsia" w:ascii="仿宋_GB2312" w:hAnsi="仿宋_GB2312" w:eastAsia="仿宋_GB2312" w:cs="仿宋_GB2312"/>
          <w:i/>
          <w:sz w:val="32"/>
          <w:szCs w:val="32"/>
        </w:rPr>
        <w:t>工程类型、主要技术指标、总投资额等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  招标范围：</w:t>
      </w:r>
      <w:r>
        <w:rPr>
          <w:rFonts w:hint="eastAsia" w:ascii="仿宋_GB2312" w:hAnsi="仿宋_GB2312" w:eastAsia="仿宋_GB2312" w:cs="仿宋_GB2312"/>
          <w:sz w:val="32"/>
          <w:szCs w:val="32"/>
          <w:u w:val="single"/>
        </w:rPr>
        <w:t>本项目的代建服务（</w:t>
      </w:r>
      <w:r>
        <w:rPr>
          <w:rFonts w:hint="eastAsia" w:ascii="仿宋_GB2312" w:hAnsi="仿宋_GB2312" w:eastAsia="仿宋_GB2312" w:cs="仿宋_GB2312"/>
          <w:i/>
          <w:iCs/>
          <w:sz w:val="32"/>
          <w:szCs w:val="32"/>
          <w:u w:val="single"/>
        </w:rPr>
        <w:t>包含项目管理、可行性研究报告编制、勘察、造价咨询、招标代理</w:t>
      </w:r>
      <w:r>
        <w:rPr>
          <w:rFonts w:hint="eastAsia" w:ascii="仿宋_GB2312" w:hAnsi="仿宋_GB2312" w:eastAsia="仿宋_GB2312" w:cs="仿宋_GB2312"/>
          <w:i/>
          <w:sz w:val="32"/>
          <w:szCs w:val="32"/>
          <w:u w:val="single"/>
        </w:rPr>
        <w:t>）</w:t>
      </w:r>
      <w:r>
        <w:rPr>
          <w:rFonts w:hint="eastAsia" w:ascii="仿宋_GB2312" w:hAnsi="仿宋_GB2312" w:eastAsia="仿宋_GB2312" w:cs="仿宋_GB2312"/>
          <w:sz w:val="32"/>
          <w:szCs w:val="32"/>
          <w:u w:val="single"/>
        </w:rPr>
        <w:t>。具体详见第五章“发包人提供的资料及要求”。</w:t>
      </w:r>
    </w:p>
    <w:p>
      <w:pPr>
        <w:snapToGrid w:val="0"/>
        <w:spacing w:line="50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2.6  代建项目控制目标：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i/>
          <w:iCs/>
          <w:sz w:val="32"/>
          <w:szCs w:val="32"/>
          <w:u w:val="single"/>
        </w:rPr>
        <w:t xml:space="preserve">（建设规模、建设标准、总投资） </w:t>
      </w:r>
      <w:r>
        <w:rPr>
          <w:rFonts w:hint="eastAsia" w:ascii="仿宋_GB2312" w:hAnsi="仿宋_GB2312" w:eastAsia="仿宋_GB2312" w:cs="仿宋_GB2312"/>
          <w:sz w:val="32"/>
          <w:szCs w:val="32"/>
          <w:u w:val="single"/>
        </w:rPr>
        <w:t xml:space="preserve">       。        </w:t>
      </w:r>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  工程质量标准：依照国家</w:t>
      </w:r>
      <w:r>
        <w:rPr>
          <w:rFonts w:hint="eastAsia" w:ascii="仿宋_GB2312" w:hAnsi="仿宋_GB2312" w:eastAsia="仿宋_GB2312" w:cs="仿宋_GB2312"/>
          <w:sz w:val="32"/>
          <w:szCs w:val="32"/>
          <w:u w:val="single"/>
        </w:rPr>
        <w:t>《             》（</w:t>
      </w:r>
      <w:r>
        <w:rPr>
          <w:rFonts w:hint="eastAsia" w:ascii="仿宋_GB2312" w:hAnsi="仿宋_GB2312" w:eastAsia="仿宋_GB2312" w:cs="仿宋_GB2312"/>
          <w:i/>
          <w:sz w:val="32"/>
          <w:szCs w:val="32"/>
        </w:rPr>
        <w:t>相应法定质量标准）</w:t>
      </w:r>
      <w:r>
        <w:rPr>
          <w:rFonts w:hint="eastAsia" w:ascii="仿宋_GB2312" w:hAnsi="仿宋_GB2312" w:eastAsia="仿宋_GB2312" w:cs="仿宋_GB2312"/>
          <w:sz w:val="32"/>
          <w:szCs w:val="32"/>
        </w:rPr>
        <w:t>达到合格。</w:t>
      </w:r>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  项目安全管理目标：无安全责任事故。</w:t>
      </w:r>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  廉洁守法目标：严格遵守法律法规和政策性文件要求，管理机构无违法违纪行为。</w:t>
      </w:r>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2.10  服务周期：周期为合同生效之日起到固定资产移交手续完成止。其中合同生效之日起至工程竣工验收合格之日止为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日；竣工验收合格后3个月内</w:t>
      </w:r>
      <w:r>
        <w:rPr>
          <w:rFonts w:hint="eastAsia" w:ascii="仿宋_GB2312" w:hAnsi="仿宋_GB2312" w:eastAsia="仿宋_GB2312" w:cs="仿宋_GB2312"/>
          <w:i/>
          <w:sz w:val="32"/>
          <w:szCs w:val="32"/>
        </w:rPr>
        <w:t>（大型项目不得超过6个月）</w:t>
      </w:r>
      <w:r>
        <w:rPr>
          <w:rFonts w:hint="eastAsia" w:ascii="仿宋_GB2312" w:hAnsi="仿宋_GB2312" w:eastAsia="仿宋_GB2312" w:cs="仿宋_GB2312"/>
          <w:sz w:val="32"/>
          <w:szCs w:val="32"/>
        </w:rPr>
        <w:t>向省级项目主管部门申请办理竣工财务决算审批，并按合同约定向项目单位办理固定资产移交手续。</w:t>
      </w:r>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  其他需要特别告知的项目情况：</w:t>
      </w:r>
      <w:r>
        <w:rPr>
          <w:rFonts w:hint="eastAsia" w:ascii="仿宋_GB2312" w:hAnsi="仿宋_GB2312" w:eastAsia="仿宋_GB2312" w:cs="仿宋_GB2312"/>
          <w:i/>
          <w:iCs/>
          <w:sz w:val="32"/>
          <w:szCs w:val="32"/>
          <w:u w:val="single"/>
        </w:rPr>
        <w:t>（本项目建议书批复各专业服务费用）</w:t>
      </w:r>
      <w:r>
        <w:rPr>
          <w:rFonts w:hint="eastAsia" w:ascii="仿宋_GB2312" w:hAnsi="仿宋_GB2312" w:eastAsia="仿宋_GB2312" w:cs="仿宋_GB2312"/>
          <w:sz w:val="32"/>
          <w:szCs w:val="32"/>
          <w:u w:val="single"/>
        </w:rPr>
        <w:t>。</w:t>
      </w:r>
    </w:p>
    <w:p>
      <w:pPr>
        <w:snapToGrid w:val="0"/>
        <w:spacing w:line="500" w:lineRule="exact"/>
        <w:ind w:firstLine="480"/>
        <w:rPr>
          <w:rFonts w:hint="eastAsia" w:ascii="仿宋_GB2312" w:hAnsi="仿宋_GB2312" w:eastAsia="仿宋_GB2312" w:cs="仿宋_GB2312"/>
          <w:sz w:val="32"/>
          <w:szCs w:val="32"/>
        </w:rPr>
      </w:pPr>
    </w:p>
    <w:p>
      <w:pPr>
        <w:pStyle w:val="5"/>
        <w:numPr>
          <w:ilvl w:val="0"/>
          <w:numId w:val="4"/>
        </w:numPr>
        <w:snapToGrid w:val="0"/>
        <w:spacing w:before="0" w:after="0" w:line="500" w:lineRule="exact"/>
        <w:ind w:firstLine="118"/>
        <w:rPr>
          <w:rFonts w:hint="eastAsia" w:ascii="仿宋_GB2312" w:hAnsi="仿宋_GB2312" w:eastAsia="仿宋_GB2312" w:cs="仿宋_GB2312"/>
          <w:sz w:val="32"/>
          <w:szCs w:val="32"/>
        </w:rPr>
      </w:pPr>
      <w:bookmarkStart w:id="19" w:name="_Toc20635"/>
      <w:r>
        <w:rPr>
          <w:rFonts w:hint="eastAsia" w:ascii="仿宋_GB2312" w:hAnsi="仿宋_GB2312" w:eastAsia="仿宋_GB2312" w:cs="仿宋_GB2312"/>
          <w:sz w:val="32"/>
          <w:szCs w:val="32"/>
        </w:rPr>
        <w:t>投标人资格条件</w:t>
      </w:r>
      <w:bookmarkEnd w:id="19"/>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具有有效的营业执照或事业单位法人证书；</w:t>
      </w:r>
    </w:p>
    <w:p>
      <w:pPr>
        <w:tabs>
          <w:tab w:val="left" w:pos="993"/>
        </w:tabs>
        <w:spacing w:line="500" w:lineRule="exact"/>
        <w:ind w:firstLine="640" w:firstLineChars="200"/>
        <w:rPr>
          <w:rFonts w:hint="eastAsia" w:ascii="仿宋_GB2312" w:hAnsi="仿宋_GB2312" w:eastAsia="仿宋_GB2312" w:cs="仿宋_GB2312"/>
          <w:sz w:val="32"/>
          <w:szCs w:val="32"/>
        </w:rPr>
      </w:pPr>
      <w:bookmarkStart w:id="20" w:name="OLE_LINK1"/>
      <w:r>
        <w:rPr>
          <w:rFonts w:hint="eastAsia" w:ascii="仿宋_GB2312" w:hAnsi="仿宋_GB2312" w:eastAsia="仿宋_GB2312" w:cs="仿宋_GB2312"/>
          <w:sz w:val="32"/>
          <w:szCs w:val="32"/>
        </w:rPr>
        <w:t>3.2  同时具备以下要求：</w:t>
      </w:r>
    </w:p>
    <w:p>
      <w:pPr>
        <w:tabs>
          <w:tab w:val="left" w:pos="993"/>
        </w:tabs>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3.2.1具备项目管理能力（提供履行合同所必需的专业技术能力的证明材料，如合同或技术人员证书）。</w:t>
      </w:r>
    </w:p>
    <w:p>
      <w:pPr>
        <w:tabs>
          <w:tab w:val="left" w:pos="993"/>
        </w:tabs>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拟派代建项目经理要求：</w:t>
      </w:r>
      <w:r>
        <w:rPr>
          <w:rFonts w:hint="eastAsia" w:ascii="仿宋_GB2312" w:hAnsi="仿宋_GB2312" w:eastAsia="仿宋_GB2312" w:cs="仿宋_GB2312"/>
          <w:i/>
          <w:sz w:val="32"/>
          <w:szCs w:val="32"/>
          <w:u w:val="single"/>
        </w:rPr>
        <w:t>（专业工程）</w:t>
      </w:r>
      <w:r>
        <w:rPr>
          <w:rFonts w:hint="eastAsia" w:ascii="仿宋_GB2312" w:hAnsi="仿宋_GB2312" w:eastAsia="仿宋_GB2312" w:cs="仿宋_GB2312"/>
          <w:sz w:val="32"/>
          <w:szCs w:val="32"/>
        </w:rPr>
        <w:t>专业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级及以上注册建造师执业资格或具备</w:t>
      </w:r>
      <w:r>
        <w:rPr>
          <w:rFonts w:hint="eastAsia" w:ascii="仿宋_GB2312" w:hAnsi="仿宋_GB2312" w:eastAsia="仿宋_GB2312" w:cs="仿宋_GB2312"/>
          <w:i/>
          <w:sz w:val="32"/>
          <w:szCs w:val="32"/>
          <w:u w:val="single"/>
        </w:rPr>
        <w:t>（专业工程）</w:t>
      </w:r>
      <w:r>
        <w:rPr>
          <w:rFonts w:hint="eastAsia" w:ascii="仿宋_GB2312" w:hAnsi="仿宋_GB2312" w:eastAsia="仿宋_GB2312" w:cs="仿宋_GB2312"/>
          <w:sz w:val="32"/>
          <w:szCs w:val="32"/>
        </w:rPr>
        <w:t>国家注册监理工程师资格，并具备高级工程师及以上职称。代建项目经理无在建项目。（投标人为联合体时，代建项目经理应为牵头人单位人员）</w:t>
      </w:r>
    </w:p>
    <w:p>
      <w:pPr>
        <w:tabs>
          <w:tab w:val="left" w:pos="993"/>
        </w:tabs>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3.2.2 具备可行性研究报告编制能力（提供履行合同所必需的专业技术能力的证明材料，如合同或技术人员证书）。</w:t>
      </w:r>
    </w:p>
    <w:p>
      <w:pPr>
        <w:tabs>
          <w:tab w:val="left" w:pos="993"/>
        </w:tabs>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拟派专业负责人要求：具备</w:t>
      </w:r>
      <w:r>
        <w:rPr>
          <w:rFonts w:hint="eastAsia" w:ascii="仿宋_GB2312" w:hAnsi="仿宋_GB2312" w:eastAsia="仿宋_GB2312" w:cs="仿宋_GB2312"/>
          <w:i/>
          <w:sz w:val="32"/>
          <w:szCs w:val="32"/>
        </w:rPr>
        <w:t>（</w:t>
      </w:r>
      <w:r>
        <w:rPr>
          <w:rFonts w:hint="eastAsia" w:ascii="仿宋_GB2312" w:hAnsi="仿宋_GB2312" w:eastAsia="仿宋_GB2312" w:cs="仿宋_GB2312"/>
          <w:i/>
          <w:sz w:val="32"/>
          <w:szCs w:val="32"/>
          <w:u w:val="single"/>
        </w:rPr>
        <w:t>专业工程）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专业咨询工程师职业资格。</w:t>
      </w:r>
    </w:p>
    <w:p>
      <w:pPr>
        <w:tabs>
          <w:tab w:val="left" w:pos="993"/>
        </w:tabs>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3.2.3 具备造价咨询能力（提供履行合同所必需的专业技术能力的证明材料，如合同或技术人员证书）。</w:t>
      </w:r>
    </w:p>
    <w:p>
      <w:pPr>
        <w:tabs>
          <w:tab w:val="left" w:pos="993"/>
        </w:tabs>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拟派专业负责人要求：具备</w:t>
      </w:r>
      <w:r>
        <w:rPr>
          <w:rFonts w:hint="eastAsia" w:ascii="仿宋_GB2312" w:hAnsi="仿宋_GB2312" w:eastAsia="仿宋_GB2312" w:cs="仿宋_GB2312"/>
          <w:i/>
          <w:sz w:val="32"/>
          <w:szCs w:val="32"/>
          <w:u w:val="single"/>
        </w:rPr>
        <w:t>（专业工程）</w:t>
      </w:r>
      <w:r>
        <w:rPr>
          <w:rFonts w:hint="eastAsia" w:ascii="仿宋_GB2312" w:hAnsi="仿宋_GB2312" w:eastAsia="仿宋_GB2312" w:cs="仿宋_GB2312"/>
          <w:sz w:val="32"/>
          <w:szCs w:val="32"/>
        </w:rPr>
        <w:t>一级造价工程师执业资格。</w:t>
      </w:r>
    </w:p>
    <w:p>
      <w:pPr>
        <w:tabs>
          <w:tab w:val="left" w:pos="993"/>
        </w:tabs>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3.2.4具备招标代理服务能力（提供履行合同所必需的专业技术能力的证明材料，如合同或技术人员证书）。</w:t>
      </w:r>
    </w:p>
    <w:p>
      <w:pPr>
        <w:tabs>
          <w:tab w:val="left" w:pos="993"/>
        </w:tabs>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拟派专业负责人要求：具备</w:t>
      </w:r>
      <w:r>
        <w:rPr>
          <w:rFonts w:hint="eastAsia" w:ascii="仿宋_GB2312" w:hAnsi="仿宋_GB2312" w:eastAsia="仿宋_GB2312" w:cs="仿宋_GB2312"/>
          <w:i/>
          <w:sz w:val="32"/>
          <w:szCs w:val="32"/>
          <w:u w:val="single"/>
        </w:rPr>
        <w:t>（专业工程）</w:t>
      </w:r>
      <w:r>
        <w:rPr>
          <w:rFonts w:hint="eastAsia" w:ascii="仿宋_GB2312" w:hAnsi="仿宋_GB2312" w:eastAsia="仿宋_GB2312" w:cs="仿宋_GB2312"/>
          <w:sz w:val="32"/>
          <w:szCs w:val="32"/>
        </w:rPr>
        <w:t>工程师及以上职称。</w:t>
      </w:r>
    </w:p>
    <w:p>
      <w:pPr>
        <w:tabs>
          <w:tab w:val="left" w:pos="993"/>
        </w:tabs>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3.2.5具备勘察综合类甲级资质或</w:t>
      </w:r>
      <w:r>
        <w:rPr>
          <w:rFonts w:hint="eastAsia" w:ascii="仿宋_GB2312" w:hAnsi="仿宋_GB2312" w:eastAsia="仿宋_GB2312" w:cs="仿宋_GB2312"/>
          <w:i/>
          <w:sz w:val="32"/>
          <w:szCs w:val="32"/>
          <w:u w:val="single"/>
        </w:rPr>
        <w:t>（专业工程）</w:t>
      </w:r>
      <w:r>
        <w:rPr>
          <w:rFonts w:hint="eastAsia" w:ascii="仿宋_GB2312" w:hAnsi="仿宋_GB2312" w:eastAsia="仿宋_GB2312" w:cs="仿宋_GB2312"/>
          <w:sz w:val="32"/>
          <w:szCs w:val="32"/>
        </w:rPr>
        <w:t>勘察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级及以上资质。</w:t>
      </w:r>
    </w:p>
    <w:p>
      <w:pPr>
        <w:tabs>
          <w:tab w:val="left" w:pos="993"/>
        </w:tabs>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拟派专业负责人要求：具备注册</w:t>
      </w:r>
      <w:r>
        <w:rPr>
          <w:rFonts w:hint="eastAsia" w:ascii="仿宋_GB2312" w:hAnsi="仿宋_GB2312" w:eastAsia="仿宋_GB2312" w:cs="仿宋_GB2312"/>
          <w:i/>
          <w:sz w:val="32"/>
          <w:szCs w:val="32"/>
          <w:u w:val="single"/>
        </w:rPr>
        <w:t>（专业工程）</w:t>
      </w:r>
      <w:r>
        <w:rPr>
          <w:rFonts w:hint="eastAsia" w:ascii="仿宋_GB2312" w:hAnsi="仿宋_GB2312" w:eastAsia="仿宋_GB2312" w:cs="仿宋_GB2312"/>
          <w:sz w:val="32"/>
          <w:szCs w:val="32"/>
        </w:rPr>
        <w:t>执业资格。</w:t>
      </w:r>
    </w:p>
    <w:p>
      <w:pPr>
        <w:pStyle w:val="7"/>
        <w:spacing w:line="5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 xml:space="preserve">3.2.6其他要求：满足《中华人民共和国保守国家秘密法》和 </w:t>
      </w:r>
      <w:r>
        <w:rPr>
          <w:rFonts w:hint="eastAsia" w:ascii="仿宋_GB2312" w:hAnsi="仿宋_GB2312" w:eastAsia="仿宋_GB2312" w:cs="仿宋_GB2312"/>
          <w:i/>
          <w:sz w:val="32"/>
          <w:szCs w:val="32"/>
          <w:u w:val="single"/>
        </w:rPr>
        <w:t>（有关法律法规）</w:t>
      </w:r>
      <w:r>
        <w:rPr>
          <w:rFonts w:hint="eastAsia" w:ascii="仿宋_GB2312" w:hAnsi="仿宋_GB2312" w:eastAsia="仿宋_GB2312" w:cs="仿宋_GB2312"/>
          <w:sz w:val="32"/>
          <w:szCs w:val="32"/>
        </w:rPr>
        <w:t>的规定，具备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i/>
          <w:sz w:val="32"/>
          <w:szCs w:val="32"/>
          <w:u w:val="single"/>
        </w:rPr>
        <w:t>（资质或条件）</w:t>
      </w:r>
      <w:r>
        <w:rPr>
          <w:rFonts w:hint="eastAsia" w:ascii="仿宋_GB2312" w:hAnsi="仿宋_GB2312" w:eastAsia="仿宋_GB2312" w:cs="仿宋_GB2312"/>
          <w:i/>
          <w:iCs/>
          <w:sz w:val="32"/>
          <w:szCs w:val="32"/>
        </w:rPr>
        <w:t>（仅限代建项目为涉密工程）</w:t>
      </w:r>
      <w:r>
        <w:rPr>
          <w:rFonts w:hint="eastAsia" w:ascii="仿宋_GB2312" w:hAnsi="仿宋_GB2312" w:eastAsia="仿宋_GB2312" w:cs="仿宋_GB2312"/>
          <w:sz w:val="32"/>
          <w:szCs w:val="32"/>
        </w:rPr>
        <w:t>。</w:t>
      </w:r>
    </w:p>
    <w:p>
      <w:pPr>
        <w:spacing w:line="50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以上拟派代建项目经理及专业负责人的证书须在本单位注册（登记），并提供（近</w:t>
      </w:r>
      <w:r>
        <w:rPr>
          <w:rFonts w:hint="eastAsia" w:ascii="仿宋_GB2312" w:hAnsi="仿宋_GB2312" w:eastAsia="仿宋_GB2312" w:cs="仿宋_GB2312"/>
          <w:i/>
          <w:iCs/>
          <w:sz w:val="32"/>
          <w:szCs w:val="32"/>
          <w:u w:val="single"/>
        </w:rPr>
        <w:t xml:space="preserve">   </w:t>
      </w:r>
      <w:r>
        <w:rPr>
          <w:rFonts w:hint="eastAsia" w:ascii="仿宋_GB2312" w:hAnsi="仿宋_GB2312" w:eastAsia="仿宋_GB2312" w:cs="仿宋_GB2312"/>
          <w:sz w:val="32"/>
          <w:szCs w:val="32"/>
        </w:rPr>
        <w:t>个月内）社保证明。</w:t>
      </w:r>
    </w:p>
    <w:p>
      <w:pPr>
        <w:tabs>
          <w:tab w:val="left" w:pos="993"/>
        </w:tabs>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  投标人的基本信息及代建项目经理、各专业负责人（监理工程师、建造师、造价工程师等证书）的基本信息在“陕西省住房和城乡建设厅系统平台（http://js.shaanxi.gov.cn/）陕西省建筑市场监管与诚信信息发布平台”可查询（平台不提供相应查询功能的，投标人需提供书面承诺说明）；投标人不得在“信用中国”网站被列为失信被执行人；投标人不得在陕西省和项目所在地市建设诚信信息平台被列为投标受限制的行为人；单位负责人为同一人或者存在控股、管理关系的不同单位，不得参加同一标段投标或者未划分标段的同一招标项目投标。</w:t>
      </w:r>
    </w:p>
    <w:p>
      <w:pPr>
        <w:tabs>
          <w:tab w:val="left" w:pos="993"/>
        </w:tabs>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  本项目接受联合体，参与联合体的机构数量不得超过三家。</w:t>
      </w:r>
    </w:p>
    <w:bookmarkEnd w:id="20"/>
    <w:p>
      <w:pPr>
        <w:pStyle w:val="5"/>
        <w:numPr>
          <w:ilvl w:val="0"/>
          <w:numId w:val="4"/>
        </w:numPr>
        <w:snapToGrid w:val="0"/>
        <w:spacing w:before="0" w:after="0" w:line="500" w:lineRule="exact"/>
        <w:ind w:firstLine="118"/>
        <w:rPr>
          <w:rFonts w:hint="eastAsia" w:ascii="仿宋_GB2312" w:hAnsi="仿宋_GB2312" w:eastAsia="仿宋_GB2312" w:cs="仿宋_GB2312"/>
          <w:sz w:val="32"/>
          <w:szCs w:val="32"/>
        </w:rPr>
      </w:pPr>
      <w:bookmarkStart w:id="21" w:name="_Toc5779"/>
      <w:r>
        <w:rPr>
          <w:rFonts w:hint="eastAsia" w:ascii="仿宋_GB2312" w:hAnsi="仿宋_GB2312" w:eastAsia="仿宋_GB2312" w:cs="仿宋_GB2312"/>
          <w:sz w:val="32"/>
          <w:szCs w:val="32"/>
        </w:rPr>
        <w:t>招标文件的获取</w:t>
      </w:r>
      <w:bookmarkEnd w:id="21"/>
    </w:p>
    <w:p>
      <w:pPr>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4.1请于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时止（北京时间，下同），在</w:t>
      </w:r>
      <w:r>
        <w:rPr>
          <w:rFonts w:hint="eastAsia" w:ascii="仿宋_GB2312" w:hAnsi="仿宋_GB2312" w:eastAsia="仿宋_GB2312" w:cs="仿宋_GB2312"/>
          <w:sz w:val="32"/>
          <w:szCs w:val="32"/>
          <w:u w:val="single"/>
        </w:rPr>
        <w:t xml:space="preserve"> “全国公共资源交易平台（陕西省）”</w:t>
      </w:r>
      <w:r>
        <w:rPr>
          <w:rFonts w:hint="eastAsia" w:ascii="仿宋_GB2312" w:hAnsi="仿宋_GB2312" w:eastAsia="仿宋_GB2312" w:cs="仿宋_GB2312"/>
          <w:sz w:val="32"/>
          <w:szCs w:val="32"/>
        </w:rPr>
        <w:t>网站下载招标文件。网络下载的招标文件与书面招标文件具有同等法律效力。</w:t>
      </w:r>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4.1请于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日（每天上午9时00分－12时00分，下午14时00分－17时00分）（北京时间，下同），携带授权委托书、被授权人身份证及身份证复印件加盖公章在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i/>
          <w:sz w:val="32"/>
          <w:szCs w:val="32"/>
          <w:u w:val="single"/>
        </w:rPr>
        <w:t>（</w:t>
      </w:r>
      <w:r>
        <w:rPr>
          <w:rFonts w:hint="eastAsia" w:ascii="仿宋_GB2312" w:hAnsi="仿宋_GB2312" w:eastAsia="仿宋_GB2312" w:cs="仿宋_GB2312"/>
          <w:i/>
          <w:sz w:val="32"/>
          <w:szCs w:val="32"/>
        </w:rPr>
        <w:t>招标代理机构地址）</w:t>
      </w:r>
      <w:r>
        <w:rPr>
          <w:rFonts w:hint="eastAsia" w:ascii="仿宋_GB2312" w:hAnsi="仿宋_GB2312" w:eastAsia="仿宋_GB2312" w:cs="仿宋_GB2312"/>
          <w:sz w:val="32"/>
          <w:szCs w:val="32"/>
        </w:rPr>
        <w:t>领取招标文件。</w:t>
      </w:r>
    </w:p>
    <w:p>
      <w:pPr>
        <w:pStyle w:val="5"/>
        <w:numPr>
          <w:ilvl w:val="0"/>
          <w:numId w:val="4"/>
        </w:numPr>
        <w:snapToGrid w:val="0"/>
        <w:spacing w:before="0" w:after="0" w:line="500" w:lineRule="exact"/>
        <w:ind w:firstLine="118"/>
        <w:rPr>
          <w:rFonts w:hint="eastAsia" w:ascii="仿宋_GB2312" w:hAnsi="仿宋_GB2312" w:eastAsia="仿宋_GB2312" w:cs="仿宋_GB2312"/>
          <w:sz w:val="32"/>
          <w:szCs w:val="32"/>
        </w:rPr>
      </w:pPr>
      <w:bookmarkStart w:id="22" w:name="_Toc23577"/>
      <w:r>
        <w:rPr>
          <w:rFonts w:hint="eastAsia" w:ascii="仿宋_GB2312" w:hAnsi="仿宋_GB2312" w:eastAsia="仿宋_GB2312" w:cs="仿宋_GB2312"/>
          <w:sz w:val="32"/>
          <w:szCs w:val="32"/>
        </w:rPr>
        <w:t>投标文件的递交及开标</w:t>
      </w:r>
      <w:bookmarkEnd w:id="22"/>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5.1投标人应当在投标截止时间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分前，通过互联网使用CA数字证书登录“电子交易平台”，将加密的投标文件保存上传成功，文件最后上传时间即为递交时间。</w:t>
      </w:r>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逾期未完成上传或未按规定加密的投标文件，招标人不予接收。</w:t>
      </w:r>
    </w:p>
    <w:p>
      <w:pPr>
        <w:pStyle w:val="7"/>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5.1投标人应当在投标截止时间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分前，将纸质文件递交至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□5.2逾期送达的或者未送达指定地点的投标文件，招标人不予接收。</w:t>
      </w:r>
    </w:p>
    <w:p>
      <w:pPr>
        <w:pStyle w:val="5"/>
        <w:numPr>
          <w:ilvl w:val="0"/>
          <w:numId w:val="4"/>
        </w:numPr>
        <w:snapToGrid w:val="0"/>
        <w:spacing w:before="0" w:after="0" w:line="500" w:lineRule="exact"/>
        <w:ind w:firstLine="118"/>
        <w:rPr>
          <w:rFonts w:hint="eastAsia" w:ascii="仿宋_GB2312" w:hAnsi="仿宋_GB2312" w:eastAsia="仿宋_GB2312" w:cs="仿宋_GB2312"/>
          <w:sz w:val="32"/>
          <w:szCs w:val="32"/>
        </w:rPr>
      </w:pPr>
      <w:bookmarkStart w:id="23" w:name="_Toc1965"/>
      <w:r>
        <w:rPr>
          <w:rFonts w:hint="eastAsia" w:ascii="仿宋_GB2312" w:hAnsi="仿宋_GB2312" w:eastAsia="仿宋_GB2312" w:cs="仿宋_GB2312"/>
          <w:sz w:val="32"/>
          <w:szCs w:val="32"/>
        </w:rPr>
        <w:t>发布公告的媒介</w:t>
      </w:r>
      <w:bookmarkEnd w:id="23"/>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本次招标公告在</w:t>
      </w:r>
      <w:r>
        <w:rPr>
          <w:rFonts w:hint="eastAsia" w:ascii="仿宋_GB2312" w:hAnsi="仿宋_GB2312" w:eastAsia="仿宋_GB2312" w:cs="仿宋_GB2312"/>
          <w:b/>
          <w:bCs/>
          <w:sz w:val="32"/>
          <w:szCs w:val="32"/>
          <w:u w:val="single"/>
        </w:rPr>
        <w:t>“中国招标投标公共服务平台”</w:t>
      </w:r>
      <w:r>
        <w:rPr>
          <w:rFonts w:hint="eastAsia" w:ascii="仿宋_GB2312" w:hAnsi="仿宋_GB2312" w:eastAsia="仿宋_GB2312" w:cs="仿宋_GB2312"/>
          <w:b/>
          <w:sz w:val="32"/>
          <w:szCs w:val="32"/>
          <w:u w:val="single"/>
        </w:rPr>
        <w:t>“全国公共资源交易平台（陕西省）”“陕西采购与招标网”</w:t>
      </w:r>
      <w:r>
        <w:rPr>
          <w:rFonts w:hint="eastAsia" w:ascii="仿宋_GB2312" w:hAnsi="仿宋_GB2312" w:eastAsia="仿宋_GB2312" w:cs="仿宋_GB2312"/>
          <w:sz w:val="32"/>
          <w:szCs w:val="32"/>
        </w:rPr>
        <w:t>上发布。</w:t>
      </w:r>
    </w:p>
    <w:p>
      <w:pPr>
        <w:pStyle w:val="5"/>
        <w:numPr>
          <w:ilvl w:val="0"/>
          <w:numId w:val="4"/>
        </w:numPr>
        <w:snapToGrid w:val="0"/>
        <w:spacing w:before="0" w:after="0" w:line="500" w:lineRule="exact"/>
        <w:ind w:firstLine="118"/>
        <w:rPr>
          <w:rFonts w:hint="eastAsia" w:ascii="仿宋_GB2312" w:hAnsi="仿宋_GB2312" w:eastAsia="仿宋_GB2312" w:cs="仿宋_GB2312"/>
          <w:sz w:val="32"/>
          <w:szCs w:val="32"/>
        </w:rPr>
      </w:pPr>
      <w:bookmarkStart w:id="24" w:name="_Toc2349"/>
      <w:r>
        <w:rPr>
          <w:rFonts w:hint="eastAsia" w:ascii="仿宋_GB2312" w:hAnsi="仿宋_GB2312" w:eastAsia="仿宋_GB2312" w:cs="仿宋_GB2312"/>
          <w:sz w:val="32"/>
          <w:szCs w:val="32"/>
        </w:rPr>
        <w:t>其他</w:t>
      </w:r>
      <w:bookmarkEnd w:id="24"/>
    </w:p>
    <w:p>
      <w:pPr>
        <w:pStyle w:val="2"/>
        <w:snapToGrid w:val="0"/>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kern w:val="2"/>
          <w:sz w:val="32"/>
          <w:szCs w:val="32"/>
          <w:u w:val="single"/>
        </w:rPr>
        <w:t xml:space="preserve">                                                               </w:t>
      </w:r>
    </w:p>
    <w:p>
      <w:pPr>
        <w:pStyle w:val="5"/>
        <w:numPr>
          <w:ilvl w:val="0"/>
          <w:numId w:val="4"/>
        </w:numPr>
        <w:snapToGrid w:val="0"/>
        <w:spacing w:before="0" w:after="0" w:line="500" w:lineRule="exact"/>
        <w:ind w:firstLine="118"/>
        <w:rPr>
          <w:rFonts w:hint="eastAsia" w:ascii="仿宋_GB2312" w:hAnsi="仿宋_GB2312" w:eastAsia="仿宋_GB2312" w:cs="仿宋_GB2312"/>
          <w:sz w:val="32"/>
          <w:szCs w:val="32"/>
        </w:rPr>
      </w:pPr>
      <w:bookmarkStart w:id="25" w:name="_Toc19941"/>
      <w:r>
        <w:rPr>
          <w:rFonts w:hint="eastAsia" w:ascii="仿宋_GB2312" w:hAnsi="仿宋_GB2312" w:eastAsia="仿宋_GB2312" w:cs="仿宋_GB2312"/>
          <w:sz w:val="32"/>
          <w:szCs w:val="32"/>
        </w:rPr>
        <w:t>行政监督</w:t>
      </w:r>
      <w:bookmarkEnd w:id="25"/>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本次招标接受代建主管部门监督。监督机构为</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发展和改革委，联系人：</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，电话：</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w:t>
      </w:r>
    </w:p>
    <w:p>
      <w:pPr>
        <w:pStyle w:val="5"/>
        <w:numPr>
          <w:ilvl w:val="0"/>
          <w:numId w:val="4"/>
        </w:numPr>
        <w:snapToGrid w:val="0"/>
        <w:spacing w:before="0" w:after="0" w:line="500" w:lineRule="exact"/>
        <w:ind w:firstLine="118"/>
        <w:rPr>
          <w:rFonts w:hint="eastAsia" w:ascii="仿宋_GB2312" w:hAnsi="仿宋_GB2312" w:eastAsia="仿宋_GB2312" w:cs="仿宋_GB2312"/>
          <w:sz w:val="32"/>
          <w:szCs w:val="32"/>
        </w:rPr>
      </w:pPr>
      <w:bookmarkStart w:id="26" w:name="_Toc25152"/>
      <w:r>
        <w:rPr>
          <w:rFonts w:hint="eastAsia" w:ascii="仿宋_GB2312" w:hAnsi="仿宋_GB2312" w:eastAsia="仿宋_GB2312" w:cs="仿宋_GB2312"/>
          <w:sz w:val="32"/>
          <w:szCs w:val="32"/>
        </w:rPr>
        <w:t>联系方式</w:t>
      </w:r>
      <w:bookmarkEnd w:id="26"/>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招标人：</w:t>
      </w:r>
      <w:r>
        <w:rPr>
          <w:rFonts w:hint="eastAsia" w:ascii="仿宋_GB2312" w:hAnsi="仿宋_GB2312" w:eastAsia="仿宋_GB2312" w:cs="仿宋_GB2312"/>
          <w:b/>
          <w:sz w:val="32"/>
          <w:szCs w:val="32"/>
          <w:u w:val="single"/>
        </w:rPr>
        <w:t xml:space="preserve">                                </w:t>
      </w:r>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 xml:space="preserve">                                 </w:t>
      </w:r>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rPr>
        <w:t xml:space="preserve">                                 </w:t>
      </w:r>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rPr>
        <w:t xml:space="preserve">                               </w:t>
      </w:r>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招标代理机构：</w:t>
      </w:r>
      <w:r>
        <w:rPr>
          <w:rFonts w:hint="eastAsia" w:ascii="仿宋_GB2312" w:hAnsi="仿宋_GB2312" w:eastAsia="仿宋_GB2312" w:cs="仿宋_GB2312"/>
          <w:b/>
          <w:sz w:val="32"/>
          <w:szCs w:val="32"/>
          <w:u w:val="single"/>
        </w:rPr>
        <w:t xml:space="preserve">                         </w:t>
      </w:r>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 xml:space="preserve">                                 </w:t>
      </w:r>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rPr>
        <w:t xml:space="preserve">                                 </w:t>
      </w:r>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rPr>
        <w:t xml:space="preserve">                               </w:t>
      </w:r>
    </w:p>
    <w:p>
      <w:pPr>
        <w:snapToGrid w:val="0"/>
        <w:spacing w:line="50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pPr>
        <w:snapToGrid w:val="0"/>
        <w:spacing w:line="500" w:lineRule="exact"/>
        <w:ind w:firstLine="480"/>
        <w:rPr>
          <w:rFonts w:eastAsia="Calibri"/>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br w:type="page"/>
      </w:r>
      <w:bookmarkStart w:id="27" w:name="_Toc793"/>
      <w:bookmarkStart w:id="28" w:name="_Toc23865"/>
      <w:r>
        <w:rPr>
          <w:rFonts w:hint="eastAsia"/>
        </w:rPr>
        <w:t>第一章 投标邀请书（适用于</w:t>
      </w:r>
      <w:r>
        <w:rPr>
          <w:rFonts w:hint="eastAsia" w:ascii="宋体" w:hAnsi="宋体"/>
        </w:rPr>
        <w:t>邀请</w:t>
      </w:r>
      <w:r>
        <w:rPr>
          <w:rFonts w:ascii="宋体" w:hAnsi="宋体"/>
        </w:rPr>
        <w:t>招标</w:t>
      </w:r>
      <w:r>
        <w:rPr>
          <w:rFonts w:hint="eastAsia"/>
        </w:rPr>
        <w:t>）</w:t>
      </w:r>
      <w:bookmarkEnd w:id="27"/>
      <w:bookmarkEnd w:id="28"/>
    </w:p>
    <w:p>
      <w:pPr>
        <w:keepNext/>
        <w:keepLines/>
        <w:snapToGrid w:val="0"/>
        <w:spacing w:line="540" w:lineRule="exact"/>
      </w:pPr>
    </w:p>
    <w:p>
      <w:pPr>
        <w:pStyle w:val="5"/>
        <w:numPr>
          <w:ilvl w:val="0"/>
          <w:numId w:val="5"/>
        </w:numPr>
        <w:snapToGrid w:val="0"/>
        <w:spacing w:before="0" w:after="0" w:line="500" w:lineRule="exact"/>
        <w:ind w:firstLine="118"/>
      </w:pPr>
      <w:bookmarkStart w:id="29" w:name="_Toc10043"/>
      <w:bookmarkStart w:id="30" w:name="_Toc13956"/>
      <w:r>
        <w:rPr>
          <w:rFonts w:hint="eastAsia" w:ascii="仿宋" w:hAnsi="仿宋" w:eastAsia="仿宋" w:cs="仿宋"/>
          <w:sz w:val="24"/>
          <w:szCs w:val="24"/>
        </w:rPr>
        <w:t>招标条件</w:t>
      </w:r>
      <w:bookmarkEnd w:id="29"/>
      <w:bookmarkEnd w:id="30"/>
    </w:p>
    <w:p>
      <w:pPr>
        <w:snapToGrid w:val="0"/>
        <w:spacing w:line="500" w:lineRule="exact"/>
        <w:ind w:firstLine="480"/>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i/>
          <w:sz w:val="24"/>
        </w:rPr>
        <w:t>项目名称</w:t>
      </w:r>
      <w:r>
        <w:rPr>
          <w:rFonts w:hint="eastAsia" w:ascii="仿宋" w:hAnsi="仿宋" w:eastAsia="仿宋" w:cs="仿宋"/>
          <w:sz w:val="24"/>
        </w:rPr>
        <w:t xml:space="preserve">）已由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i/>
          <w:sz w:val="24"/>
        </w:rPr>
        <w:t>项目审批、核准或备案机关名称</w:t>
      </w:r>
      <w:r>
        <w:rPr>
          <w:rFonts w:hint="eastAsia" w:ascii="仿宋" w:hAnsi="仿宋" w:eastAsia="仿宋" w:cs="仿宋"/>
          <w:sz w:val="24"/>
        </w:rPr>
        <w:t>）以</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i/>
          <w:sz w:val="24"/>
        </w:rPr>
        <w:t>审批、核准或备案文件名称及编号</w:t>
      </w:r>
      <w:r>
        <w:rPr>
          <w:rFonts w:hint="eastAsia" w:ascii="仿宋" w:hAnsi="仿宋" w:eastAsia="仿宋" w:cs="仿宋"/>
          <w:sz w:val="24"/>
        </w:rPr>
        <w:t>）同意建设，建设资金来自</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i/>
          <w:sz w:val="24"/>
        </w:rPr>
        <w:t>资金来源</w:t>
      </w:r>
      <w:r>
        <w:rPr>
          <w:rFonts w:hint="eastAsia" w:ascii="仿宋" w:hAnsi="仿宋" w:eastAsia="仿宋" w:cs="仿宋"/>
          <w:sz w:val="24"/>
        </w:rPr>
        <w:t>）。目前已具备招标条件，现就其代建单位进行邀请招标，招标人为</w:t>
      </w:r>
      <w:r>
        <w:rPr>
          <w:rFonts w:hint="eastAsia" w:ascii="仿宋" w:hAnsi="仿宋" w:eastAsia="仿宋" w:cs="仿宋"/>
          <w:sz w:val="24"/>
          <w:u w:val="single"/>
        </w:rPr>
        <w:t xml:space="preserve">           </w:t>
      </w:r>
      <w:r>
        <w:rPr>
          <w:rFonts w:hint="eastAsia" w:ascii="仿宋" w:hAnsi="仿宋" w:eastAsia="仿宋" w:cs="仿宋"/>
          <w:sz w:val="24"/>
        </w:rPr>
        <w:t>，招标代理机构为</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500" w:lineRule="exact"/>
        <w:ind w:firstLine="480"/>
        <w:rPr>
          <w:rFonts w:ascii="仿宋" w:hAnsi="仿宋" w:eastAsia="仿宋" w:cs="仿宋"/>
          <w:sz w:val="24"/>
        </w:rPr>
      </w:pPr>
    </w:p>
    <w:p>
      <w:pPr>
        <w:pStyle w:val="5"/>
        <w:numPr>
          <w:ilvl w:val="0"/>
          <w:numId w:val="5"/>
        </w:numPr>
        <w:snapToGrid w:val="0"/>
        <w:spacing w:before="0" w:after="0" w:line="500" w:lineRule="exact"/>
        <w:ind w:firstLine="118"/>
      </w:pPr>
      <w:bookmarkStart w:id="31" w:name="_Toc14483"/>
      <w:bookmarkStart w:id="32" w:name="_Toc2894"/>
      <w:r>
        <w:rPr>
          <w:rFonts w:hint="eastAsia" w:ascii="仿宋" w:hAnsi="仿宋" w:eastAsia="仿宋" w:cs="仿宋"/>
          <w:sz w:val="24"/>
          <w:szCs w:val="24"/>
        </w:rPr>
        <w:t>代建项目概况与招标范围</w:t>
      </w:r>
      <w:bookmarkEnd w:id="31"/>
      <w:bookmarkEnd w:id="32"/>
    </w:p>
    <w:p>
      <w:pPr>
        <w:snapToGrid w:val="0"/>
        <w:spacing w:line="500" w:lineRule="exact"/>
        <w:ind w:firstLine="480"/>
      </w:pPr>
      <w:r>
        <w:rPr>
          <w:rFonts w:hint="eastAsia" w:ascii="仿宋" w:hAnsi="仿宋" w:eastAsia="仿宋" w:cs="仿宋"/>
          <w:sz w:val="24"/>
        </w:rPr>
        <w:t>2.1  招标人：</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2.2  项目名称：</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2.3  项目建设地点：</w:t>
      </w:r>
      <w:r>
        <w:rPr>
          <w:rFonts w:hint="eastAsia" w:ascii="仿宋" w:hAnsi="仿宋" w:eastAsia="仿宋" w:cs="仿宋"/>
          <w:sz w:val="24"/>
          <w:u w:val="single"/>
        </w:rPr>
        <w:t xml:space="preserve">                   </w:t>
      </w:r>
    </w:p>
    <w:p>
      <w:pPr>
        <w:snapToGrid w:val="0"/>
        <w:spacing w:line="500" w:lineRule="exact"/>
        <w:ind w:firstLine="480"/>
        <w:rPr>
          <w:rFonts w:ascii="仿宋" w:hAnsi="仿宋" w:eastAsia="仿宋" w:cs="仿宋"/>
          <w:sz w:val="24"/>
          <w:u w:val="single"/>
        </w:rPr>
      </w:pPr>
      <w:r>
        <w:rPr>
          <w:rFonts w:hint="eastAsia" w:ascii="仿宋" w:hAnsi="仿宋" w:eastAsia="仿宋" w:cs="仿宋"/>
          <w:sz w:val="24"/>
        </w:rPr>
        <w:t>2.4  项目建设内容及规模（</w:t>
      </w:r>
      <w:r>
        <w:rPr>
          <w:rFonts w:hint="eastAsia" w:ascii="仿宋" w:hAnsi="仿宋" w:eastAsia="仿宋" w:cs="仿宋"/>
          <w:i/>
          <w:sz w:val="24"/>
        </w:rPr>
        <w:t>工程类型、主要技术指标、总投资额等</w:t>
      </w:r>
      <w:r>
        <w:rPr>
          <w:rFonts w:hint="eastAsia" w:ascii="仿宋" w:hAnsi="仿宋" w:eastAsia="仿宋" w:cs="仿宋"/>
          <w:sz w:val="24"/>
        </w:rPr>
        <w:t>）：</w:t>
      </w:r>
      <w:r>
        <w:rPr>
          <w:rFonts w:hint="eastAsia" w:ascii="仿宋" w:hAnsi="仿宋" w:eastAsia="仿宋" w:cs="仿宋"/>
          <w:sz w:val="24"/>
          <w:u w:val="single"/>
        </w:rPr>
        <w:t xml:space="preserve"> </w:t>
      </w:r>
    </w:p>
    <w:p>
      <w:pPr>
        <w:snapToGrid w:val="0"/>
        <w:spacing w:line="500" w:lineRule="exact"/>
        <w:ind w:firstLine="480"/>
        <w:rPr>
          <w:rFonts w:eastAsia="仿宋"/>
        </w:rPr>
      </w:pPr>
      <w:r>
        <w:rPr>
          <w:rFonts w:hint="eastAsia" w:ascii="仿宋" w:hAnsi="仿宋" w:eastAsia="仿宋" w:cs="仿宋"/>
          <w:sz w:val="24"/>
          <w:u w:val="single"/>
        </w:rPr>
        <w:t xml:space="preserve">                                                               </w:t>
      </w:r>
    </w:p>
    <w:p>
      <w:pPr>
        <w:snapToGrid w:val="0"/>
        <w:spacing w:line="500" w:lineRule="exact"/>
        <w:ind w:firstLine="480"/>
        <w:rPr>
          <w:rFonts w:eastAsia="仿宋"/>
        </w:rPr>
      </w:pPr>
      <w:r>
        <w:rPr>
          <w:rFonts w:hint="eastAsia" w:ascii="仿宋" w:hAnsi="仿宋" w:eastAsia="仿宋" w:cs="仿宋"/>
          <w:sz w:val="24"/>
        </w:rPr>
        <w:t>2.5  招标范围：</w:t>
      </w:r>
      <w:r>
        <w:rPr>
          <w:rFonts w:hint="eastAsia" w:ascii="仿宋" w:hAnsi="仿宋" w:eastAsia="仿宋" w:cs="仿宋"/>
          <w:sz w:val="24"/>
          <w:u w:val="single"/>
        </w:rPr>
        <w:t>本项目的代建服务（</w:t>
      </w:r>
      <w:r>
        <w:rPr>
          <w:rFonts w:hint="eastAsia" w:ascii="仿宋" w:hAnsi="仿宋" w:eastAsia="仿宋" w:cs="仿宋"/>
          <w:i/>
          <w:iCs/>
          <w:sz w:val="24"/>
          <w:u w:val="single"/>
        </w:rPr>
        <w:t>包含项目管理、可行性研究报告编制、勘察、造价咨询、招标代理</w:t>
      </w:r>
      <w:r>
        <w:rPr>
          <w:rFonts w:hint="eastAsia" w:ascii="仿宋" w:hAnsi="仿宋" w:eastAsia="仿宋" w:cs="仿宋"/>
          <w:i/>
          <w:sz w:val="24"/>
          <w:u w:val="single"/>
        </w:rPr>
        <w:t>）</w:t>
      </w:r>
      <w:r>
        <w:rPr>
          <w:rFonts w:hint="eastAsia" w:ascii="仿宋" w:hAnsi="仿宋" w:eastAsia="仿宋" w:cs="仿宋"/>
          <w:sz w:val="24"/>
          <w:u w:val="single"/>
        </w:rPr>
        <w:t>。具体详见第五章“发包人提供的资料及要求”。</w:t>
      </w:r>
    </w:p>
    <w:p>
      <w:pPr>
        <w:snapToGrid w:val="0"/>
        <w:spacing w:line="500" w:lineRule="exact"/>
        <w:ind w:firstLine="480"/>
        <w:rPr>
          <w:rFonts w:ascii="仿宋" w:hAnsi="仿宋" w:eastAsia="仿宋" w:cs="仿宋"/>
          <w:sz w:val="24"/>
          <w:u w:val="single"/>
        </w:rPr>
      </w:pPr>
      <w:r>
        <w:rPr>
          <w:rFonts w:hint="eastAsia" w:ascii="仿宋" w:hAnsi="仿宋" w:eastAsia="仿宋" w:cs="仿宋"/>
          <w:sz w:val="24"/>
        </w:rPr>
        <w:t>2.6  代建项目控制目标：</w:t>
      </w:r>
      <w:r>
        <w:rPr>
          <w:rFonts w:hint="eastAsia" w:ascii="仿宋" w:hAnsi="仿宋" w:eastAsia="仿宋" w:cs="仿宋"/>
          <w:sz w:val="24"/>
          <w:u w:val="single"/>
        </w:rPr>
        <w:t xml:space="preserve">  </w:t>
      </w:r>
      <w:r>
        <w:rPr>
          <w:rFonts w:hint="eastAsia" w:ascii="仿宋" w:hAnsi="仿宋" w:eastAsia="仿宋" w:cs="仿宋"/>
          <w:i/>
          <w:iCs/>
          <w:sz w:val="24"/>
          <w:u w:val="single"/>
        </w:rPr>
        <w:t xml:space="preserve">（建设规模、建设标准、总投资） </w:t>
      </w:r>
      <w:r>
        <w:rPr>
          <w:rFonts w:hint="eastAsia" w:ascii="仿宋" w:hAnsi="仿宋" w:eastAsia="仿宋" w:cs="仿宋"/>
          <w:sz w:val="24"/>
          <w:u w:val="single"/>
        </w:rPr>
        <w:t xml:space="preserve">       。        </w:t>
      </w:r>
    </w:p>
    <w:p>
      <w:pPr>
        <w:snapToGrid w:val="0"/>
        <w:spacing w:line="500" w:lineRule="exact"/>
        <w:ind w:firstLine="480"/>
      </w:pPr>
      <w:r>
        <w:rPr>
          <w:rFonts w:hint="eastAsia" w:ascii="仿宋" w:hAnsi="仿宋" w:eastAsia="仿宋" w:cs="仿宋"/>
          <w:sz w:val="24"/>
        </w:rPr>
        <w:t>2.7  工程质量标准：依照国家</w:t>
      </w:r>
      <w:r>
        <w:rPr>
          <w:rFonts w:hint="eastAsia" w:ascii="仿宋" w:hAnsi="仿宋" w:eastAsia="仿宋" w:cs="仿宋"/>
          <w:sz w:val="24"/>
          <w:u w:val="single"/>
        </w:rPr>
        <w:t>《             》（</w:t>
      </w:r>
      <w:r>
        <w:rPr>
          <w:rFonts w:hint="eastAsia" w:ascii="仿宋" w:hAnsi="仿宋" w:eastAsia="仿宋" w:cs="仿宋"/>
          <w:i/>
          <w:sz w:val="24"/>
        </w:rPr>
        <w:t>相应法定质量标准）</w:t>
      </w:r>
      <w:r>
        <w:rPr>
          <w:rFonts w:hint="eastAsia" w:ascii="仿宋" w:hAnsi="仿宋" w:eastAsia="仿宋" w:cs="仿宋"/>
          <w:sz w:val="24"/>
        </w:rPr>
        <w:t>达到合格。</w:t>
      </w:r>
    </w:p>
    <w:p>
      <w:pPr>
        <w:snapToGrid w:val="0"/>
        <w:spacing w:line="500" w:lineRule="exact"/>
        <w:ind w:firstLine="480"/>
      </w:pPr>
      <w:r>
        <w:rPr>
          <w:rFonts w:hint="eastAsia" w:ascii="仿宋" w:hAnsi="仿宋" w:eastAsia="仿宋" w:cs="仿宋"/>
          <w:sz w:val="24"/>
        </w:rPr>
        <w:t>2.8  项目安全管理目标：无安全责任事故。</w:t>
      </w:r>
    </w:p>
    <w:p>
      <w:pPr>
        <w:snapToGrid w:val="0"/>
        <w:spacing w:line="500" w:lineRule="exact"/>
        <w:ind w:firstLine="480"/>
      </w:pPr>
      <w:r>
        <w:rPr>
          <w:rFonts w:hint="eastAsia" w:ascii="仿宋" w:hAnsi="仿宋" w:eastAsia="仿宋" w:cs="仿宋"/>
          <w:sz w:val="24"/>
        </w:rPr>
        <w:t>2.9  廉洁守法目标：严格遵守法律法规和政策性文件要求，管理机构无违法违纪行为。</w:t>
      </w:r>
    </w:p>
    <w:p>
      <w:pPr>
        <w:snapToGrid w:val="0"/>
        <w:spacing w:line="500" w:lineRule="exact"/>
        <w:ind w:firstLine="480"/>
      </w:pPr>
      <w:r>
        <w:rPr>
          <w:rFonts w:hint="eastAsia" w:ascii="仿宋" w:hAnsi="仿宋" w:eastAsia="仿宋" w:cs="仿宋"/>
          <w:sz w:val="24"/>
        </w:rPr>
        <w:t>2.10  服务周期：周期为合同生效之日起到固定资产移交手续完成止。其中合同生效之日起至工程竣工验收合格之日止为</w:t>
      </w:r>
      <w:r>
        <w:rPr>
          <w:rFonts w:hint="eastAsia" w:ascii="仿宋" w:hAnsi="仿宋" w:eastAsia="仿宋" w:cs="仿宋"/>
          <w:sz w:val="24"/>
          <w:u w:val="single"/>
        </w:rPr>
        <w:t xml:space="preserve">     </w:t>
      </w:r>
      <w:r>
        <w:rPr>
          <w:rFonts w:hint="eastAsia" w:ascii="仿宋" w:hAnsi="仿宋" w:eastAsia="仿宋" w:cs="仿宋"/>
          <w:sz w:val="24"/>
        </w:rPr>
        <w:t>日；竣工验收合格后3个月内</w:t>
      </w:r>
      <w:r>
        <w:rPr>
          <w:rFonts w:hint="eastAsia" w:ascii="仿宋" w:hAnsi="仿宋" w:eastAsia="仿宋" w:cs="仿宋"/>
          <w:i/>
          <w:sz w:val="24"/>
        </w:rPr>
        <w:t>（大型项目不得超过6个月）</w:t>
      </w:r>
      <w:r>
        <w:rPr>
          <w:rFonts w:hint="eastAsia" w:ascii="仿宋" w:hAnsi="仿宋" w:eastAsia="仿宋" w:cs="仿宋"/>
          <w:sz w:val="24"/>
        </w:rPr>
        <w:t>向省级项目主管部门申请办理竣工财务决算审批，并按合同约定向项目单位办理固定资产移交手续。</w:t>
      </w:r>
    </w:p>
    <w:p>
      <w:pPr>
        <w:snapToGrid w:val="0"/>
        <w:spacing w:line="500" w:lineRule="exact"/>
        <w:ind w:firstLine="480"/>
      </w:pPr>
      <w:r>
        <w:rPr>
          <w:rFonts w:hint="eastAsia" w:ascii="仿宋" w:hAnsi="仿宋" w:eastAsia="仿宋" w:cs="仿宋"/>
          <w:sz w:val="24"/>
        </w:rPr>
        <w:t>2.11  其他需要特别告知的项目情况：</w:t>
      </w:r>
      <w:r>
        <w:rPr>
          <w:rFonts w:hint="eastAsia" w:ascii="仿宋" w:hAnsi="仿宋" w:eastAsia="仿宋" w:cs="仿宋"/>
          <w:i/>
          <w:iCs/>
          <w:sz w:val="24"/>
          <w:u w:val="single"/>
        </w:rPr>
        <w:t>（本项目建议书批复各专业服务费用）</w:t>
      </w:r>
      <w:r>
        <w:rPr>
          <w:rFonts w:hint="eastAsia" w:ascii="仿宋" w:hAnsi="仿宋" w:eastAsia="仿宋" w:cs="仿宋"/>
          <w:sz w:val="24"/>
          <w:u w:val="single"/>
        </w:rPr>
        <w:t>。</w:t>
      </w:r>
    </w:p>
    <w:p>
      <w:pPr>
        <w:pStyle w:val="5"/>
        <w:numPr>
          <w:ilvl w:val="0"/>
          <w:numId w:val="5"/>
        </w:numPr>
        <w:snapToGrid w:val="0"/>
        <w:spacing w:before="0" w:after="0" w:line="500" w:lineRule="exact"/>
        <w:ind w:firstLine="118"/>
      </w:pPr>
      <w:bookmarkStart w:id="33" w:name="_Toc27905"/>
      <w:bookmarkStart w:id="34" w:name="_Toc12518"/>
      <w:r>
        <w:rPr>
          <w:rFonts w:hint="eastAsia" w:ascii="仿宋" w:hAnsi="仿宋" w:eastAsia="仿宋" w:cs="仿宋"/>
          <w:sz w:val="24"/>
          <w:szCs w:val="24"/>
        </w:rPr>
        <w:t>投标人资格条件</w:t>
      </w:r>
      <w:bookmarkEnd w:id="33"/>
      <w:bookmarkEnd w:id="34"/>
    </w:p>
    <w:p>
      <w:pPr>
        <w:snapToGrid w:val="0"/>
        <w:spacing w:line="500" w:lineRule="exact"/>
        <w:ind w:firstLine="480"/>
      </w:pPr>
      <w:r>
        <w:rPr>
          <w:rFonts w:hint="eastAsia" w:ascii="仿宋" w:hAnsi="仿宋" w:eastAsia="仿宋" w:cs="仿宋"/>
          <w:sz w:val="24"/>
        </w:rPr>
        <w:t>3.1  具有有效的营业执照或事业单位法人证书；</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3.2  同时具备以下要求：</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.2.1</w:t>
      </w:r>
      <w:r>
        <w:rPr>
          <w:rFonts w:hint="eastAsia" w:ascii="仿宋" w:hAnsi="仿宋" w:eastAsia="仿宋" w:cs="仿宋"/>
          <w:sz w:val="24"/>
        </w:rPr>
        <w:t>具备项目管理能力（提供履行合同所必需的专业技术能力的证明材料，如合同或技术人员证书）。</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拟派代建项目经理要求：</w:t>
      </w:r>
      <w:r>
        <w:rPr>
          <w:rFonts w:hint="eastAsia" w:ascii="仿宋" w:hAnsi="仿宋" w:eastAsia="仿宋" w:cs="仿宋"/>
          <w:i/>
          <w:sz w:val="24"/>
          <w:u w:val="single"/>
        </w:rPr>
        <w:t>（专业工程）</w:t>
      </w:r>
      <w:r>
        <w:rPr>
          <w:rFonts w:hint="eastAsia" w:ascii="仿宋" w:hAnsi="仿宋" w:eastAsia="仿宋" w:cs="仿宋"/>
          <w:sz w:val="24"/>
        </w:rPr>
        <w:t>专业</w:t>
      </w:r>
      <w:r>
        <w:rPr>
          <w:rFonts w:hint="eastAsia" w:ascii="仿宋" w:hAnsi="仿宋" w:eastAsia="仿宋" w:cs="仿宋"/>
          <w:sz w:val="24"/>
          <w:u w:val="single"/>
        </w:rPr>
        <w:t xml:space="preserve">   </w:t>
      </w:r>
      <w:r>
        <w:rPr>
          <w:rFonts w:hint="eastAsia" w:ascii="仿宋" w:hAnsi="仿宋" w:eastAsia="仿宋" w:cs="仿宋"/>
          <w:sz w:val="24"/>
        </w:rPr>
        <w:t>级及以上注册建造师执业资格或具备</w:t>
      </w:r>
      <w:r>
        <w:rPr>
          <w:rFonts w:hint="eastAsia" w:ascii="仿宋" w:hAnsi="仿宋" w:eastAsia="仿宋" w:cs="仿宋"/>
          <w:i/>
          <w:sz w:val="24"/>
          <w:u w:val="single"/>
        </w:rPr>
        <w:t>（专业工程）</w:t>
      </w:r>
      <w:r>
        <w:rPr>
          <w:rFonts w:hint="eastAsia" w:ascii="仿宋" w:hAnsi="仿宋" w:eastAsia="仿宋" w:cs="仿宋"/>
          <w:sz w:val="24"/>
        </w:rPr>
        <w:t>国家注册监理工程师资格，并具备</w:t>
      </w:r>
      <w:r>
        <w:rPr>
          <w:rFonts w:ascii="仿宋" w:hAnsi="仿宋" w:eastAsia="仿宋" w:cs="仿宋"/>
          <w:sz w:val="24"/>
        </w:rPr>
        <w:t>高级工程师</w:t>
      </w:r>
      <w:r>
        <w:rPr>
          <w:rFonts w:hint="eastAsia" w:ascii="仿宋" w:hAnsi="仿宋" w:eastAsia="仿宋" w:cs="仿宋"/>
          <w:sz w:val="24"/>
        </w:rPr>
        <w:t>及</w:t>
      </w:r>
      <w:r>
        <w:rPr>
          <w:rFonts w:ascii="仿宋" w:hAnsi="仿宋" w:eastAsia="仿宋" w:cs="仿宋"/>
          <w:sz w:val="24"/>
        </w:rPr>
        <w:t>以上职</w:t>
      </w:r>
      <w:r>
        <w:rPr>
          <w:rFonts w:hint="eastAsia" w:ascii="仿宋" w:hAnsi="仿宋" w:eastAsia="仿宋" w:cs="仿宋"/>
          <w:sz w:val="24"/>
        </w:rPr>
        <w:t>称。代建项目经理无在建</w:t>
      </w:r>
      <w:r>
        <w:rPr>
          <w:rFonts w:ascii="仿宋" w:hAnsi="仿宋" w:eastAsia="仿宋" w:cs="仿宋"/>
          <w:sz w:val="24"/>
        </w:rPr>
        <w:t>项目</w:t>
      </w:r>
      <w:r>
        <w:rPr>
          <w:rFonts w:hint="eastAsia" w:ascii="仿宋" w:hAnsi="仿宋" w:eastAsia="仿宋" w:cs="仿宋"/>
          <w:sz w:val="24"/>
        </w:rPr>
        <w:t>。（投标人为联合体时，代建项目经理应为牵头人单位人员）</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.2.2</w:t>
      </w:r>
      <w:r>
        <w:rPr>
          <w:rFonts w:hint="eastAsia" w:ascii="仿宋" w:hAnsi="仿宋" w:eastAsia="仿宋" w:cs="仿宋"/>
          <w:sz w:val="24"/>
        </w:rPr>
        <w:t>具备可行性研究报告编制能力（提供履行合同所必需的专业技术能力的证明材料，如合同或技术人员证书）。</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拟派专业负责人要求：具备</w:t>
      </w:r>
      <w:r>
        <w:rPr>
          <w:rFonts w:hint="eastAsia" w:ascii="仿宋" w:hAnsi="仿宋" w:eastAsia="仿宋" w:cs="仿宋"/>
          <w:i/>
          <w:sz w:val="24"/>
          <w:u w:val="single"/>
        </w:rPr>
        <w:t>（专业工程）</w:t>
      </w:r>
      <w:r>
        <w:rPr>
          <w:rFonts w:hint="eastAsia" w:ascii="仿宋" w:hAnsi="仿宋" w:eastAsia="仿宋" w:cs="仿宋"/>
          <w:sz w:val="24"/>
          <w:u w:val="single"/>
        </w:rPr>
        <w:t xml:space="preserve"> </w:t>
      </w:r>
      <w:r>
        <w:rPr>
          <w:rFonts w:hint="eastAsia" w:ascii="仿宋" w:hAnsi="仿宋" w:eastAsia="仿宋" w:cs="仿宋"/>
          <w:sz w:val="24"/>
        </w:rPr>
        <w:t>专业咨询工程师职业资格。</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 xml:space="preserve">.2.3 </w:t>
      </w:r>
      <w:r>
        <w:rPr>
          <w:rFonts w:hint="eastAsia" w:ascii="仿宋" w:hAnsi="仿宋" w:eastAsia="仿宋" w:cs="仿宋"/>
          <w:sz w:val="24"/>
        </w:rPr>
        <w:t>具备造价咨询能力（提供履行合同所必需的专业技术能力的证明材料，如合同或技术人员证书）。</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拟派专业负责人要求：具备</w:t>
      </w:r>
      <w:r>
        <w:rPr>
          <w:rFonts w:hint="eastAsia" w:ascii="仿宋" w:hAnsi="仿宋" w:eastAsia="仿宋" w:cs="仿宋"/>
          <w:i/>
          <w:sz w:val="24"/>
          <w:u w:val="single"/>
        </w:rPr>
        <w:t>（专业工程）</w:t>
      </w:r>
      <w:r>
        <w:rPr>
          <w:rFonts w:hint="eastAsia" w:ascii="仿宋" w:hAnsi="仿宋" w:eastAsia="仿宋" w:cs="仿宋"/>
          <w:sz w:val="24"/>
        </w:rPr>
        <w:t>一级造价</w:t>
      </w:r>
      <w:r>
        <w:rPr>
          <w:rFonts w:ascii="仿宋" w:hAnsi="仿宋" w:eastAsia="仿宋" w:cs="仿宋"/>
          <w:sz w:val="24"/>
        </w:rPr>
        <w:t>工程师</w:t>
      </w:r>
      <w:r>
        <w:rPr>
          <w:rFonts w:hint="eastAsia" w:ascii="仿宋" w:hAnsi="仿宋" w:eastAsia="仿宋" w:cs="仿宋"/>
          <w:sz w:val="24"/>
        </w:rPr>
        <w:t>执业资格。</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.2.4</w:t>
      </w:r>
      <w:r>
        <w:rPr>
          <w:rFonts w:hint="eastAsia" w:ascii="仿宋" w:hAnsi="仿宋" w:eastAsia="仿宋" w:cs="仿宋"/>
          <w:sz w:val="24"/>
        </w:rPr>
        <w:t>具备招标代理服务能力（提供履行合同所必需的专业技术能力的证明材料，如合同或技术人员证书）。</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拟派专业负责人要求：具备</w:t>
      </w:r>
      <w:r>
        <w:rPr>
          <w:rFonts w:hint="eastAsia" w:ascii="仿宋" w:hAnsi="仿宋" w:eastAsia="仿宋" w:cs="仿宋"/>
          <w:i/>
          <w:sz w:val="24"/>
          <w:u w:val="single"/>
        </w:rPr>
        <w:t>（专业工程）</w:t>
      </w:r>
      <w:r>
        <w:rPr>
          <w:rFonts w:hint="eastAsia" w:ascii="仿宋" w:hAnsi="仿宋" w:eastAsia="仿宋" w:cs="仿宋"/>
          <w:sz w:val="24"/>
        </w:rPr>
        <w:t>工程师及以上职称。</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.2.5</w:t>
      </w:r>
      <w:r>
        <w:rPr>
          <w:rFonts w:hint="eastAsia" w:ascii="仿宋" w:hAnsi="仿宋" w:eastAsia="仿宋" w:cs="仿宋"/>
          <w:sz w:val="24"/>
        </w:rPr>
        <w:t>具备勘察综合类甲级资质或</w:t>
      </w:r>
      <w:r>
        <w:rPr>
          <w:rFonts w:hint="eastAsia" w:ascii="仿宋" w:hAnsi="仿宋" w:eastAsia="仿宋" w:cs="仿宋"/>
          <w:i/>
          <w:sz w:val="24"/>
          <w:u w:val="single"/>
        </w:rPr>
        <w:t>（专业工程）</w:t>
      </w:r>
      <w:r>
        <w:rPr>
          <w:rFonts w:hint="eastAsia" w:ascii="仿宋" w:hAnsi="仿宋" w:eastAsia="仿宋" w:cs="仿宋"/>
          <w:sz w:val="24"/>
        </w:rPr>
        <w:t>勘察</w:t>
      </w:r>
      <w:r>
        <w:rPr>
          <w:rFonts w:ascii="仿宋" w:hAnsi="仿宋" w:eastAsia="仿宋" w:cs="仿宋"/>
          <w:sz w:val="24"/>
          <w:u w:val="single"/>
        </w:rPr>
        <w:t xml:space="preserve">   </w:t>
      </w:r>
      <w:r>
        <w:rPr>
          <w:rFonts w:hint="eastAsia" w:ascii="仿宋" w:hAnsi="仿宋" w:eastAsia="仿宋" w:cs="仿宋"/>
          <w:sz w:val="24"/>
        </w:rPr>
        <w:t>级及以上资质。</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拟派专业负责人要求：具备注册</w:t>
      </w:r>
      <w:r>
        <w:rPr>
          <w:rFonts w:hint="eastAsia" w:ascii="仿宋" w:hAnsi="仿宋" w:eastAsia="仿宋" w:cs="仿宋"/>
          <w:i/>
          <w:sz w:val="24"/>
          <w:u w:val="single"/>
        </w:rPr>
        <w:t>（专业工程）</w:t>
      </w:r>
      <w:r>
        <w:rPr>
          <w:rFonts w:hint="eastAsia" w:ascii="仿宋" w:hAnsi="仿宋" w:eastAsia="仿宋" w:cs="仿宋"/>
          <w:sz w:val="24"/>
        </w:rPr>
        <w:t>执业资格。</w:t>
      </w:r>
    </w:p>
    <w:p>
      <w:pPr>
        <w:pStyle w:val="7"/>
        <w:spacing w:line="500" w:lineRule="exact"/>
        <w:ind w:firstLine="360" w:firstLineChars="150"/>
        <w:rPr>
          <w:rFonts w:ascii="仿宋" w:hAnsi="仿宋" w:eastAsia="仿宋" w:cs="仿宋"/>
        </w:rPr>
      </w:pPr>
      <w:r>
        <w:rPr>
          <w:rFonts w:hint="eastAsia" w:ascii="仿宋" w:hAnsi="仿宋" w:eastAsia="仿宋" w:cs="仿宋"/>
          <w:b/>
        </w:rPr>
        <w:t>□</w:t>
      </w:r>
      <w:r>
        <w:rPr>
          <w:rFonts w:hint="eastAsia" w:ascii="仿宋" w:hAnsi="仿宋" w:eastAsia="仿宋" w:cs="仿宋"/>
        </w:rPr>
        <w:t>3</w:t>
      </w:r>
      <w:r>
        <w:rPr>
          <w:rFonts w:ascii="仿宋" w:hAnsi="仿宋" w:eastAsia="仿宋" w:cs="仿宋"/>
        </w:rPr>
        <w:t>.2.</w:t>
      </w:r>
      <w:r>
        <w:rPr>
          <w:rFonts w:hint="eastAsia" w:ascii="仿宋" w:hAnsi="仿宋" w:eastAsia="仿宋" w:cs="仿宋"/>
        </w:rPr>
        <w:t>6其他</w:t>
      </w:r>
      <w:r>
        <w:rPr>
          <w:rFonts w:ascii="仿宋" w:hAnsi="仿宋" w:eastAsia="仿宋" w:cs="仿宋"/>
        </w:rPr>
        <w:t>要求：满足《</w:t>
      </w:r>
      <w:r>
        <w:rPr>
          <w:rFonts w:hint="eastAsia" w:ascii="仿宋" w:hAnsi="仿宋" w:eastAsia="仿宋" w:cs="仿宋"/>
        </w:rPr>
        <w:t>中华</w:t>
      </w:r>
      <w:r>
        <w:rPr>
          <w:rFonts w:ascii="仿宋" w:hAnsi="仿宋" w:eastAsia="仿宋" w:cs="仿宋"/>
        </w:rPr>
        <w:t>人民共和国保守国家秘密法》</w:t>
      </w:r>
      <w:r>
        <w:rPr>
          <w:rFonts w:hint="eastAsia" w:ascii="仿宋" w:hAnsi="仿宋" w:eastAsia="仿宋" w:cs="仿宋"/>
        </w:rPr>
        <w:t xml:space="preserve">和 </w:t>
      </w:r>
      <w:r>
        <w:rPr>
          <w:rFonts w:hint="eastAsia" w:ascii="仿宋" w:hAnsi="仿宋" w:eastAsia="仿宋" w:cs="仿宋"/>
          <w:u w:val="single"/>
        </w:rPr>
        <w:t xml:space="preserve">       </w:t>
      </w:r>
      <w:r>
        <w:rPr>
          <w:rFonts w:hint="eastAsia" w:ascii="仿宋" w:hAnsi="仿宋" w:eastAsia="仿宋" w:cs="仿宋"/>
          <w:i/>
        </w:rPr>
        <w:t>（有关法律</w:t>
      </w:r>
      <w:r>
        <w:rPr>
          <w:rFonts w:ascii="仿宋" w:hAnsi="仿宋" w:eastAsia="仿宋" w:cs="仿宋"/>
          <w:i/>
        </w:rPr>
        <w:t>法规</w:t>
      </w:r>
      <w:r>
        <w:rPr>
          <w:rFonts w:hint="eastAsia" w:ascii="仿宋" w:hAnsi="仿宋" w:eastAsia="仿宋" w:cs="仿宋"/>
          <w:i/>
        </w:rPr>
        <w:t>）</w:t>
      </w:r>
      <w:r>
        <w:rPr>
          <w:rFonts w:hint="eastAsia" w:ascii="仿宋" w:hAnsi="仿宋" w:eastAsia="仿宋" w:cs="仿宋"/>
        </w:rPr>
        <w:t>的</w:t>
      </w:r>
      <w:r>
        <w:rPr>
          <w:rFonts w:ascii="仿宋" w:hAnsi="仿宋" w:eastAsia="仿宋" w:cs="仿宋"/>
        </w:rPr>
        <w:t>规定，具备</w:t>
      </w:r>
      <w:r>
        <w:rPr>
          <w:rFonts w:hint="eastAsia" w:ascii="仿宋" w:hAnsi="仿宋" w:eastAsia="仿宋" w:cs="仿宋"/>
          <w:i/>
          <w:u w:val="single"/>
        </w:rPr>
        <w:t>（资质</w:t>
      </w:r>
      <w:r>
        <w:rPr>
          <w:rFonts w:ascii="仿宋" w:hAnsi="仿宋" w:eastAsia="仿宋" w:cs="仿宋"/>
          <w:i/>
          <w:u w:val="single"/>
        </w:rPr>
        <w:t>或条件</w:t>
      </w:r>
      <w:r>
        <w:rPr>
          <w:rFonts w:hint="eastAsia" w:ascii="仿宋" w:hAnsi="仿宋" w:eastAsia="仿宋" w:cs="仿宋"/>
          <w:i/>
          <w:u w:val="single"/>
        </w:rPr>
        <w:t>）</w:t>
      </w:r>
      <w:r>
        <w:rPr>
          <w:rFonts w:hint="eastAsia" w:ascii="仿宋" w:hAnsi="仿宋" w:eastAsia="仿宋" w:cs="仿宋"/>
          <w:i/>
        </w:rPr>
        <w:t>（仅限</w:t>
      </w:r>
      <w:r>
        <w:rPr>
          <w:rFonts w:ascii="仿宋" w:hAnsi="仿宋" w:eastAsia="仿宋" w:cs="仿宋"/>
          <w:i/>
        </w:rPr>
        <w:t>代建项目为涉密</w:t>
      </w:r>
      <w:r>
        <w:rPr>
          <w:rFonts w:hint="eastAsia" w:ascii="仿宋" w:hAnsi="仿宋" w:eastAsia="仿宋" w:cs="仿宋"/>
          <w:i/>
        </w:rPr>
        <w:t>工程）</w:t>
      </w:r>
      <w:r>
        <w:rPr>
          <w:rFonts w:hint="eastAsia" w:ascii="仿宋" w:hAnsi="仿宋" w:eastAsia="仿宋" w:cs="仿宋"/>
        </w:rPr>
        <w:t>。</w:t>
      </w:r>
    </w:p>
    <w:p>
      <w:pPr>
        <w:tabs>
          <w:tab w:val="left" w:pos="993"/>
        </w:tabs>
        <w:spacing w:line="500" w:lineRule="exact"/>
        <w:ind w:firstLine="480" w:firstLineChars="200"/>
      </w:pPr>
      <w:r>
        <w:rPr>
          <w:rFonts w:hint="eastAsia" w:ascii="仿宋" w:hAnsi="仿宋" w:eastAsia="仿宋" w:cs="仿宋"/>
          <w:sz w:val="24"/>
        </w:rPr>
        <w:t>以上拟派项目经理及专业负责人的证书须在本单位注册（登记），并提供（近</w:t>
      </w:r>
      <w:r>
        <w:rPr>
          <w:rFonts w:hint="eastAsia" w:ascii="仿宋" w:hAnsi="仿宋" w:eastAsia="仿宋" w:cs="仿宋"/>
          <w:i/>
          <w:iCs/>
          <w:sz w:val="24"/>
          <w:u w:val="single"/>
        </w:rPr>
        <w:t xml:space="preserve">  </w:t>
      </w:r>
      <w:r>
        <w:rPr>
          <w:rFonts w:hint="eastAsia" w:ascii="仿宋" w:hAnsi="仿宋" w:eastAsia="仿宋" w:cs="仿宋"/>
          <w:sz w:val="24"/>
        </w:rPr>
        <w:t>个月内）社保证明。</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3.3  投标人的基本信息及代建项目经理、各专业负责人（监理工程师、建造师、造价工程师等证书）的基本信息在“陕西省住房和城乡建设厅系统平台（http://js.shaanxi.gov.cn/）陕西省建筑市场监管与诚信信息发布平台”可查询（平台不提供相应查询功能的，投标人需提供书面承诺说明）；投标人不得在“信用中国”网站被列为失信被执行人；投标人不得在陕西省和项目所在地市建设诚信信息平台被列为投标受限制的行为人；单位负责人为同一人或者存在控股、管理关系的不同单位，不得参加同一标段投标或者未划分标段的同一招标项目投标。</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3.4  本项目接受联合体，参与联合体的机构数量不得超过三家。</w:t>
      </w:r>
    </w:p>
    <w:p>
      <w:pPr>
        <w:pStyle w:val="5"/>
        <w:numPr>
          <w:ilvl w:val="0"/>
          <w:numId w:val="5"/>
        </w:numPr>
        <w:snapToGrid w:val="0"/>
        <w:spacing w:before="0" w:after="0" w:line="500" w:lineRule="exact"/>
        <w:ind w:firstLine="118"/>
      </w:pPr>
      <w:bookmarkStart w:id="35" w:name="_Toc24607"/>
      <w:bookmarkStart w:id="36" w:name="_Toc5001"/>
      <w:r>
        <w:rPr>
          <w:rFonts w:hint="eastAsia" w:ascii="仿宋" w:hAnsi="仿宋" w:eastAsia="仿宋" w:cs="仿宋"/>
          <w:sz w:val="24"/>
          <w:szCs w:val="24"/>
        </w:rPr>
        <w:t>招标文件的获取</w:t>
      </w:r>
      <w:bookmarkEnd w:id="35"/>
      <w:bookmarkEnd w:id="36"/>
    </w:p>
    <w:p>
      <w:pPr>
        <w:snapToGrid w:val="0"/>
        <w:spacing w:line="500" w:lineRule="exact"/>
        <w:ind w:firstLine="480" w:firstLineChars="200"/>
      </w:pPr>
      <w:r>
        <w:rPr>
          <w:rFonts w:hint="eastAsia" w:ascii="仿宋" w:hAnsi="仿宋" w:eastAsia="仿宋" w:cs="仿宋"/>
          <w:b/>
          <w:sz w:val="24"/>
        </w:rPr>
        <w:t>□</w:t>
      </w:r>
      <w:r>
        <w:rPr>
          <w:rFonts w:hint="eastAsia" w:ascii="仿宋" w:hAnsi="仿宋" w:eastAsia="仿宋" w:cs="仿宋"/>
          <w:sz w:val="24"/>
        </w:rPr>
        <w:t>4.1凡有意参加投标者，请于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 xml:space="preserve">      </w:t>
      </w:r>
      <w:r>
        <w:rPr>
          <w:rFonts w:hint="eastAsia" w:ascii="仿宋" w:hAnsi="仿宋" w:eastAsia="仿宋" w:cs="仿宋"/>
          <w:sz w:val="24"/>
        </w:rPr>
        <w:t>时至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 xml:space="preserve">      </w:t>
      </w:r>
      <w:r>
        <w:rPr>
          <w:rFonts w:hint="eastAsia" w:ascii="仿宋" w:hAnsi="仿宋" w:eastAsia="仿宋" w:cs="仿宋"/>
          <w:sz w:val="24"/>
        </w:rPr>
        <w:t>时止（北京时间，下同），在</w:t>
      </w:r>
      <w:r>
        <w:rPr>
          <w:rFonts w:hint="eastAsia" w:ascii="仿宋" w:hAnsi="仿宋" w:eastAsia="仿宋" w:cs="仿宋"/>
          <w:sz w:val="24"/>
          <w:u w:val="single"/>
        </w:rPr>
        <w:t xml:space="preserve"> “全国</w:t>
      </w:r>
      <w:r>
        <w:rPr>
          <w:rFonts w:ascii="仿宋" w:hAnsi="仿宋" w:eastAsia="仿宋" w:cs="仿宋"/>
          <w:sz w:val="24"/>
          <w:u w:val="single"/>
        </w:rPr>
        <w:t>公共资源交易平台</w:t>
      </w:r>
      <w:r>
        <w:rPr>
          <w:rFonts w:hint="eastAsia" w:ascii="仿宋" w:hAnsi="仿宋" w:eastAsia="仿宋" w:cs="仿宋"/>
          <w:sz w:val="24"/>
          <w:u w:val="single"/>
        </w:rPr>
        <w:t>（陕西省）”</w:t>
      </w:r>
      <w:r>
        <w:rPr>
          <w:rFonts w:hint="eastAsia" w:ascii="仿宋" w:hAnsi="仿宋" w:eastAsia="仿宋" w:cs="仿宋"/>
          <w:sz w:val="24"/>
        </w:rPr>
        <w:t>网站下载招标文件。网络下载的招标文件与书面招标文件具有同等法律效力。</w:t>
      </w:r>
    </w:p>
    <w:p>
      <w:pPr>
        <w:snapToGrid w:val="0"/>
        <w:spacing w:line="500" w:lineRule="exact"/>
        <w:ind w:firstLine="480"/>
        <w:rPr>
          <w:rFonts w:ascii="仿宋" w:hAnsi="仿宋" w:eastAsia="仿宋" w:cs="仿宋"/>
          <w:sz w:val="24"/>
        </w:rPr>
      </w:pPr>
      <w:r>
        <w:rPr>
          <w:rFonts w:hint="eastAsia" w:ascii="仿宋" w:hAnsi="仿宋" w:eastAsia="仿宋" w:cs="仿宋"/>
          <w:b/>
          <w:sz w:val="24"/>
        </w:rPr>
        <w:t>□</w:t>
      </w:r>
      <w:r>
        <w:rPr>
          <w:rFonts w:ascii="仿宋" w:hAnsi="仿宋" w:eastAsia="仿宋" w:cs="仿宋"/>
          <w:sz w:val="24"/>
        </w:rPr>
        <w:t>4.1</w:t>
      </w:r>
      <w:r>
        <w:rPr>
          <w:rFonts w:hint="eastAsia" w:ascii="仿宋" w:hAnsi="仿宋" w:eastAsia="仿宋" w:cs="仿宋"/>
          <w:sz w:val="24"/>
        </w:rPr>
        <w:t>凡有意参加投标者，请于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日（每天上午9时00分－</w:t>
      </w:r>
      <w:r>
        <w:rPr>
          <w:rFonts w:ascii="仿宋" w:hAnsi="仿宋" w:eastAsia="仿宋" w:cs="仿宋"/>
          <w:sz w:val="24"/>
        </w:rPr>
        <w:t>12</w:t>
      </w:r>
      <w:r>
        <w:rPr>
          <w:rFonts w:hint="eastAsia" w:ascii="仿宋" w:hAnsi="仿宋" w:eastAsia="仿宋" w:cs="仿宋"/>
          <w:sz w:val="24"/>
        </w:rPr>
        <w:t>时00分，下午14时00分－</w:t>
      </w:r>
      <w:r>
        <w:rPr>
          <w:rFonts w:ascii="仿宋" w:hAnsi="仿宋" w:eastAsia="仿宋" w:cs="仿宋"/>
          <w:sz w:val="24"/>
        </w:rPr>
        <w:t>17</w:t>
      </w:r>
      <w:r>
        <w:rPr>
          <w:rFonts w:hint="eastAsia" w:ascii="仿宋" w:hAnsi="仿宋" w:eastAsia="仿宋" w:cs="仿宋"/>
          <w:sz w:val="24"/>
        </w:rPr>
        <w:t>时00分）（北京时间，下同），</w:t>
      </w:r>
      <w:r>
        <w:rPr>
          <w:rFonts w:ascii="仿宋" w:hAnsi="仿宋" w:eastAsia="仿宋" w:cs="仿宋"/>
          <w:sz w:val="24"/>
        </w:rPr>
        <w:t>携带</w:t>
      </w:r>
      <w:r>
        <w:rPr>
          <w:rFonts w:hint="eastAsia" w:ascii="仿宋" w:hAnsi="仿宋" w:eastAsia="仿宋" w:cs="仿宋"/>
          <w:sz w:val="24"/>
        </w:rPr>
        <w:t>授权委托书、被授权人身份证及身份证复印件加盖公章在</w:t>
      </w:r>
      <w:r>
        <w:rPr>
          <w:rFonts w:hint="eastAsia" w:ascii="仿宋" w:hAnsi="仿宋" w:eastAsia="仿宋" w:cs="仿宋"/>
          <w:sz w:val="24"/>
          <w:u w:val="single"/>
        </w:rPr>
        <w:t xml:space="preserve">           </w:t>
      </w:r>
      <w:r>
        <w:rPr>
          <w:rFonts w:hint="eastAsia" w:ascii="仿宋" w:hAnsi="仿宋" w:eastAsia="仿宋" w:cs="仿宋"/>
          <w:i/>
          <w:sz w:val="24"/>
          <w:u w:val="single"/>
        </w:rPr>
        <w:t>（</w:t>
      </w:r>
      <w:r>
        <w:rPr>
          <w:rFonts w:hint="eastAsia" w:ascii="仿宋" w:hAnsi="仿宋" w:eastAsia="仿宋" w:cs="仿宋"/>
          <w:i/>
          <w:sz w:val="24"/>
        </w:rPr>
        <w:t>招标代理</w:t>
      </w:r>
      <w:r>
        <w:rPr>
          <w:rFonts w:ascii="仿宋" w:hAnsi="仿宋" w:eastAsia="仿宋" w:cs="仿宋"/>
          <w:i/>
          <w:sz w:val="24"/>
        </w:rPr>
        <w:t>机构</w:t>
      </w:r>
      <w:r>
        <w:rPr>
          <w:rFonts w:hint="eastAsia" w:ascii="仿宋" w:hAnsi="仿宋" w:eastAsia="仿宋" w:cs="仿宋"/>
          <w:i/>
          <w:sz w:val="24"/>
        </w:rPr>
        <w:t>地址）</w:t>
      </w:r>
      <w:r>
        <w:rPr>
          <w:rFonts w:hint="eastAsia" w:ascii="仿宋" w:hAnsi="仿宋" w:eastAsia="仿宋" w:cs="仿宋"/>
          <w:sz w:val="24"/>
        </w:rPr>
        <w:t>领取招标文件。</w:t>
      </w:r>
    </w:p>
    <w:p>
      <w:pPr>
        <w:pStyle w:val="5"/>
        <w:numPr>
          <w:ilvl w:val="0"/>
          <w:numId w:val="5"/>
        </w:numPr>
        <w:snapToGrid w:val="0"/>
        <w:spacing w:before="0" w:after="0" w:line="500" w:lineRule="exact"/>
        <w:ind w:firstLine="118"/>
      </w:pPr>
      <w:bookmarkStart w:id="37" w:name="_Toc22206"/>
      <w:bookmarkStart w:id="38" w:name="_Toc21717"/>
      <w:r>
        <w:rPr>
          <w:rFonts w:hint="eastAsia" w:ascii="仿宋" w:hAnsi="仿宋" w:eastAsia="仿宋" w:cs="仿宋"/>
          <w:sz w:val="24"/>
          <w:szCs w:val="24"/>
        </w:rPr>
        <w:t>投标文件的递交及开标</w:t>
      </w:r>
      <w:bookmarkEnd w:id="37"/>
      <w:bookmarkEnd w:id="38"/>
    </w:p>
    <w:p>
      <w:pPr>
        <w:snapToGrid w:val="0"/>
        <w:spacing w:line="500" w:lineRule="exact"/>
        <w:ind w:firstLine="480"/>
        <w:rPr>
          <w:rFonts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5.1投标人应当在投标截止时间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 xml:space="preserve">   </w:t>
      </w:r>
      <w:r>
        <w:rPr>
          <w:rFonts w:hint="eastAsia" w:ascii="仿宋" w:hAnsi="仿宋" w:eastAsia="仿宋" w:cs="仿宋"/>
          <w:sz w:val="24"/>
        </w:rPr>
        <w:t>时</w:t>
      </w:r>
      <w:r>
        <w:rPr>
          <w:rFonts w:hint="eastAsia" w:ascii="仿宋" w:hAnsi="仿宋" w:eastAsia="仿宋" w:cs="仿宋"/>
          <w:sz w:val="24"/>
          <w:u w:val="single"/>
        </w:rPr>
        <w:t xml:space="preserve">   </w:t>
      </w:r>
      <w:r>
        <w:rPr>
          <w:rFonts w:hint="eastAsia" w:ascii="仿宋" w:hAnsi="仿宋" w:eastAsia="仿宋" w:cs="仿宋"/>
          <w:sz w:val="24"/>
        </w:rPr>
        <w:t>分前，通过互联网使用CA数字证书登录“电子交易平台”，将加密的投标文件，并保存上传成功，文件最后上传时间即为递交时间。</w:t>
      </w:r>
    </w:p>
    <w:p>
      <w:pPr>
        <w:snapToGrid w:val="0"/>
        <w:spacing w:line="500" w:lineRule="exact"/>
        <w:ind w:firstLine="480"/>
        <w:rPr>
          <w:rFonts w:ascii="仿宋" w:hAnsi="仿宋" w:eastAsia="仿宋" w:cs="仿宋"/>
          <w:sz w:val="24"/>
        </w:rPr>
      </w:pPr>
      <w:r>
        <w:rPr>
          <w:rFonts w:hint="eastAsia" w:ascii="仿宋" w:hAnsi="仿宋" w:eastAsia="仿宋" w:cs="仿宋"/>
          <w:sz w:val="24"/>
        </w:rPr>
        <w:t>□5.2 逾期未完成上传或未按规定加密的投标文件，招标人不予接收。</w:t>
      </w:r>
    </w:p>
    <w:p>
      <w:pPr>
        <w:pStyle w:val="7"/>
        <w:spacing w:line="500" w:lineRule="exact"/>
        <w:ind w:firstLine="480" w:firstLineChars="200"/>
        <w:rPr>
          <w:rFonts w:ascii="仿宋" w:hAnsi="仿宋" w:eastAsia="仿宋" w:cs="仿宋"/>
        </w:rPr>
      </w:pPr>
      <w:r>
        <w:rPr>
          <w:rFonts w:hint="eastAsia" w:ascii="仿宋" w:hAnsi="仿宋" w:eastAsia="仿宋" w:cs="仿宋"/>
          <w:b/>
        </w:rPr>
        <w:t>□</w:t>
      </w:r>
      <w:r>
        <w:rPr>
          <w:rFonts w:hint="eastAsia" w:ascii="仿宋" w:hAnsi="仿宋" w:eastAsia="仿宋" w:cs="仿宋"/>
        </w:rPr>
        <w:t>5.1投标人应当在投标截止时间</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r>
        <w:rPr>
          <w:rFonts w:hint="eastAsia" w:ascii="仿宋" w:hAnsi="仿宋" w:eastAsia="仿宋" w:cs="仿宋"/>
          <w:u w:val="single"/>
        </w:rPr>
        <w:t xml:space="preserve">   </w:t>
      </w:r>
      <w:r>
        <w:rPr>
          <w:rFonts w:hint="eastAsia" w:ascii="仿宋" w:hAnsi="仿宋" w:eastAsia="仿宋" w:cs="仿宋"/>
        </w:rPr>
        <w:t>时</w:t>
      </w:r>
      <w:r>
        <w:rPr>
          <w:rFonts w:hint="eastAsia" w:ascii="仿宋" w:hAnsi="仿宋" w:eastAsia="仿宋" w:cs="仿宋"/>
          <w:u w:val="single"/>
        </w:rPr>
        <w:t xml:space="preserve">   </w:t>
      </w:r>
      <w:r>
        <w:rPr>
          <w:rFonts w:hint="eastAsia" w:ascii="仿宋" w:hAnsi="仿宋" w:eastAsia="仿宋" w:cs="仿宋"/>
        </w:rPr>
        <w:t>分前，</w:t>
      </w:r>
      <w:r>
        <w:rPr>
          <w:rFonts w:ascii="仿宋" w:hAnsi="仿宋" w:eastAsia="仿宋" w:cs="仿宋"/>
        </w:rPr>
        <w:t>将纸质文件递交至</w:t>
      </w:r>
      <w:r>
        <w:rPr>
          <w:rFonts w:hint="eastAsia" w:ascii="仿宋" w:hAnsi="仿宋" w:eastAsia="仿宋" w:cs="仿宋"/>
          <w:u w:val="single"/>
        </w:rPr>
        <w:t xml:space="preserve">           </w:t>
      </w:r>
      <w:r>
        <w:rPr>
          <w:rFonts w:hint="eastAsia" w:ascii="仿宋" w:hAnsi="仿宋" w:eastAsia="仿宋" w:cs="仿宋"/>
        </w:rPr>
        <w:t>。</w:t>
      </w:r>
    </w:p>
    <w:p>
      <w:pPr>
        <w:spacing w:line="500" w:lineRule="exact"/>
        <w:ind w:firstLine="480" w:firstLineChars="200"/>
      </w:pPr>
      <w:r>
        <w:rPr>
          <w:rFonts w:hint="eastAsia" w:ascii="仿宋" w:hAnsi="仿宋" w:eastAsia="仿宋" w:cs="仿宋"/>
          <w:sz w:val="24"/>
        </w:rPr>
        <w:t>□5.2逾期送达的或者未送达指定地点的投标文件，招标人不予接收。</w:t>
      </w:r>
    </w:p>
    <w:p>
      <w:pPr>
        <w:pStyle w:val="5"/>
        <w:numPr>
          <w:ilvl w:val="0"/>
          <w:numId w:val="5"/>
        </w:numPr>
        <w:snapToGrid w:val="0"/>
        <w:spacing w:before="0" w:after="0" w:line="500" w:lineRule="exact"/>
        <w:ind w:firstLine="118"/>
      </w:pPr>
      <w:bookmarkStart w:id="39" w:name="_Toc2167"/>
      <w:bookmarkStart w:id="40" w:name="_Toc8689"/>
      <w:r>
        <w:rPr>
          <w:rFonts w:hint="eastAsia" w:ascii="仿宋" w:hAnsi="仿宋" w:eastAsia="仿宋" w:cs="仿宋"/>
          <w:sz w:val="24"/>
          <w:szCs w:val="24"/>
        </w:rPr>
        <w:t>确认</w:t>
      </w:r>
      <w:bookmarkEnd w:id="39"/>
      <w:bookmarkEnd w:id="40"/>
    </w:p>
    <w:p>
      <w:pPr>
        <w:snapToGrid w:val="0"/>
        <w:spacing w:line="500" w:lineRule="exact"/>
        <w:ind w:firstLine="480"/>
        <w:rPr>
          <w:rFonts w:ascii="仿宋" w:hAnsi="仿宋" w:eastAsia="仿宋" w:cs="仿宋"/>
          <w:sz w:val="24"/>
        </w:rPr>
      </w:pPr>
      <w:r>
        <w:rPr>
          <w:rFonts w:hint="eastAsia" w:ascii="仿宋" w:hAnsi="仿宋" w:eastAsia="仿宋" w:cs="仿宋"/>
          <w:sz w:val="24"/>
        </w:rPr>
        <w:t>你单位收到本邀请书后，请于</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ab/>
      </w:r>
      <w:r>
        <w:rPr>
          <w:rFonts w:hint="eastAsia" w:ascii="仿宋" w:hAnsi="仿宋" w:eastAsia="仿宋" w:cs="仿宋"/>
          <w:sz w:val="24"/>
        </w:rPr>
        <w:t>时前，以书面形式确认是否参加投标。在本邀请书规定的时间内未表示是否参加投标或明确表示不参加投标的，不得再参加投标。</w:t>
      </w:r>
    </w:p>
    <w:p>
      <w:pPr>
        <w:pStyle w:val="5"/>
        <w:numPr>
          <w:ilvl w:val="0"/>
          <w:numId w:val="5"/>
        </w:numPr>
        <w:snapToGrid w:val="0"/>
        <w:spacing w:before="0" w:after="0" w:line="500" w:lineRule="exact"/>
        <w:ind w:firstLine="118"/>
        <w:rPr>
          <w:rFonts w:ascii="仿宋" w:hAnsi="仿宋" w:eastAsia="仿宋" w:cs="仿宋"/>
          <w:sz w:val="24"/>
          <w:szCs w:val="24"/>
        </w:rPr>
      </w:pPr>
      <w:bookmarkStart w:id="41" w:name="_Toc1136"/>
      <w:r>
        <w:rPr>
          <w:rFonts w:hint="eastAsia" w:ascii="仿宋" w:hAnsi="仿宋" w:eastAsia="仿宋" w:cs="仿宋"/>
          <w:sz w:val="24"/>
          <w:szCs w:val="24"/>
        </w:rPr>
        <w:t>其他</w:t>
      </w:r>
      <w:bookmarkEnd w:id="41"/>
    </w:p>
    <w:p>
      <w:pPr>
        <w:pStyle w:val="2"/>
        <w:snapToGrid w:val="0"/>
        <w:spacing w:line="500" w:lineRule="exact"/>
      </w:pPr>
      <w:r>
        <w:rPr>
          <w:rFonts w:hint="eastAsia"/>
        </w:rPr>
        <w:t xml:space="preserve">     </w:t>
      </w:r>
      <w:r>
        <w:rPr>
          <w:rFonts w:hint="eastAsia" w:ascii="仿宋" w:hAnsi="仿宋" w:eastAsia="仿宋" w:cs="仿宋"/>
          <w:b w:val="0"/>
          <w:bCs w:val="0"/>
          <w:kern w:val="2"/>
          <w:sz w:val="24"/>
          <w:u w:val="single"/>
        </w:rPr>
        <w:t xml:space="preserve">                                                               </w:t>
      </w:r>
    </w:p>
    <w:p>
      <w:pPr>
        <w:pStyle w:val="5"/>
        <w:numPr>
          <w:ilvl w:val="0"/>
          <w:numId w:val="5"/>
        </w:numPr>
        <w:snapToGrid w:val="0"/>
        <w:spacing w:before="0" w:after="0" w:line="500" w:lineRule="exact"/>
        <w:ind w:firstLine="118"/>
      </w:pPr>
      <w:bookmarkStart w:id="42" w:name="_Toc10071"/>
      <w:bookmarkStart w:id="43" w:name="_Toc16213"/>
      <w:r>
        <w:rPr>
          <w:rFonts w:hint="eastAsia" w:ascii="仿宋" w:hAnsi="仿宋" w:eastAsia="仿宋" w:cs="仿宋"/>
          <w:sz w:val="24"/>
          <w:szCs w:val="24"/>
        </w:rPr>
        <w:t>行政监督</w:t>
      </w:r>
      <w:bookmarkEnd w:id="42"/>
      <w:bookmarkEnd w:id="43"/>
    </w:p>
    <w:p>
      <w:pPr>
        <w:snapToGrid w:val="0"/>
        <w:spacing w:line="500" w:lineRule="exact"/>
        <w:ind w:firstLine="480"/>
      </w:pPr>
      <w:r>
        <w:rPr>
          <w:rFonts w:hint="eastAsia" w:ascii="仿宋" w:hAnsi="仿宋" w:eastAsia="仿宋" w:cs="仿宋"/>
          <w:sz w:val="24"/>
        </w:rPr>
        <w:t>本次招标接受代建主管部门监督。监督机构为</w:t>
      </w:r>
      <w:r>
        <w:rPr>
          <w:rFonts w:hint="eastAsia" w:ascii="仿宋" w:hAnsi="仿宋" w:eastAsia="仿宋" w:cs="仿宋"/>
          <w:b/>
          <w:sz w:val="24"/>
          <w:u w:val="single"/>
        </w:rPr>
        <w:t xml:space="preserve">             </w:t>
      </w:r>
      <w:r>
        <w:rPr>
          <w:rFonts w:hint="eastAsia" w:ascii="仿宋" w:hAnsi="仿宋" w:eastAsia="仿宋" w:cs="仿宋"/>
          <w:sz w:val="24"/>
        </w:rPr>
        <w:t>发展和改革委，联系人：</w:t>
      </w:r>
      <w:r>
        <w:rPr>
          <w:rFonts w:hint="eastAsia" w:ascii="仿宋" w:hAnsi="仿宋" w:eastAsia="仿宋" w:cs="仿宋"/>
          <w:b/>
          <w:sz w:val="24"/>
          <w:u w:val="single"/>
        </w:rPr>
        <w:t xml:space="preserve">                   </w:t>
      </w:r>
      <w:r>
        <w:rPr>
          <w:rFonts w:hint="eastAsia" w:ascii="仿宋" w:hAnsi="仿宋" w:eastAsia="仿宋" w:cs="仿宋"/>
          <w:sz w:val="24"/>
        </w:rPr>
        <w:t>，电话：</w:t>
      </w:r>
      <w:r>
        <w:rPr>
          <w:rFonts w:hint="eastAsia" w:ascii="仿宋" w:hAnsi="仿宋" w:eastAsia="仿宋" w:cs="仿宋"/>
          <w:b/>
          <w:sz w:val="24"/>
          <w:u w:val="single"/>
        </w:rPr>
        <w:t xml:space="preserve">                   </w:t>
      </w:r>
      <w:r>
        <w:rPr>
          <w:rFonts w:hint="eastAsia" w:ascii="仿宋" w:hAnsi="仿宋" w:eastAsia="仿宋" w:cs="仿宋"/>
          <w:sz w:val="24"/>
        </w:rPr>
        <w:t>。</w:t>
      </w:r>
    </w:p>
    <w:p>
      <w:pPr>
        <w:pStyle w:val="5"/>
        <w:numPr>
          <w:ilvl w:val="0"/>
          <w:numId w:val="5"/>
        </w:numPr>
        <w:snapToGrid w:val="0"/>
        <w:spacing w:before="0" w:after="0" w:line="500" w:lineRule="exact"/>
        <w:ind w:firstLine="118"/>
      </w:pPr>
      <w:bookmarkStart w:id="44" w:name="_Toc29151"/>
      <w:bookmarkStart w:id="45" w:name="_Toc10211"/>
      <w:r>
        <w:rPr>
          <w:rFonts w:hint="eastAsia" w:ascii="仿宋" w:hAnsi="仿宋" w:eastAsia="仿宋" w:cs="仿宋"/>
          <w:sz w:val="24"/>
          <w:szCs w:val="24"/>
        </w:rPr>
        <w:t>联系方式</w:t>
      </w:r>
      <w:bookmarkEnd w:id="44"/>
      <w:bookmarkEnd w:id="45"/>
    </w:p>
    <w:p>
      <w:pPr>
        <w:snapToGrid w:val="0"/>
        <w:spacing w:line="500" w:lineRule="exact"/>
        <w:ind w:firstLine="480"/>
      </w:pPr>
      <w:r>
        <w:rPr>
          <w:rFonts w:hint="eastAsia" w:ascii="仿宋" w:hAnsi="仿宋" w:eastAsia="仿宋" w:cs="仿宋"/>
          <w:b/>
          <w:sz w:val="24"/>
        </w:rPr>
        <w:t>招标人：</w:t>
      </w:r>
      <w:r>
        <w:rPr>
          <w:rFonts w:hint="eastAsia" w:ascii="仿宋" w:hAnsi="仿宋" w:eastAsia="仿宋" w:cs="仿宋"/>
          <w:b/>
          <w:sz w:val="24"/>
          <w:u w:val="single"/>
        </w:rPr>
        <w:t xml:space="preserve">                                </w:t>
      </w:r>
    </w:p>
    <w:p>
      <w:pPr>
        <w:snapToGrid w:val="0"/>
        <w:spacing w:line="500" w:lineRule="exact"/>
        <w:ind w:firstLine="480"/>
      </w:pPr>
      <w:r>
        <w:rPr>
          <w:rFonts w:hint="eastAsia" w:ascii="仿宋" w:hAnsi="仿宋" w:eastAsia="仿宋" w:cs="仿宋"/>
          <w:sz w:val="24"/>
        </w:rPr>
        <w:t>名称：</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地址：</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联系人：</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联系电话：</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b/>
          <w:sz w:val="24"/>
        </w:rPr>
        <w:t>招标代理机构：</w:t>
      </w:r>
      <w:r>
        <w:rPr>
          <w:rFonts w:hint="eastAsia" w:ascii="仿宋" w:hAnsi="仿宋" w:eastAsia="仿宋" w:cs="仿宋"/>
          <w:b/>
          <w:sz w:val="24"/>
          <w:u w:val="single"/>
        </w:rPr>
        <w:t xml:space="preserve">                         </w:t>
      </w:r>
    </w:p>
    <w:p>
      <w:pPr>
        <w:snapToGrid w:val="0"/>
        <w:spacing w:line="500" w:lineRule="exact"/>
        <w:ind w:firstLine="480"/>
      </w:pPr>
      <w:r>
        <w:rPr>
          <w:rFonts w:hint="eastAsia" w:ascii="仿宋" w:hAnsi="仿宋" w:eastAsia="仿宋" w:cs="仿宋"/>
          <w:sz w:val="24"/>
        </w:rPr>
        <w:t>名称：</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地址：</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联系人：</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联系电话：</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电子邮箱：</w:t>
      </w:r>
      <w:r>
        <w:rPr>
          <w:rFonts w:hint="eastAsia" w:ascii="仿宋" w:hAnsi="仿宋" w:eastAsia="仿宋" w:cs="仿宋"/>
          <w:sz w:val="24"/>
          <w:u w:val="single"/>
        </w:rPr>
        <w:t xml:space="preserve">                             </w:t>
      </w:r>
    </w:p>
    <w:p>
      <w:pPr>
        <w:pStyle w:val="2"/>
        <w:spacing w:line="500" w:lineRule="exact"/>
        <w:outlineLvl w:val="9"/>
      </w:pPr>
    </w:p>
    <w:p>
      <w:pPr>
        <w:pStyle w:val="2"/>
        <w:spacing w:line="500" w:lineRule="exact"/>
        <w:outlineLvl w:val="9"/>
      </w:pPr>
    </w:p>
    <w:p>
      <w:pPr>
        <w:pStyle w:val="2"/>
        <w:spacing w:line="500" w:lineRule="exact"/>
        <w:outlineLvl w:val="9"/>
      </w:pPr>
    </w:p>
    <w:p>
      <w:pPr>
        <w:pStyle w:val="2"/>
        <w:outlineLvl w:val="9"/>
      </w:pPr>
    </w:p>
    <w:p>
      <w:pPr>
        <w:pStyle w:val="2"/>
        <w:outlineLvl w:val="9"/>
      </w:pPr>
    </w:p>
    <w:p>
      <w:pPr>
        <w:pStyle w:val="2"/>
        <w:outlineLvl w:val="9"/>
      </w:pPr>
    </w:p>
    <w:p>
      <w:pPr>
        <w:keepNext/>
        <w:keepLines/>
        <w:pageBreakBefore/>
        <w:spacing w:line="500" w:lineRule="exact"/>
        <w:jc w:val="left"/>
        <w:rPr>
          <w:b/>
          <w:bCs/>
        </w:rPr>
      </w:pPr>
      <w:r>
        <w:rPr>
          <w:rFonts w:hint="eastAsia" w:ascii="仿宋" w:hAnsi="仿宋" w:eastAsia="仿宋" w:cs="仿宋"/>
          <w:b/>
          <w:bCs/>
          <w:sz w:val="24"/>
        </w:rPr>
        <w:t>附件一：授权委托书（格式）</w:t>
      </w:r>
    </w:p>
    <w:p>
      <w:pPr>
        <w:keepNext/>
        <w:keepLines/>
        <w:spacing w:line="500" w:lineRule="exact"/>
        <w:jc w:val="center"/>
        <w:rPr>
          <w:b/>
          <w:bCs/>
        </w:rPr>
      </w:pPr>
      <w:r>
        <w:rPr>
          <w:rFonts w:hint="eastAsia" w:ascii="仿宋" w:hAnsi="仿宋" w:eastAsia="仿宋" w:cs="仿宋"/>
          <w:b/>
          <w:bCs/>
          <w:sz w:val="24"/>
        </w:rPr>
        <w:t>授权委托书</w:t>
      </w:r>
    </w:p>
    <w:p>
      <w:pPr>
        <w:spacing w:line="500" w:lineRule="exact"/>
        <w:rPr>
          <w:rFonts w:ascii="仿宋" w:hAnsi="仿宋" w:eastAsia="仿宋" w:cs="仿宋"/>
          <w:b/>
          <w:sz w:val="24"/>
        </w:rPr>
      </w:pPr>
    </w:p>
    <w:p>
      <w:pPr>
        <w:spacing w:line="500" w:lineRule="exact"/>
        <w:ind w:left="281" w:firstLine="480" w:firstLineChars="200"/>
      </w:pPr>
      <w:r>
        <w:rPr>
          <w:rFonts w:hint="eastAsia" w:ascii="仿宋" w:hAnsi="仿宋" w:eastAsia="仿宋" w:cs="仿宋"/>
          <w:sz w:val="24"/>
        </w:rPr>
        <w:t>本授权委托书声明：本人</w:t>
      </w:r>
      <w:r>
        <w:rPr>
          <w:rFonts w:hint="eastAsia" w:ascii="仿宋" w:hAnsi="仿宋" w:eastAsia="仿宋" w:cs="仿宋"/>
          <w:sz w:val="24"/>
          <w:u w:val="single"/>
        </w:rPr>
        <w:t xml:space="preserve"> </w:t>
      </w:r>
      <w:r>
        <w:rPr>
          <w:rFonts w:hint="eastAsia" w:ascii="仿宋" w:hAnsi="仿宋" w:eastAsia="仿宋" w:cs="仿宋"/>
          <w:i/>
          <w:sz w:val="24"/>
          <w:u w:val="single"/>
        </w:rPr>
        <w:t>（姓名）</w:t>
      </w:r>
      <w:r>
        <w:rPr>
          <w:rFonts w:hint="eastAsia" w:ascii="仿宋" w:hAnsi="仿宋" w:eastAsia="仿宋" w:cs="仿宋"/>
          <w:sz w:val="24"/>
        </w:rPr>
        <w:t>系</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i/>
          <w:sz w:val="24"/>
          <w:u w:val="single"/>
        </w:rPr>
        <w:t>（投标人名称）</w:t>
      </w:r>
      <w:r>
        <w:rPr>
          <w:rFonts w:hint="eastAsia" w:ascii="仿宋" w:hAnsi="仿宋" w:eastAsia="仿宋" w:cs="仿宋"/>
          <w:sz w:val="24"/>
        </w:rPr>
        <w:t>法定代表人，现授权委托</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i/>
          <w:sz w:val="24"/>
        </w:rPr>
        <w:t>姓名</w:t>
      </w:r>
      <w:r>
        <w:rPr>
          <w:rFonts w:hint="eastAsia" w:ascii="仿宋" w:hAnsi="仿宋" w:eastAsia="仿宋" w:cs="仿宋"/>
          <w:sz w:val="24"/>
        </w:rPr>
        <w:t>）为我单位（或联合体）代理人，以本单位（或联合体）的名义参加</w:t>
      </w:r>
      <w:r>
        <w:rPr>
          <w:rFonts w:hint="eastAsia" w:ascii="仿宋" w:hAnsi="仿宋" w:eastAsia="仿宋" w:cs="仿宋"/>
          <w:sz w:val="24"/>
          <w:u w:val="single"/>
        </w:rPr>
        <w:t xml:space="preserve">                     </w:t>
      </w:r>
      <w:r>
        <w:rPr>
          <w:rFonts w:hint="eastAsia" w:ascii="仿宋" w:hAnsi="仿宋" w:eastAsia="仿宋" w:cs="仿宋"/>
          <w:i/>
          <w:sz w:val="24"/>
        </w:rPr>
        <w:t>（项目名称）</w:t>
      </w:r>
      <w:r>
        <w:rPr>
          <w:rFonts w:hint="eastAsia" w:ascii="仿宋" w:hAnsi="仿宋" w:eastAsia="仿宋" w:cs="仿宋"/>
          <w:sz w:val="24"/>
        </w:rPr>
        <w:t>代建服务招标的投标报名。代理人在投标报名过程中所签署的一切文件和处理的与之有关的一切事务，其法律后果由我方承担。</w:t>
      </w:r>
    </w:p>
    <w:p>
      <w:pPr>
        <w:spacing w:line="500" w:lineRule="exact"/>
      </w:pPr>
      <w:r>
        <w:rPr>
          <w:rFonts w:hint="eastAsia" w:ascii="仿宋" w:hAnsi="仿宋" w:eastAsia="仿宋" w:cs="仿宋"/>
          <w:sz w:val="24"/>
        </w:rPr>
        <w:t xml:space="preserve">    委托期限：</w:t>
      </w:r>
      <w:r>
        <w:rPr>
          <w:rFonts w:hint="eastAsia" w:ascii="仿宋" w:hAnsi="仿宋" w:eastAsia="仿宋" w:cs="仿宋"/>
          <w:sz w:val="24"/>
          <w:u w:val="single"/>
        </w:rPr>
        <w:t xml:space="preserve">           </w:t>
      </w:r>
    </w:p>
    <w:p>
      <w:pPr>
        <w:spacing w:line="500" w:lineRule="exact"/>
      </w:pPr>
      <w:r>
        <w:rPr>
          <w:rFonts w:hint="eastAsia" w:ascii="仿宋" w:hAnsi="仿宋" w:eastAsia="仿宋" w:cs="仿宋"/>
          <w:sz w:val="24"/>
        </w:rPr>
        <w:t xml:space="preserve">    代理人无转委托权。</w:t>
      </w:r>
    </w:p>
    <w:p>
      <w:pPr>
        <w:spacing w:line="500" w:lineRule="exact"/>
      </w:pPr>
      <w:r>
        <w:rPr>
          <w:rFonts w:hint="eastAsia" w:ascii="仿宋" w:hAnsi="仿宋" w:eastAsia="仿宋" w:cs="仿宋"/>
          <w:sz w:val="24"/>
        </w:rPr>
        <w:t xml:space="preserve">    特此委托。</w:t>
      </w:r>
    </w:p>
    <w:p>
      <w:pPr>
        <w:spacing w:line="500" w:lineRule="exact"/>
        <w:ind w:firstLine="729"/>
        <w:rPr>
          <w:rFonts w:ascii="仿宋" w:hAnsi="仿宋" w:eastAsia="仿宋" w:cs="仿宋"/>
          <w:sz w:val="24"/>
        </w:rPr>
      </w:pPr>
    </w:p>
    <w:p>
      <w:pPr>
        <w:spacing w:line="500" w:lineRule="exact"/>
      </w:pPr>
      <w:r>
        <w:rPr>
          <w:rFonts w:hint="eastAsia" w:ascii="仿宋" w:hAnsi="仿宋" w:eastAsia="仿宋" w:cs="仿宋"/>
          <w:sz w:val="24"/>
        </w:rPr>
        <w:t xml:space="preserve">    代理人姓名：</w:t>
      </w:r>
      <w:r>
        <w:rPr>
          <w:rFonts w:hint="eastAsia" w:ascii="仿宋" w:hAnsi="仿宋" w:eastAsia="仿宋" w:cs="仿宋"/>
          <w:sz w:val="24"/>
          <w:u w:val="single"/>
        </w:rPr>
        <w:t xml:space="preserve">         </w:t>
      </w:r>
      <w:r>
        <w:rPr>
          <w:rFonts w:hint="eastAsia" w:ascii="仿宋" w:hAnsi="仿宋" w:eastAsia="仿宋" w:cs="仿宋"/>
          <w:sz w:val="24"/>
        </w:rPr>
        <w:t>性别：</w:t>
      </w:r>
      <w:r>
        <w:rPr>
          <w:rFonts w:hint="eastAsia" w:ascii="仿宋" w:hAnsi="仿宋" w:eastAsia="仿宋" w:cs="仿宋"/>
          <w:sz w:val="24"/>
          <w:u w:val="single"/>
        </w:rPr>
        <w:t xml:space="preserve">         </w:t>
      </w:r>
      <w:r>
        <w:rPr>
          <w:rFonts w:hint="eastAsia" w:ascii="仿宋" w:hAnsi="仿宋" w:eastAsia="仿宋" w:cs="仿宋"/>
          <w:sz w:val="24"/>
        </w:rPr>
        <w:t>身份证号：</w:t>
      </w:r>
      <w:r>
        <w:rPr>
          <w:rFonts w:hint="eastAsia" w:ascii="仿宋" w:hAnsi="仿宋" w:eastAsia="仿宋" w:cs="仿宋"/>
          <w:sz w:val="24"/>
          <w:u w:val="single"/>
        </w:rPr>
        <w:t xml:space="preserve">          </w:t>
      </w:r>
    </w:p>
    <w:p>
      <w:pPr>
        <w:spacing w:line="500" w:lineRule="exact"/>
        <w:rPr>
          <w:rFonts w:ascii="仿宋" w:hAnsi="仿宋" w:eastAsia="仿宋" w:cs="仿宋"/>
          <w:sz w:val="24"/>
        </w:rPr>
      </w:pPr>
      <w:r>
        <w:rPr>
          <w:rFonts w:hint="eastAsia" w:ascii="仿宋" w:hAnsi="仿宋" w:eastAsia="仿宋" w:cs="仿宋"/>
          <w:sz w:val="24"/>
        </w:rPr>
        <w:t xml:space="preserve">    委托人姓名：</w:t>
      </w:r>
      <w:r>
        <w:rPr>
          <w:rFonts w:hint="eastAsia" w:ascii="仿宋" w:hAnsi="仿宋" w:eastAsia="仿宋" w:cs="仿宋"/>
          <w:sz w:val="24"/>
          <w:u w:val="single"/>
        </w:rPr>
        <w:t xml:space="preserve">         </w:t>
      </w:r>
      <w:r>
        <w:rPr>
          <w:rFonts w:hint="eastAsia" w:ascii="仿宋" w:hAnsi="仿宋" w:eastAsia="仿宋" w:cs="仿宋"/>
          <w:sz w:val="24"/>
        </w:rPr>
        <w:t>性别：</w:t>
      </w:r>
      <w:r>
        <w:rPr>
          <w:rFonts w:hint="eastAsia" w:ascii="仿宋" w:hAnsi="仿宋" w:eastAsia="仿宋" w:cs="仿宋"/>
          <w:sz w:val="24"/>
          <w:u w:val="single"/>
        </w:rPr>
        <w:t xml:space="preserve">         </w:t>
      </w:r>
      <w:r>
        <w:rPr>
          <w:rFonts w:hint="eastAsia" w:ascii="仿宋" w:hAnsi="仿宋" w:eastAsia="仿宋" w:cs="仿宋"/>
          <w:sz w:val="24"/>
        </w:rPr>
        <w:t>身份证号：</w:t>
      </w:r>
      <w:r>
        <w:rPr>
          <w:rFonts w:hint="eastAsia" w:ascii="仿宋" w:hAnsi="仿宋" w:eastAsia="仿宋" w:cs="仿宋"/>
          <w:sz w:val="24"/>
          <w:u w:val="single"/>
        </w:rPr>
        <w:t xml:space="preserve">          </w:t>
      </w:r>
    </w:p>
    <w:p>
      <w:pPr>
        <w:spacing w:line="500" w:lineRule="exact"/>
        <w:ind w:firstLine="729"/>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u w:val="single"/>
        </w:rPr>
      </w:pPr>
      <w:r>
        <w:rPr>
          <w:rFonts w:hint="eastAsia" w:ascii="仿宋" w:hAnsi="仿宋" w:eastAsia="仿宋" w:cs="仿宋"/>
          <w:sz w:val="24"/>
        </w:rPr>
        <w:t xml:space="preserve">                        投标人（或联合体牵头人）：</w:t>
      </w:r>
      <w:r>
        <w:rPr>
          <w:rFonts w:hint="eastAsia" w:ascii="仿宋" w:hAnsi="仿宋" w:eastAsia="仿宋" w:cs="仿宋"/>
          <w:sz w:val="24"/>
          <w:u w:val="single"/>
        </w:rPr>
        <w:t xml:space="preserve">（盖章）   </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 xml:space="preserve">                  投标人（或联合体牵头人）法定代表人：  </w:t>
      </w:r>
      <w:r>
        <w:rPr>
          <w:rFonts w:ascii="仿宋" w:hAnsi="仿宋" w:eastAsia="仿宋" w:cs="仿宋"/>
          <w:sz w:val="24"/>
          <w:u w:val="single"/>
        </w:rPr>
        <w:t>（</w:t>
      </w:r>
      <w:r>
        <w:rPr>
          <w:rFonts w:hint="eastAsia" w:ascii="仿宋" w:hAnsi="仿宋" w:eastAsia="仿宋" w:cs="仿宋"/>
          <w:sz w:val="24"/>
          <w:u w:val="single"/>
        </w:rPr>
        <w:t>签字或</w:t>
      </w:r>
      <w:r>
        <w:rPr>
          <w:rFonts w:ascii="仿宋" w:hAnsi="仿宋" w:eastAsia="仿宋" w:cs="仿宋"/>
          <w:sz w:val="24"/>
          <w:u w:val="single"/>
        </w:rPr>
        <w:t>盖章）</w:t>
      </w:r>
      <w:r>
        <w:rPr>
          <w:rFonts w:hint="eastAsia" w:ascii="仿宋" w:hAnsi="仿宋" w:eastAsia="仿宋" w:cs="仿宋"/>
          <w:sz w:val="24"/>
          <w:u w:val="single"/>
        </w:rPr>
        <w:t xml:space="preserve">   </w:t>
      </w:r>
    </w:p>
    <w:p>
      <w:pPr>
        <w:spacing w:line="500" w:lineRule="exact"/>
        <w:ind w:firstLine="729"/>
        <w:rPr>
          <w:rFonts w:ascii="仿宋" w:hAnsi="仿宋" w:eastAsia="仿宋" w:cs="仿宋"/>
          <w:sz w:val="24"/>
        </w:rPr>
      </w:pPr>
    </w:p>
    <w:p>
      <w:pPr>
        <w:spacing w:line="500" w:lineRule="exact"/>
        <w:ind w:left="426" w:leftChars="203" w:firstLine="240" w:firstLineChars="1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500" w:lineRule="exact"/>
        <w:ind w:left="426" w:leftChars="203" w:firstLine="240" w:firstLineChars="100"/>
        <w:rPr>
          <w:rFonts w:ascii="仿宋" w:hAnsi="仿宋" w:eastAsia="仿宋" w:cs="仿宋"/>
          <w:sz w:val="24"/>
        </w:rPr>
      </w:pPr>
    </w:p>
    <w:p>
      <w:pPr>
        <w:spacing w:line="500" w:lineRule="exact"/>
        <w:ind w:left="426" w:leftChars="203" w:firstLine="240" w:firstLineChars="100"/>
        <w:rPr>
          <w:rFonts w:ascii="仿宋" w:hAnsi="仿宋" w:eastAsia="仿宋" w:cs="仿宋"/>
          <w:sz w:val="24"/>
        </w:rPr>
      </w:pPr>
    </w:p>
    <w:p>
      <w:pPr>
        <w:spacing w:line="500" w:lineRule="exact"/>
        <w:ind w:left="426" w:leftChars="203" w:firstLine="240" w:firstLineChars="100"/>
        <w:rPr>
          <w:rFonts w:ascii="仿宋" w:hAnsi="仿宋" w:eastAsia="仿宋" w:cs="仿宋"/>
          <w:sz w:val="24"/>
        </w:rPr>
      </w:pPr>
      <w:r>
        <w:rPr>
          <w:rFonts w:hint="eastAsia" w:ascii="仿宋" w:hAnsi="仿宋" w:eastAsia="仿宋" w:cs="仿宋"/>
          <w:sz w:val="24"/>
        </w:rPr>
        <w:t>附：法定代表人身份证复印件</w:t>
      </w:r>
    </w:p>
    <w:p>
      <w:pPr>
        <w:snapToGrid w:val="0"/>
        <w:spacing w:line="500" w:lineRule="exact"/>
        <w:ind w:firstLine="480"/>
        <w:rPr>
          <w:rFonts w:ascii="仿宋" w:hAnsi="仿宋" w:eastAsia="仿宋" w:cs="仿宋"/>
          <w:sz w:val="24"/>
        </w:rPr>
      </w:pPr>
      <w:r>
        <w:rPr>
          <w:rFonts w:hint="eastAsia" w:ascii="仿宋" w:hAnsi="仿宋" w:eastAsia="仿宋" w:cs="仿宋"/>
          <w:sz w:val="24"/>
        </w:rPr>
        <w:t xml:space="preserve">     代理人身份证复印件</w:t>
      </w:r>
    </w:p>
    <w:p>
      <w:pPr>
        <w:snapToGrid w:val="0"/>
        <w:spacing w:line="500" w:lineRule="exact"/>
        <w:ind w:firstLine="480"/>
        <w:rPr>
          <w:rFonts w:ascii="仿宋" w:hAnsi="仿宋" w:eastAsia="仿宋" w:cs="仿宋"/>
          <w:sz w:val="24"/>
        </w:rPr>
      </w:pPr>
    </w:p>
    <w:p>
      <w:pPr>
        <w:spacing w:line="500" w:lineRule="exact"/>
        <w:sectPr>
          <w:headerReference r:id="rId9" w:type="first"/>
          <w:footerReference r:id="rId12" w:type="first"/>
          <w:headerReference r:id="rId7" w:type="default"/>
          <w:footerReference r:id="rId10" w:type="default"/>
          <w:headerReference r:id="rId8" w:type="even"/>
          <w:footerReference r:id="rId11" w:type="even"/>
          <w:footnotePr>
            <w:pos w:val="beneathText"/>
          </w:footnotePr>
          <w:pgSz w:w="11906" w:h="16838"/>
          <w:pgMar w:top="1440" w:right="1800" w:bottom="1440" w:left="1800" w:header="851" w:footer="992" w:gutter="0"/>
          <w:pgNumType w:fmt="numberInDash" w:start="1"/>
          <w:cols w:space="720" w:num="1"/>
          <w:docGrid w:type="linesAndChars" w:linePitch="312" w:charSpace="0"/>
        </w:sectPr>
      </w:pPr>
    </w:p>
    <w:p>
      <w:pPr>
        <w:keepNext/>
        <w:keepLines/>
        <w:pageBreakBefore/>
        <w:spacing w:line="500" w:lineRule="exact"/>
        <w:jc w:val="left"/>
        <w:rPr>
          <w:b/>
          <w:bCs/>
        </w:rPr>
      </w:pPr>
      <w:r>
        <w:rPr>
          <w:rFonts w:hint="eastAsia" w:ascii="仿宋" w:hAnsi="仿宋" w:eastAsia="仿宋" w:cs="仿宋"/>
          <w:b/>
          <w:bCs/>
          <w:sz w:val="24"/>
        </w:rPr>
        <w:t>附件二：联合体协议书（格式）</w:t>
      </w:r>
    </w:p>
    <w:p>
      <w:pPr>
        <w:spacing w:line="500" w:lineRule="exact"/>
        <w:rPr>
          <w:sz w:val="24"/>
        </w:rPr>
      </w:pPr>
    </w:p>
    <w:p>
      <w:pPr>
        <w:spacing w:line="500" w:lineRule="exact"/>
        <w:rPr>
          <w:rFonts w:ascii="仿宋" w:hAnsi="仿宋" w:eastAsia="仿宋" w:cs="仿宋"/>
          <w:sz w:val="24"/>
        </w:rPr>
      </w:pPr>
      <w:r>
        <w:rPr>
          <w:rFonts w:hint="eastAsia" w:ascii="仿宋" w:hAnsi="仿宋" w:eastAsia="仿宋" w:cs="仿宋"/>
          <w:sz w:val="24"/>
        </w:rPr>
        <w:t>联合体成员：</w:t>
      </w:r>
    </w:p>
    <w:p>
      <w:pPr>
        <w:spacing w:line="500" w:lineRule="exact"/>
        <w:rPr>
          <w:rFonts w:ascii="仿宋" w:hAnsi="仿宋" w:eastAsia="仿宋" w:cs="仿宋"/>
          <w:sz w:val="24"/>
        </w:rPr>
      </w:pPr>
    </w:p>
    <w:p>
      <w:pPr>
        <w:spacing w:line="500" w:lineRule="exact"/>
        <w:rPr>
          <w:rFonts w:ascii="仿宋" w:hAnsi="仿宋" w:eastAsia="仿宋" w:cs="仿宋"/>
          <w:sz w:val="24"/>
          <w:u w:val="single"/>
        </w:rPr>
      </w:pPr>
      <w:r>
        <w:rPr>
          <w:rFonts w:hint="eastAsia" w:ascii="仿宋" w:hAnsi="仿宋" w:eastAsia="仿宋" w:cs="仿宋"/>
          <w:sz w:val="24"/>
        </w:rPr>
        <w:t>单位名称：</w:t>
      </w:r>
      <w:r>
        <w:rPr>
          <w:rFonts w:hint="eastAsia" w:ascii="仿宋" w:hAnsi="仿宋" w:eastAsia="仿宋" w:cs="仿宋"/>
          <w:sz w:val="24"/>
          <w:u w:val="single"/>
        </w:rPr>
        <w:t xml:space="preserve">                         </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500" w:lineRule="exact"/>
        <w:rPr>
          <w:rFonts w:ascii="仿宋" w:hAnsi="仿宋" w:eastAsia="仿宋" w:cs="仿宋"/>
          <w:sz w:val="24"/>
        </w:rPr>
      </w:pPr>
    </w:p>
    <w:p>
      <w:pPr>
        <w:spacing w:line="500" w:lineRule="exact"/>
        <w:rPr>
          <w:rFonts w:ascii="仿宋" w:hAnsi="仿宋" w:eastAsia="仿宋" w:cs="仿宋"/>
          <w:sz w:val="24"/>
          <w:u w:val="single"/>
        </w:rPr>
      </w:pPr>
      <w:r>
        <w:rPr>
          <w:rFonts w:hint="eastAsia" w:ascii="仿宋" w:hAnsi="仿宋" w:eastAsia="仿宋" w:cs="仿宋"/>
          <w:sz w:val="24"/>
        </w:rPr>
        <w:t>单位名称：</w:t>
      </w:r>
      <w:r>
        <w:rPr>
          <w:rFonts w:hint="eastAsia" w:ascii="仿宋" w:hAnsi="仿宋" w:eastAsia="仿宋" w:cs="仿宋"/>
          <w:sz w:val="24"/>
          <w:u w:val="single"/>
        </w:rPr>
        <w:t xml:space="preserve">                        </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500" w:lineRule="exact"/>
        <w:rPr>
          <w:rFonts w:ascii="仿宋" w:hAnsi="仿宋" w:eastAsia="仿宋" w:cs="仿宋"/>
          <w:sz w:val="24"/>
        </w:rPr>
      </w:pPr>
    </w:p>
    <w:p>
      <w:pPr>
        <w:topLinePunct/>
        <w:spacing w:line="500" w:lineRule="exact"/>
        <w:ind w:firstLine="480" w:firstLineChars="2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i/>
          <w:sz w:val="24"/>
          <w:u w:val="single"/>
        </w:rPr>
        <w:t>（所有成员单位名称）</w:t>
      </w:r>
      <w:r>
        <w:rPr>
          <w:rFonts w:hint="eastAsia" w:ascii="仿宋" w:hAnsi="仿宋" w:eastAsia="仿宋" w:cs="仿宋"/>
          <w:sz w:val="24"/>
        </w:rPr>
        <w:t>自愿组成</w:t>
      </w:r>
      <w:r>
        <w:rPr>
          <w:rFonts w:hint="eastAsia" w:ascii="仿宋" w:hAnsi="仿宋" w:eastAsia="仿宋" w:cs="仿宋"/>
          <w:sz w:val="24"/>
          <w:u w:val="single"/>
        </w:rPr>
        <w:t xml:space="preserve">           </w:t>
      </w:r>
      <w:r>
        <w:rPr>
          <w:rFonts w:hint="eastAsia" w:ascii="仿宋" w:hAnsi="仿宋" w:eastAsia="仿宋" w:cs="仿宋"/>
          <w:i/>
          <w:sz w:val="24"/>
        </w:rPr>
        <w:t>（联合体名称）</w:t>
      </w:r>
      <w:r>
        <w:rPr>
          <w:rFonts w:hint="eastAsia" w:ascii="仿宋" w:hAnsi="仿宋" w:eastAsia="仿宋" w:cs="仿宋"/>
          <w:sz w:val="24"/>
        </w:rPr>
        <w:t>联合体，共同参加</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代建单位投标。现就联合体投标事宜订立如下协议。</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w:t>
      </w:r>
      <w:r>
        <w:rPr>
          <w:rFonts w:hint="eastAsia" w:ascii="仿宋" w:hAnsi="仿宋" w:eastAsia="仿宋" w:cs="仿宋"/>
          <w:i/>
          <w:sz w:val="24"/>
          <w:u w:val="single"/>
        </w:rPr>
        <w:t>（牵头人名称）</w:t>
      </w:r>
      <w:r>
        <w:rPr>
          <w:rFonts w:hint="eastAsia" w:ascii="仿宋" w:hAnsi="仿宋" w:eastAsia="仿宋" w:cs="仿宋"/>
          <w:sz w:val="24"/>
        </w:rPr>
        <w:t>为</w:t>
      </w:r>
      <w:r>
        <w:rPr>
          <w:rFonts w:hint="eastAsia" w:ascii="仿宋" w:hAnsi="仿宋" w:eastAsia="仿宋" w:cs="仿宋"/>
          <w:sz w:val="24"/>
          <w:u w:val="single"/>
        </w:rPr>
        <w:t xml:space="preserve"> </w:t>
      </w:r>
      <w:r>
        <w:rPr>
          <w:rFonts w:hint="eastAsia" w:ascii="仿宋" w:hAnsi="仿宋" w:eastAsia="仿宋" w:cs="仿宋"/>
          <w:i/>
          <w:sz w:val="24"/>
          <w:u w:val="single"/>
        </w:rPr>
        <w:t>（联合体名称）</w:t>
      </w:r>
      <w:r>
        <w:rPr>
          <w:rFonts w:hint="eastAsia" w:ascii="仿宋" w:hAnsi="仿宋" w:eastAsia="仿宋" w:cs="仿宋"/>
          <w:sz w:val="24"/>
          <w:u w:val="single"/>
        </w:rPr>
        <w:t xml:space="preserve"> </w:t>
      </w:r>
      <w:r>
        <w:rPr>
          <w:rFonts w:hint="eastAsia" w:ascii="仿宋" w:hAnsi="仿宋" w:eastAsia="仿宋" w:cs="仿宋"/>
          <w:sz w:val="24"/>
        </w:rPr>
        <w:t>牵头人</w:t>
      </w:r>
      <w:r>
        <w:rPr>
          <w:rFonts w:hint="eastAsia" w:ascii="仿宋" w:hAnsi="仿宋" w:eastAsia="仿宋" w:cs="仿宋"/>
          <w:iCs/>
          <w:sz w:val="24"/>
        </w:rPr>
        <w:t>（牵头人应为承担项目管理职责的单位）</w:t>
      </w:r>
      <w:r>
        <w:rPr>
          <w:rFonts w:hint="eastAsia" w:ascii="仿宋" w:hAnsi="仿宋" w:eastAsia="仿宋" w:cs="仿宋"/>
          <w:sz w:val="24"/>
        </w:rPr>
        <w:t>。</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2、联合体牵头人合法代表联合体各成员负责本代建单位招标项目投标文件编制和合同谈判活动，代表联合体提交和接收相关的资料、信息及指示，处理与之有关的一切事务，并负责合同实施阶段的主办、组织和协调工作。</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3、联合体将严格按照招标文件的各项要求，递交投标文件，履行合同，并对外承担连带责任。</w:t>
      </w:r>
    </w:p>
    <w:p>
      <w:pPr>
        <w:topLinePunct/>
        <w:spacing w:line="500" w:lineRule="exact"/>
        <w:ind w:firstLine="480" w:firstLineChars="200"/>
        <w:rPr>
          <w:rFonts w:ascii="仿宋" w:hAnsi="仿宋" w:eastAsia="仿宋" w:cs="仿宋"/>
          <w:sz w:val="24"/>
          <w:u w:val="single"/>
        </w:rPr>
      </w:pPr>
      <w:r>
        <w:rPr>
          <w:rFonts w:hint="eastAsia" w:ascii="仿宋" w:hAnsi="仿宋" w:eastAsia="仿宋" w:cs="仿宋"/>
          <w:sz w:val="24"/>
        </w:rPr>
        <w:t>4、联合体各成员单位内部的职责分工如下：</w:t>
      </w:r>
      <w:r>
        <w:rPr>
          <w:rFonts w:hint="eastAsia" w:ascii="仿宋" w:hAnsi="仿宋" w:eastAsia="仿宋" w:cs="仿宋"/>
          <w:i/>
          <w:sz w:val="24"/>
          <w:u w:val="single"/>
        </w:rPr>
        <w:t>（联合体成员）负责项目（）、（联合体成员）负责项目（）……</w:t>
      </w:r>
      <w:r>
        <w:rPr>
          <w:rFonts w:hint="eastAsia" w:ascii="仿宋" w:hAnsi="仿宋" w:eastAsia="仿宋" w:cs="仿宋"/>
          <w:sz w:val="24"/>
          <w:u w:val="single"/>
        </w:rPr>
        <w:t>。</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i/>
          <w:sz w:val="24"/>
          <w:u w:val="single"/>
        </w:rPr>
        <w:t>（牵头人单位名称）</w:t>
      </w:r>
      <w:r>
        <w:rPr>
          <w:rFonts w:hint="eastAsia" w:ascii="仿宋" w:hAnsi="仿宋" w:eastAsia="仿宋" w:cs="仿宋"/>
          <w:sz w:val="24"/>
        </w:rPr>
        <w:t>公司作为联合体代表，有权代表联合体与其他业务合作方签订相关业务协议、合同。联合体代表履行义务和责任时，联合体各成员承担连带责任。联合体代表在投标活动过程中以及在以后的合同谈判过程中所签署的一切文件和处理与之有关的一切事务，均视为是我们联合体各成员公司的行为，与各联合体成员的行为具有同等的法律效力。我们联合体各成员和我们联合体各成员的法定代表人将承担联合体代表行为的一切及全部法律责任和后果。</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6、联合体成员承诺同时共同地和个别地承担责任。</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7、联合体中各成员承诺同时共同的和个别的为某联合体成员撤出后合同事实承担法律责任。</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8、我们联合体投标时，将以联合体各方或者联合体代表的名义提交投标保证金。无论以哪种方式提交投标保证金，对我们联合体各成员均具有约束力。</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9、如果我们联合体中标，我们联合体各成员承诺按照国家法律、法规和本招标文件的规定与招标人共同签订有关书面合同和履行义务。联合体内部将遵守以下规定： </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a．联合体牵头人和成员共同与招标人签订合同书，并就中标项目向招标人负有连带的和各自的法律责任；</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b．联合体牵头人代表联合体成员承担责任和接受招标人的指令、指示和通知，并且在整个合同实施过程中的联络事宜；</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10、联合体组织机构</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联合体组建</w:t>
      </w:r>
      <w:r>
        <w:rPr>
          <w:rFonts w:hint="eastAsia" w:ascii="仿宋" w:hAnsi="仿宋" w:eastAsia="仿宋" w:cs="仿宋"/>
          <w:i/>
          <w:sz w:val="24"/>
          <w:u w:val="single"/>
        </w:rPr>
        <w:t>（联合体名称）</w:t>
      </w:r>
      <w:r>
        <w:rPr>
          <w:rFonts w:hint="eastAsia" w:ascii="仿宋" w:hAnsi="仿宋" w:eastAsia="仿宋" w:cs="仿宋"/>
          <w:sz w:val="24"/>
        </w:rPr>
        <w:t>领导小组，由各方主要负责人组成，其职责是：</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①对联合体内的重大问题进行商讨和决策；</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②定期召开协调会议，协调各成员之间的工作，对工作小组人员进行任务分工和管理；</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11、中标后，联合体各方将按照招标文件和投标文件的相关约定，组建项目部。</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12、未尽事宜，各方视工作进展情况进行商榷，有关事项记入备忘录或补充协议。</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 xml:space="preserve">13、本协议书自签署之日起生效，合同履行完毕后自动失效。 </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14、本协议书一式</w:t>
      </w:r>
      <w:r>
        <w:rPr>
          <w:rFonts w:hint="eastAsia" w:ascii="仿宋" w:hAnsi="仿宋" w:eastAsia="仿宋" w:cs="仿宋"/>
          <w:sz w:val="24"/>
          <w:u w:val="single"/>
        </w:rPr>
        <w:t xml:space="preserve">      </w:t>
      </w:r>
      <w:r>
        <w:rPr>
          <w:rFonts w:hint="eastAsia" w:ascii="仿宋" w:hAnsi="仿宋" w:eastAsia="仿宋" w:cs="仿宋"/>
          <w:sz w:val="24"/>
        </w:rPr>
        <w:t>份，联合体成员和招标人各执一份。</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注：本协议书由委托代理人签字的，应附法定代表人签字的授权委托书。</w:t>
      </w:r>
    </w:p>
    <w:p>
      <w:pPr>
        <w:topLinePunct/>
        <w:spacing w:line="500" w:lineRule="exact"/>
        <w:rPr>
          <w:rFonts w:ascii="仿宋" w:hAnsi="仿宋" w:eastAsia="仿宋" w:cs="仿宋"/>
          <w:sz w:val="24"/>
        </w:rPr>
      </w:pPr>
    </w:p>
    <w:p>
      <w:pPr>
        <w:topLinePunct/>
        <w:spacing w:line="500" w:lineRule="exact"/>
        <w:rPr>
          <w:rFonts w:ascii="仿宋" w:hAnsi="仿宋" w:eastAsia="仿宋" w:cs="仿宋"/>
          <w:sz w:val="24"/>
        </w:rPr>
      </w:pPr>
      <w:r>
        <w:rPr>
          <w:rFonts w:hint="eastAsia" w:ascii="仿宋" w:hAnsi="仿宋" w:eastAsia="仿宋" w:cs="仿宋"/>
          <w:sz w:val="24"/>
        </w:rPr>
        <w:t>牵头人名称：</w:t>
      </w:r>
      <w:r>
        <w:rPr>
          <w:rFonts w:hint="eastAsia" w:ascii="仿宋" w:hAnsi="仿宋" w:eastAsia="仿宋" w:cs="仿宋"/>
          <w:sz w:val="24"/>
          <w:u w:val="single"/>
        </w:rPr>
        <w:t xml:space="preserve">                       </w:t>
      </w:r>
      <w:r>
        <w:rPr>
          <w:rFonts w:hint="eastAsia" w:ascii="仿宋" w:hAnsi="仿宋" w:eastAsia="仿宋" w:cs="仿宋"/>
          <w:sz w:val="24"/>
        </w:rPr>
        <w:t>（盖单位章）</w:t>
      </w:r>
    </w:p>
    <w:p>
      <w:pPr>
        <w:topLinePunct/>
        <w:spacing w:line="500" w:lineRule="exact"/>
        <w:rPr>
          <w:rFonts w:ascii="仿宋" w:hAnsi="仿宋" w:eastAsia="仿宋" w:cs="仿宋"/>
          <w:sz w:val="24"/>
        </w:rPr>
      </w:pPr>
      <w:r>
        <w:rPr>
          <w:rFonts w:hint="eastAsia" w:ascii="仿宋" w:hAnsi="仿宋" w:eastAsia="仿宋" w:cs="仿宋"/>
          <w:sz w:val="24"/>
        </w:rPr>
        <w:t>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（签字或</w:t>
      </w:r>
      <w:r>
        <w:rPr>
          <w:rFonts w:ascii="仿宋" w:hAnsi="仿宋" w:eastAsia="仿宋" w:cs="仿宋"/>
          <w:sz w:val="24"/>
        </w:rPr>
        <w:t>盖章</w:t>
      </w:r>
      <w:r>
        <w:rPr>
          <w:rFonts w:hint="eastAsia" w:ascii="仿宋" w:hAnsi="仿宋" w:eastAsia="仿宋" w:cs="仿宋"/>
          <w:sz w:val="24"/>
        </w:rPr>
        <w:t>）</w:t>
      </w:r>
    </w:p>
    <w:p>
      <w:pPr>
        <w:topLinePunct/>
        <w:spacing w:line="500" w:lineRule="exact"/>
        <w:rPr>
          <w:rFonts w:ascii="仿宋" w:hAnsi="仿宋" w:eastAsia="仿宋" w:cs="仿宋"/>
          <w:sz w:val="24"/>
        </w:rPr>
      </w:pPr>
    </w:p>
    <w:p>
      <w:pPr>
        <w:topLinePunct/>
        <w:spacing w:line="500" w:lineRule="exact"/>
        <w:rPr>
          <w:rFonts w:ascii="仿宋" w:hAnsi="仿宋" w:eastAsia="仿宋" w:cs="仿宋"/>
          <w:sz w:val="24"/>
        </w:rPr>
      </w:pPr>
      <w:r>
        <w:rPr>
          <w:rFonts w:hint="eastAsia" w:ascii="仿宋" w:hAnsi="仿宋" w:eastAsia="仿宋" w:cs="仿宋"/>
          <w:sz w:val="24"/>
        </w:rPr>
        <w:t>成员一名称：</w:t>
      </w:r>
      <w:r>
        <w:rPr>
          <w:rFonts w:ascii="仿宋" w:hAnsi="仿宋" w:eastAsia="仿宋" w:cs="仿宋"/>
          <w:sz w:val="24"/>
          <w:u w:val="single"/>
        </w:rPr>
        <w:t xml:space="preserve">                        </w:t>
      </w:r>
      <w:r>
        <w:rPr>
          <w:rFonts w:hint="eastAsia" w:ascii="仿宋" w:hAnsi="仿宋" w:eastAsia="仿宋" w:cs="仿宋"/>
          <w:sz w:val="24"/>
        </w:rPr>
        <w:t>（盖单位章）</w:t>
      </w:r>
    </w:p>
    <w:p>
      <w:pPr>
        <w:topLinePunct/>
        <w:spacing w:line="500" w:lineRule="exact"/>
        <w:rPr>
          <w:rFonts w:ascii="仿宋" w:hAnsi="仿宋" w:eastAsia="仿宋" w:cs="仿宋"/>
          <w:sz w:val="24"/>
        </w:rPr>
      </w:pPr>
      <w:r>
        <w:rPr>
          <w:rFonts w:hint="eastAsia" w:ascii="仿宋" w:hAnsi="仿宋" w:eastAsia="仿宋" w:cs="仿宋"/>
          <w:sz w:val="24"/>
        </w:rPr>
        <w:t>法定代表人或其委托代理人：</w:t>
      </w:r>
      <w:r>
        <w:rPr>
          <w:rFonts w:ascii="仿宋" w:hAnsi="仿宋" w:eastAsia="仿宋" w:cs="仿宋"/>
          <w:sz w:val="24"/>
          <w:u w:val="single"/>
        </w:rPr>
        <w:t xml:space="preserve">                            </w:t>
      </w:r>
      <w:r>
        <w:rPr>
          <w:rFonts w:hint="eastAsia" w:ascii="仿宋" w:hAnsi="仿宋" w:eastAsia="仿宋" w:cs="仿宋"/>
          <w:sz w:val="24"/>
        </w:rPr>
        <w:t>（签字或</w:t>
      </w:r>
      <w:r>
        <w:rPr>
          <w:rFonts w:ascii="仿宋" w:hAnsi="仿宋" w:eastAsia="仿宋" w:cs="仿宋"/>
          <w:sz w:val="24"/>
        </w:rPr>
        <w:t>盖章</w:t>
      </w:r>
      <w:r>
        <w:rPr>
          <w:rFonts w:hint="eastAsia" w:ascii="仿宋" w:hAnsi="仿宋" w:eastAsia="仿宋" w:cs="仿宋"/>
          <w:sz w:val="24"/>
        </w:rPr>
        <w:t>）</w:t>
      </w:r>
    </w:p>
    <w:p>
      <w:pPr>
        <w:pStyle w:val="7"/>
        <w:spacing w:line="500" w:lineRule="exact"/>
      </w:pPr>
    </w:p>
    <w:p>
      <w:pPr>
        <w:topLinePunct/>
        <w:spacing w:line="500" w:lineRule="exact"/>
        <w:rPr>
          <w:rFonts w:ascii="仿宋" w:hAnsi="仿宋" w:eastAsia="仿宋" w:cs="仿宋"/>
          <w:sz w:val="24"/>
        </w:rPr>
      </w:pPr>
      <w:r>
        <w:rPr>
          <w:rFonts w:hint="eastAsia" w:ascii="仿宋" w:hAnsi="仿宋" w:eastAsia="仿宋" w:cs="仿宋"/>
          <w:sz w:val="24"/>
        </w:rPr>
        <w:t>成员二名称：</w:t>
      </w:r>
      <w:r>
        <w:rPr>
          <w:rFonts w:ascii="仿宋" w:hAnsi="仿宋" w:eastAsia="仿宋" w:cs="仿宋"/>
          <w:sz w:val="24"/>
          <w:u w:val="single"/>
        </w:rPr>
        <w:t xml:space="preserve">                        </w:t>
      </w:r>
      <w:r>
        <w:rPr>
          <w:rFonts w:hint="eastAsia" w:ascii="仿宋" w:hAnsi="仿宋" w:eastAsia="仿宋" w:cs="仿宋"/>
          <w:sz w:val="24"/>
        </w:rPr>
        <w:t>（盖单位章）</w:t>
      </w:r>
    </w:p>
    <w:p>
      <w:pPr>
        <w:spacing w:line="500" w:lineRule="exact"/>
      </w:pPr>
      <w:r>
        <w:rPr>
          <w:rFonts w:hint="eastAsia" w:ascii="仿宋" w:hAnsi="仿宋" w:eastAsia="仿宋" w:cs="仿宋"/>
          <w:sz w:val="24"/>
        </w:rPr>
        <w:t>法定代表人或其委托代理人：</w:t>
      </w:r>
      <w:r>
        <w:rPr>
          <w:rFonts w:ascii="仿宋" w:hAnsi="仿宋" w:eastAsia="仿宋" w:cs="仿宋"/>
          <w:sz w:val="24"/>
          <w:u w:val="single"/>
        </w:rPr>
        <w:t xml:space="preserve">                             </w:t>
      </w:r>
      <w:r>
        <w:rPr>
          <w:rFonts w:hint="eastAsia" w:ascii="仿宋" w:hAnsi="仿宋" w:eastAsia="仿宋" w:cs="仿宋"/>
          <w:sz w:val="24"/>
        </w:rPr>
        <w:t>（签字或</w:t>
      </w:r>
      <w:r>
        <w:rPr>
          <w:rFonts w:ascii="仿宋" w:hAnsi="仿宋" w:eastAsia="仿宋" w:cs="仿宋"/>
          <w:sz w:val="24"/>
        </w:rPr>
        <w:t>盖章</w:t>
      </w:r>
      <w:r>
        <w:rPr>
          <w:rFonts w:hint="eastAsia" w:ascii="仿宋" w:hAnsi="仿宋" w:eastAsia="仿宋" w:cs="仿宋"/>
          <w:sz w:val="24"/>
        </w:rPr>
        <w:t>）</w:t>
      </w:r>
    </w:p>
    <w:p>
      <w:pPr>
        <w:autoSpaceDE w:val="0"/>
        <w:autoSpaceDN w:val="0"/>
        <w:adjustRightInd w:val="0"/>
        <w:spacing w:line="500" w:lineRule="exact"/>
        <w:ind w:firstLine="480"/>
        <w:jc w:val="righ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keepNext/>
        <w:keepLines/>
        <w:pageBreakBefore/>
        <w:spacing w:line="500" w:lineRule="exact"/>
        <w:jc w:val="left"/>
        <w:rPr>
          <w:rFonts w:ascii="仿宋" w:hAnsi="仿宋" w:eastAsia="仿宋" w:cs="仿宋"/>
          <w:b/>
          <w:bCs/>
          <w:sz w:val="24"/>
        </w:rPr>
      </w:pPr>
      <w:r>
        <w:rPr>
          <w:rFonts w:hint="eastAsia" w:ascii="仿宋" w:hAnsi="仿宋" w:eastAsia="仿宋" w:cs="仿宋"/>
          <w:b/>
          <w:bCs/>
          <w:sz w:val="24"/>
        </w:rPr>
        <w:t>附件三：确认通知</w:t>
      </w: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jc w:val="center"/>
        <w:rPr>
          <w:rFonts w:ascii="仿宋" w:hAnsi="仿宋" w:eastAsia="仿宋" w:cs="仿宋"/>
          <w:sz w:val="24"/>
        </w:rPr>
      </w:pPr>
      <w:r>
        <w:rPr>
          <w:rFonts w:hint="eastAsia" w:ascii="仿宋" w:hAnsi="仿宋" w:eastAsia="仿宋" w:cs="仿宋"/>
          <w:b/>
          <w:bCs/>
          <w:sz w:val="24"/>
        </w:rPr>
        <w:t>确认通知</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i/>
          <w:sz w:val="24"/>
          <w:u w:val="single"/>
        </w:rPr>
        <w:t>（招标人名称）</w:t>
      </w:r>
      <w:r>
        <w:rPr>
          <w:rFonts w:hint="eastAsia" w:ascii="仿宋" w:hAnsi="仿宋" w:eastAsia="仿宋" w:cs="仿宋"/>
          <w:sz w:val="24"/>
        </w:rPr>
        <w:t>：</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pPr>
        <w:spacing w:line="500" w:lineRule="exact"/>
        <w:ind w:firstLine="720" w:firstLineChars="300"/>
        <w:rPr>
          <w:rFonts w:ascii="仿宋" w:hAnsi="仿宋" w:eastAsia="仿宋" w:cs="仿宋"/>
          <w:sz w:val="24"/>
        </w:rPr>
      </w:pPr>
      <w:r>
        <w:rPr>
          <w:rFonts w:hint="eastAsia" w:ascii="仿宋" w:hAnsi="仿宋" w:eastAsia="仿宋" w:cs="仿宋"/>
          <w:sz w:val="24"/>
        </w:rPr>
        <w:t>我方已于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rPr>
        <w:t>日收到你方</w:t>
      </w:r>
      <w:r>
        <w:rPr>
          <w:rFonts w:hint="eastAsia" w:ascii="仿宋" w:hAnsi="仿宋" w:eastAsia="仿宋" w:cs="仿宋"/>
          <w:sz w:val="24"/>
          <w:u w:val="single"/>
        </w:rPr>
        <w:tab/>
      </w:r>
      <w:r>
        <w:rPr>
          <w:rFonts w:hint="eastAsia" w:ascii="仿宋" w:hAnsi="仿宋" w:eastAsia="仿宋" w:cs="仿宋"/>
          <w:sz w:val="24"/>
          <w:u w:val="single"/>
        </w:rPr>
        <w:tab/>
      </w:r>
      <w:r>
        <w:rPr>
          <w:rFonts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ab/>
      </w:r>
      <w:r>
        <w:rPr>
          <w:rFonts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ab/>
      </w:r>
      <w:r>
        <w:rPr>
          <w:rFonts w:ascii="仿宋" w:hAnsi="仿宋" w:eastAsia="仿宋" w:cs="仿宋"/>
          <w:sz w:val="24"/>
          <w:u w:val="single"/>
        </w:rPr>
        <w:t xml:space="preserve"> </w:t>
      </w:r>
      <w:r>
        <w:rPr>
          <w:rFonts w:hint="eastAsia" w:ascii="仿宋" w:hAnsi="仿宋" w:eastAsia="仿宋" w:cs="仿宋"/>
          <w:sz w:val="24"/>
        </w:rPr>
        <w:t>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i/>
          <w:sz w:val="24"/>
          <w:u w:val="single"/>
        </w:rPr>
        <w:t>（项目名称）</w:t>
      </w:r>
      <w:r>
        <w:rPr>
          <w:rFonts w:hint="eastAsia" w:ascii="仿宋" w:hAnsi="仿宋" w:eastAsia="仿宋" w:cs="仿宋"/>
          <w:sz w:val="24"/>
        </w:rPr>
        <w:t>招标的投标邀请书，并确认</w:t>
      </w:r>
      <w:r>
        <w:rPr>
          <w:rFonts w:hint="eastAsia" w:ascii="仿宋" w:hAnsi="仿宋" w:eastAsia="仿宋" w:cs="仿宋"/>
          <w:sz w:val="24"/>
          <w:u w:val="single"/>
        </w:rPr>
        <w:t>（参加</w:t>
      </w:r>
      <w:r>
        <w:rPr>
          <w:rFonts w:ascii="仿宋" w:hAnsi="仿宋" w:eastAsia="仿宋" w:cs="仿宋"/>
          <w:sz w:val="24"/>
          <w:u w:val="single"/>
        </w:rPr>
        <w:t>/不参加）</w:t>
      </w:r>
      <w:r>
        <w:rPr>
          <w:rFonts w:hint="eastAsia" w:ascii="仿宋" w:hAnsi="仿宋" w:eastAsia="仿宋" w:cs="仿宋"/>
          <w:sz w:val="24"/>
        </w:rPr>
        <w:t>投标。</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pPr>
        <w:spacing w:line="500" w:lineRule="exact"/>
        <w:rPr>
          <w:rFonts w:ascii="仿宋" w:hAnsi="仿宋" w:eastAsia="仿宋" w:cs="仿宋"/>
          <w:sz w:val="24"/>
        </w:rPr>
      </w:pPr>
      <w:r>
        <w:rPr>
          <w:rFonts w:hint="eastAsia" w:ascii="仿宋" w:hAnsi="仿宋" w:eastAsia="仿宋" w:cs="仿宋"/>
          <w:sz w:val="24"/>
        </w:rPr>
        <w:t>特此确认。</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被邀请单位名称：</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（盖单位章）</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rPr>
        <w:tab/>
      </w:r>
      <w:r>
        <w:rPr>
          <w:rFonts w:hint="eastAsia" w:ascii="仿宋" w:hAnsi="仿宋" w:eastAsia="仿宋" w:cs="仿宋"/>
          <w:sz w:val="24"/>
        </w:rPr>
        <w:t>（签字或</w:t>
      </w:r>
      <w:r>
        <w:rPr>
          <w:rFonts w:ascii="仿宋" w:hAnsi="仿宋" w:eastAsia="仿宋" w:cs="仿宋"/>
          <w:sz w:val="24"/>
        </w:rPr>
        <w:t>盖章</w:t>
      </w:r>
      <w:r>
        <w:rPr>
          <w:rFonts w:hint="eastAsia" w:ascii="仿宋" w:hAnsi="仿宋" w:eastAsia="仿宋" w:cs="仿宋"/>
          <w:sz w:val="24"/>
        </w:rPr>
        <w:t>）</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年</w:t>
      </w:r>
      <w:r>
        <w:rPr>
          <w:rFonts w:hint="eastAsia" w:ascii="仿宋" w:hAnsi="仿宋" w:eastAsia="仿宋" w:cs="仿宋"/>
          <w:sz w:val="24"/>
        </w:rPr>
        <w:tab/>
      </w:r>
      <w:r>
        <w:rPr>
          <w:rFonts w:hint="eastAsia" w:ascii="仿宋" w:hAnsi="仿宋" w:eastAsia="仿宋" w:cs="仿宋"/>
          <w:sz w:val="24"/>
        </w:rPr>
        <w:t>月</w:t>
      </w:r>
      <w:r>
        <w:rPr>
          <w:rFonts w:hint="eastAsia" w:ascii="仿宋" w:hAnsi="仿宋" w:eastAsia="仿宋" w:cs="仿宋"/>
          <w:sz w:val="24"/>
        </w:rPr>
        <w:tab/>
      </w:r>
      <w:r>
        <w:rPr>
          <w:rFonts w:hint="eastAsia" w:ascii="仿宋" w:hAnsi="仿宋" w:eastAsia="仿宋" w:cs="仿宋"/>
          <w:sz w:val="24"/>
        </w:rPr>
        <w:t>日</w:t>
      </w:r>
    </w:p>
    <w:p>
      <w:pPr>
        <w:pStyle w:val="2"/>
        <w:spacing w:line="500" w:lineRule="exact"/>
        <w:outlineLvl w:val="9"/>
        <w:rPr>
          <w:rFonts w:ascii="仿宋" w:hAnsi="仿宋" w:eastAsia="仿宋" w:cs="仿宋"/>
          <w:sz w:val="24"/>
        </w:rPr>
      </w:pPr>
    </w:p>
    <w:p>
      <w:pPr>
        <w:pStyle w:val="2"/>
        <w:spacing w:line="500" w:lineRule="exact"/>
        <w:outlineLvl w:val="9"/>
        <w:rPr>
          <w:rFonts w:ascii="仿宋" w:hAnsi="仿宋" w:eastAsia="仿宋" w:cs="仿宋"/>
          <w:sz w:val="24"/>
        </w:rPr>
      </w:pPr>
    </w:p>
    <w:p>
      <w:pPr>
        <w:pStyle w:val="2"/>
        <w:spacing w:line="540" w:lineRule="exact"/>
        <w:outlineLvl w:val="9"/>
        <w:rPr>
          <w:rFonts w:ascii="仿宋" w:hAnsi="仿宋" w:eastAsia="仿宋" w:cs="仿宋"/>
          <w:sz w:val="24"/>
        </w:rPr>
      </w:pPr>
    </w:p>
    <w:p>
      <w:pPr>
        <w:pStyle w:val="2"/>
        <w:spacing w:line="540" w:lineRule="exact"/>
        <w:outlineLvl w:val="9"/>
        <w:rPr>
          <w:rFonts w:ascii="仿宋" w:hAnsi="仿宋" w:eastAsia="仿宋" w:cs="仿宋"/>
          <w:sz w:val="24"/>
        </w:rPr>
      </w:pPr>
    </w:p>
    <w:p>
      <w:pPr>
        <w:pStyle w:val="2"/>
        <w:spacing w:line="540" w:lineRule="exact"/>
        <w:ind w:firstLine="480"/>
        <w:outlineLvl w:val="9"/>
        <w:rPr>
          <w:rFonts w:ascii="仿宋" w:hAnsi="仿宋" w:eastAsia="仿宋" w:cs="仿宋"/>
          <w:sz w:val="24"/>
        </w:rPr>
      </w:pPr>
    </w:p>
    <w:p>
      <w:pPr>
        <w:pStyle w:val="2"/>
        <w:spacing w:line="540" w:lineRule="exact"/>
        <w:ind w:firstLine="480"/>
        <w:outlineLvl w:val="9"/>
        <w:rPr>
          <w:rFonts w:ascii="仿宋" w:hAnsi="仿宋" w:eastAsia="仿宋" w:cs="仿宋"/>
          <w:sz w:val="24"/>
        </w:rPr>
      </w:pPr>
    </w:p>
    <w:p>
      <w:pPr>
        <w:pStyle w:val="2"/>
        <w:spacing w:line="540" w:lineRule="exact"/>
        <w:ind w:firstLine="480"/>
        <w:outlineLvl w:val="9"/>
        <w:rPr>
          <w:rFonts w:ascii="仿宋" w:hAnsi="仿宋" w:eastAsia="仿宋" w:cs="仿宋"/>
          <w:sz w:val="24"/>
        </w:rPr>
      </w:pPr>
    </w:p>
    <w:p>
      <w:pPr>
        <w:pStyle w:val="4"/>
        <w:snapToGrid w:val="0"/>
        <w:spacing w:before="0" w:after="0" w:line="300" w:lineRule="auto"/>
        <w:jc w:val="center"/>
      </w:pPr>
      <w:bookmarkStart w:id="46" w:name="_Toc8556"/>
      <w:r>
        <w:rPr>
          <w:rFonts w:hint="eastAsia"/>
        </w:rPr>
        <w:t>第二章 投标人须知</w:t>
      </w:r>
      <w:bookmarkEnd w:id="12"/>
      <w:bookmarkEnd w:id="13"/>
      <w:bookmarkEnd w:id="14"/>
      <w:bookmarkEnd w:id="15"/>
      <w:bookmarkEnd w:id="16"/>
      <w:bookmarkEnd w:id="46"/>
    </w:p>
    <w:p>
      <w:pPr>
        <w:pStyle w:val="5"/>
        <w:snapToGrid w:val="0"/>
        <w:spacing w:before="0" w:after="0" w:line="300" w:lineRule="auto"/>
      </w:pPr>
      <w:bookmarkStart w:id="47" w:name="_Toc3997836"/>
      <w:bookmarkStart w:id="48" w:name="_Toc144974496"/>
      <w:bookmarkStart w:id="49" w:name="_Toc152045528"/>
      <w:bookmarkStart w:id="50" w:name="_Toc152042304"/>
      <w:bookmarkStart w:id="51" w:name="_Toc247527552"/>
      <w:bookmarkStart w:id="52" w:name="_Toc247513951"/>
      <w:bookmarkStart w:id="53" w:name="_Toc24185"/>
      <w:r>
        <w:rPr>
          <w:rFonts w:hint="eastAsia"/>
        </w:rPr>
        <w:t>投标人须知前附表</w:t>
      </w:r>
      <w:bookmarkEnd w:id="47"/>
      <w:bookmarkEnd w:id="48"/>
      <w:bookmarkEnd w:id="49"/>
      <w:bookmarkEnd w:id="50"/>
      <w:bookmarkEnd w:id="51"/>
      <w:bookmarkEnd w:id="52"/>
      <w:bookmarkEnd w:id="53"/>
    </w:p>
    <w:tbl>
      <w:tblPr>
        <w:tblStyle w:val="22"/>
        <w:tblW w:w="829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062"/>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b/>
                <w:szCs w:val="21"/>
              </w:rPr>
            </w:pPr>
            <w:r>
              <w:rPr>
                <w:b/>
                <w:szCs w:val="21"/>
              </w:rPr>
              <w:t>条款号</w:t>
            </w:r>
          </w:p>
        </w:tc>
        <w:tc>
          <w:tcPr>
            <w:tcW w:w="2062" w:type="dxa"/>
            <w:vAlign w:val="center"/>
          </w:tcPr>
          <w:p>
            <w:pPr>
              <w:spacing w:line="440" w:lineRule="exact"/>
              <w:jc w:val="center"/>
              <w:rPr>
                <w:b/>
                <w:szCs w:val="21"/>
              </w:rPr>
            </w:pPr>
            <w:r>
              <w:rPr>
                <w:b/>
                <w:szCs w:val="21"/>
              </w:rPr>
              <w:t>条  款  名  称</w:t>
            </w:r>
          </w:p>
        </w:tc>
        <w:tc>
          <w:tcPr>
            <w:tcW w:w="5203" w:type="dxa"/>
            <w:vAlign w:val="center"/>
          </w:tcPr>
          <w:p>
            <w:pPr>
              <w:spacing w:line="440" w:lineRule="exact"/>
              <w:jc w:val="center"/>
              <w:rPr>
                <w:b/>
                <w:szCs w:val="21"/>
              </w:rPr>
            </w:pPr>
            <w:r>
              <w:rPr>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1.1.2</w:t>
            </w:r>
          </w:p>
        </w:tc>
        <w:tc>
          <w:tcPr>
            <w:tcW w:w="2062" w:type="dxa"/>
            <w:vAlign w:val="center"/>
          </w:tcPr>
          <w:p>
            <w:pPr>
              <w:spacing w:line="440" w:lineRule="exact"/>
              <w:jc w:val="center"/>
              <w:rPr>
                <w:szCs w:val="21"/>
              </w:rPr>
            </w:pPr>
            <w:r>
              <w:rPr>
                <w:szCs w:val="21"/>
              </w:rPr>
              <w:t>招标人</w:t>
            </w:r>
          </w:p>
        </w:tc>
        <w:tc>
          <w:tcPr>
            <w:tcW w:w="5203" w:type="dxa"/>
            <w:vAlign w:val="center"/>
          </w:tcPr>
          <w:p>
            <w:pPr>
              <w:spacing w:line="440" w:lineRule="exact"/>
              <w:rPr>
                <w:szCs w:val="21"/>
              </w:rPr>
            </w:pPr>
            <w:r>
              <w:rPr>
                <w:szCs w:val="21"/>
              </w:rPr>
              <w:t>名称：</w:t>
            </w:r>
          </w:p>
          <w:p>
            <w:pPr>
              <w:spacing w:line="440" w:lineRule="exact"/>
              <w:rPr>
                <w:szCs w:val="21"/>
              </w:rPr>
            </w:pPr>
            <w:r>
              <w:rPr>
                <w:szCs w:val="21"/>
              </w:rPr>
              <w:t>地址：</w:t>
            </w:r>
          </w:p>
          <w:p>
            <w:pPr>
              <w:spacing w:line="440" w:lineRule="exact"/>
              <w:rPr>
                <w:szCs w:val="21"/>
              </w:rPr>
            </w:pPr>
            <w:r>
              <w:rPr>
                <w:szCs w:val="21"/>
              </w:rPr>
              <w:t>联系人：</w:t>
            </w:r>
          </w:p>
          <w:p>
            <w:pPr>
              <w:spacing w:line="440" w:lineRule="exact"/>
              <w:rPr>
                <w:szCs w:val="21"/>
              </w:rPr>
            </w:pPr>
            <w:r>
              <w:rPr>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1.1.3</w:t>
            </w:r>
          </w:p>
        </w:tc>
        <w:tc>
          <w:tcPr>
            <w:tcW w:w="2062" w:type="dxa"/>
            <w:vAlign w:val="center"/>
          </w:tcPr>
          <w:p>
            <w:pPr>
              <w:spacing w:line="440" w:lineRule="exact"/>
              <w:jc w:val="center"/>
              <w:rPr>
                <w:szCs w:val="21"/>
              </w:rPr>
            </w:pPr>
            <w:r>
              <w:rPr>
                <w:szCs w:val="21"/>
              </w:rPr>
              <w:t>招标代理机构</w:t>
            </w:r>
          </w:p>
        </w:tc>
        <w:tc>
          <w:tcPr>
            <w:tcW w:w="5203" w:type="dxa"/>
            <w:vAlign w:val="center"/>
          </w:tcPr>
          <w:p>
            <w:pPr>
              <w:spacing w:line="440" w:lineRule="exact"/>
              <w:rPr>
                <w:szCs w:val="21"/>
              </w:rPr>
            </w:pPr>
            <w:r>
              <w:rPr>
                <w:szCs w:val="21"/>
              </w:rPr>
              <w:t>名称：</w:t>
            </w:r>
          </w:p>
          <w:p>
            <w:pPr>
              <w:spacing w:line="440" w:lineRule="exact"/>
              <w:rPr>
                <w:szCs w:val="21"/>
              </w:rPr>
            </w:pPr>
            <w:r>
              <w:rPr>
                <w:szCs w:val="21"/>
              </w:rPr>
              <w:t>地址：</w:t>
            </w:r>
          </w:p>
          <w:p>
            <w:pPr>
              <w:spacing w:line="440" w:lineRule="exact"/>
              <w:rPr>
                <w:szCs w:val="21"/>
              </w:rPr>
            </w:pPr>
            <w:r>
              <w:rPr>
                <w:szCs w:val="21"/>
              </w:rPr>
              <w:t>联系人：</w:t>
            </w:r>
          </w:p>
          <w:p>
            <w:pPr>
              <w:spacing w:line="440" w:lineRule="exact"/>
              <w:rPr>
                <w:szCs w:val="21"/>
              </w:rPr>
            </w:pPr>
            <w:r>
              <w:rPr>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1.1.4</w:t>
            </w:r>
          </w:p>
        </w:tc>
        <w:tc>
          <w:tcPr>
            <w:tcW w:w="2062" w:type="dxa"/>
            <w:vAlign w:val="center"/>
          </w:tcPr>
          <w:p>
            <w:pPr>
              <w:spacing w:line="440" w:lineRule="exact"/>
              <w:jc w:val="center"/>
              <w:rPr>
                <w:szCs w:val="21"/>
              </w:rPr>
            </w:pPr>
            <w:r>
              <w:rPr>
                <w:szCs w:val="21"/>
              </w:rPr>
              <w:t>项目名称</w:t>
            </w:r>
          </w:p>
        </w:tc>
        <w:tc>
          <w:tcPr>
            <w:tcW w:w="5203" w:type="dxa"/>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1.1.5</w:t>
            </w:r>
          </w:p>
        </w:tc>
        <w:tc>
          <w:tcPr>
            <w:tcW w:w="2062" w:type="dxa"/>
            <w:vAlign w:val="center"/>
          </w:tcPr>
          <w:p>
            <w:pPr>
              <w:spacing w:line="440" w:lineRule="exact"/>
              <w:jc w:val="center"/>
              <w:rPr>
                <w:szCs w:val="21"/>
              </w:rPr>
            </w:pPr>
            <w:r>
              <w:rPr>
                <w:szCs w:val="21"/>
              </w:rPr>
              <w:t>建设地点</w:t>
            </w:r>
          </w:p>
        </w:tc>
        <w:tc>
          <w:tcPr>
            <w:tcW w:w="5203" w:type="dxa"/>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1.2.1</w:t>
            </w:r>
          </w:p>
        </w:tc>
        <w:tc>
          <w:tcPr>
            <w:tcW w:w="2062" w:type="dxa"/>
            <w:vAlign w:val="center"/>
          </w:tcPr>
          <w:p>
            <w:pPr>
              <w:spacing w:line="440" w:lineRule="exact"/>
              <w:jc w:val="center"/>
              <w:rPr>
                <w:szCs w:val="21"/>
              </w:rPr>
            </w:pPr>
            <w:r>
              <w:rPr>
                <w:szCs w:val="21"/>
              </w:rPr>
              <w:t>资金来源</w:t>
            </w:r>
            <w:r>
              <w:rPr>
                <w:rFonts w:hint="eastAsia"/>
                <w:szCs w:val="21"/>
              </w:rPr>
              <w:t>及比例</w:t>
            </w:r>
          </w:p>
        </w:tc>
        <w:tc>
          <w:tcPr>
            <w:tcW w:w="5203" w:type="dxa"/>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1.2.</w:t>
            </w:r>
            <w:r>
              <w:rPr>
                <w:rFonts w:hint="eastAsia"/>
                <w:szCs w:val="21"/>
              </w:rPr>
              <w:t>2</w:t>
            </w:r>
          </w:p>
        </w:tc>
        <w:tc>
          <w:tcPr>
            <w:tcW w:w="2062" w:type="dxa"/>
            <w:vAlign w:val="center"/>
          </w:tcPr>
          <w:p>
            <w:pPr>
              <w:spacing w:line="440" w:lineRule="exact"/>
              <w:jc w:val="center"/>
              <w:rPr>
                <w:szCs w:val="21"/>
              </w:rPr>
            </w:pPr>
            <w:r>
              <w:rPr>
                <w:rFonts w:hint="eastAsia"/>
                <w:szCs w:val="21"/>
              </w:rPr>
              <w:t>资金</w:t>
            </w:r>
            <w:r>
              <w:rPr>
                <w:szCs w:val="21"/>
              </w:rPr>
              <w:t>落实情况</w:t>
            </w:r>
          </w:p>
        </w:tc>
        <w:tc>
          <w:tcPr>
            <w:tcW w:w="5203" w:type="dxa"/>
            <w:vAlign w:val="center"/>
          </w:tcPr>
          <w:p>
            <w:pPr>
              <w:spacing w:line="440" w:lineRule="exact"/>
              <w:rPr>
                <w:szCs w:val="21"/>
              </w:rPr>
            </w:pPr>
            <w:r>
              <w:rPr>
                <w:rFonts w:hint="eastAsia"/>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1.</w:t>
            </w:r>
            <w:r>
              <w:rPr>
                <w:rFonts w:hint="eastAsia"/>
                <w:szCs w:val="21"/>
              </w:rPr>
              <w:t>3</w:t>
            </w:r>
            <w:r>
              <w:rPr>
                <w:szCs w:val="21"/>
              </w:rPr>
              <w:t>.1</w:t>
            </w:r>
          </w:p>
        </w:tc>
        <w:tc>
          <w:tcPr>
            <w:tcW w:w="2062" w:type="dxa"/>
            <w:vAlign w:val="center"/>
          </w:tcPr>
          <w:p>
            <w:pPr>
              <w:spacing w:line="440" w:lineRule="exact"/>
              <w:jc w:val="center"/>
              <w:rPr>
                <w:szCs w:val="21"/>
              </w:rPr>
            </w:pPr>
            <w:r>
              <w:rPr>
                <w:szCs w:val="21"/>
              </w:rPr>
              <w:t>招标范围</w:t>
            </w:r>
          </w:p>
        </w:tc>
        <w:tc>
          <w:tcPr>
            <w:tcW w:w="5203" w:type="dxa"/>
            <w:vAlign w:val="center"/>
          </w:tcPr>
          <w:p>
            <w:pPr>
              <w:spacing w:line="360" w:lineRule="exact"/>
              <w:rPr>
                <w:szCs w:val="21"/>
              </w:rPr>
            </w:pPr>
            <w:r>
              <w:rPr>
                <w:rFonts w:hint="eastAsia"/>
                <w:szCs w:val="21"/>
              </w:rPr>
              <w:t>本项目的</w:t>
            </w:r>
            <w:r>
              <w:rPr>
                <w:szCs w:val="21"/>
              </w:rPr>
              <w:t>代建服务</w:t>
            </w:r>
            <w:r>
              <w:rPr>
                <w:rFonts w:hint="eastAsia"/>
                <w:i/>
                <w:szCs w:val="21"/>
                <w:u w:val="single"/>
              </w:rPr>
              <w:t>（包含项目管理、可行性研究报告编制、勘察、造价咨询、招标代理）</w:t>
            </w:r>
            <w:r>
              <w:rPr>
                <w:rFonts w:hint="eastAsia"/>
                <w:szCs w:val="21"/>
              </w:rPr>
              <w:t>，</w:t>
            </w:r>
            <w:r>
              <w:rPr>
                <w:szCs w:val="21"/>
              </w:rPr>
              <w:t>具体</w:t>
            </w:r>
            <w:r>
              <w:rPr>
                <w:rFonts w:hint="eastAsia"/>
                <w:szCs w:val="21"/>
              </w:rPr>
              <w:t>详见</w:t>
            </w:r>
            <w:r>
              <w:rPr>
                <w:szCs w:val="21"/>
              </w:rPr>
              <w:t>第五章“</w:t>
            </w:r>
            <w:r>
              <w:rPr>
                <w:rFonts w:hint="eastAsia"/>
                <w:szCs w:val="21"/>
              </w:rPr>
              <w:t>发包人提供的资料及要求</w:t>
            </w:r>
            <w:r>
              <w:rPr>
                <w:szCs w:val="21"/>
              </w:rPr>
              <w:t>”</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1.3.2</w:t>
            </w:r>
          </w:p>
        </w:tc>
        <w:tc>
          <w:tcPr>
            <w:tcW w:w="2062" w:type="dxa"/>
            <w:vAlign w:val="center"/>
          </w:tcPr>
          <w:p>
            <w:pPr>
              <w:spacing w:line="440" w:lineRule="exact"/>
              <w:jc w:val="center"/>
              <w:rPr>
                <w:rFonts w:eastAsia="Calibri"/>
                <w:szCs w:val="21"/>
              </w:rPr>
            </w:pPr>
            <w:r>
              <w:rPr>
                <w:rFonts w:hint="eastAsia"/>
                <w:szCs w:val="21"/>
              </w:rPr>
              <w:t>服务周期</w:t>
            </w:r>
          </w:p>
        </w:tc>
        <w:tc>
          <w:tcPr>
            <w:tcW w:w="5203" w:type="dxa"/>
            <w:vAlign w:val="center"/>
          </w:tcPr>
          <w:p>
            <w:pPr>
              <w:spacing w:line="360" w:lineRule="exact"/>
              <w:rPr>
                <w:iCs/>
                <w:szCs w:val="21"/>
              </w:rPr>
            </w:pPr>
            <w:r>
              <w:rPr>
                <w:rFonts w:hint="eastAsia"/>
                <w:iCs/>
                <w:szCs w:val="21"/>
              </w:rPr>
              <w:t>周期为合同生效起到固定资产移交手续完成止。其中合同生效之日起至工程竣工验收合格之日止为</w:t>
            </w:r>
            <w:r>
              <w:rPr>
                <w:iCs/>
                <w:szCs w:val="21"/>
                <w:u w:val="single"/>
              </w:rPr>
              <w:t xml:space="preserve">    </w:t>
            </w:r>
            <w:r>
              <w:rPr>
                <w:rFonts w:hint="eastAsia"/>
                <w:iCs/>
                <w:szCs w:val="21"/>
              </w:rPr>
              <w:t>日；竣工验收合格后</w:t>
            </w:r>
            <w:r>
              <w:rPr>
                <w:iCs/>
                <w:szCs w:val="21"/>
              </w:rPr>
              <w:t>3</w:t>
            </w:r>
            <w:r>
              <w:rPr>
                <w:rFonts w:hint="eastAsia"/>
                <w:iCs/>
                <w:szCs w:val="21"/>
              </w:rPr>
              <w:t>个月内</w:t>
            </w:r>
            <w:r>
              <w:rPr>
                <w:rFonts w:hint="eastAsia"/>
                <w:i/>
                <w:iCs/>
                <w:szCs w:val="21"/>
              </w:rPr>
              <w:t>（大型项目不得超过</w:t>
            </w:r>
            <w:r>
              <w:rPr>
                <w:i/>
                <w:iCs/>
                <w:szCs w:val="21"/>
              </w:rPr>
              <w:t>6</w:t>
            </w:r>
            <w:r>
              <w:rPr>
                <w:rFonts w:hint="eastAsia"/>
                <w:i/>
                <w:iCs/>
                <w:szCs w:val="21"/>
              </w:rPr>
              <w:t>个月）</w:t>
            </w:r>
            <w:r>
              <w:rPr>
                <w:rFonts w:hint="eastAsia"/>
                <w:iCs/>
                <w:szCs w:val="21"/>
              </w:rPr>
              <w:t>向省级项目主管部门申请办理竣工财务决算审批，并按合同约定向项目单位办理固定资产移交手续。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1.3.3</w:t>
            </w:r>
          </w:p>
        </w:tc>
        <w:tc>
          <w:tcPr>
            <w:tcW w:w="2062" w:type="dxa"/>
            <w:vAlign w:val="center"/>
          </w:tcPr>
          <w:p>
            <w:pPr>
              <w:spacing w:line="440" w:lineRule="exact"/>
              <w:jc w:val="center"/>
              <w:rPr>
                <w:szCs w:val="21"/>
              </w:rPr>
            </w:pPr>
            <w:r>
              <w:rPr>
                <w:szCs w:val="21"/>
              </w:rPr>
              <w:t>质量</w:t>
            </w:r>
            <w:r>
              <w:rPr>
                <w:rFonts w:hint="eastAsia"/>
                <w:szCs w:val="21"/>
              </w:rPr>
              <w:t>标准</w:t>
            </w:r>
          </w:p>
        </w:tc>
        <w:tc>
          <w:tcPr>
            <w:tcW w:w="5203" w:type="dxa"/>
            <w:vAlign w:val="center"/>
          </w:tcPr>
          <w:p>
            <w:pPr>
              <w:spacing w:line="440" w:lineRule="exact"/>
              <w:rPr>
                <w:szCs w:val="21"/>
              </w:rPr>
            </w:pPr>
            <w:r>
              <w:rPr>
                <w:rFonts w:hint="eastAsia"/>
                <w:szCs w:val="21"/>
              </w:rPr>
              <w:t>依照国家</w:t>
            </w:r>
            <w:r>
              <w:rPr>
                <w:rFonts w:hint="eastAsia"/>
                <w:szCs w:val="21"/>
                <w:u w:val="single"/>
              </w:rPr>
              <w:t>《       》（</w:t>
            </w:r>
            <w:r>
              <w:rPr>
                <w:rFonts w:hint="eastAsia" w:ascii="宋体" w:hAnsi="宋体" w:eastAsia="宋体" w:cs="宋体"/>
                <w:i/>
                <w:szCs w:val="21"/>
              </w:rPr>
              <w:t>相应法定质量标准）</w:t>
            </w:r>
            <w:r>
              <w:rPr>
                <w:rFonts w:hint="eastAsia"/>
                <w:szCs w:val="21"/>
              </w:rPr>
              <w:t>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28" w:type="dxa"/>
            <w:vAlign w:val="center"/>
          </w:tcPr>
          <w:p>
            <w:pPr>
              <w:spacing w:line="360" w:lineRule="exact"/>
              <w:jc w:val="center"/>
              <w:rPr>
                <w:szCs w:val="21"/>
              </w:rPr>
            </w:pPr>
            <w:r>
              <w:rPr>
                <w:szCs w:val="21"/>
              </w:rPr>
              <w:t>1.4.1</w:t>
            </w:r>
          </w:p>
        </w:tc>
        <w:tc>
          <w:tcPr>
            <w:tcW w:w="2062" w:type="dxa"/>
            <w:vAlign w:val="center"/>
          </w:tcPr>
          <w:p>
            <w:pPr>
              <w:spacing w:line="360" w:lineRule="exact"/>
              <w:jc w:val="center"/>
              <w:rPr>
                <w:szCs w:val="21"/>
              </w:rPr>
            </w:pPr>
            <w:r>
              <w:rPr>
                <w:szCs w:val="21"/>
              </w:rPr>
              <w:t>投标人资</w:t>
            </w:r>
            <w:r>
              <w:rPr>
                <w:rFonts w:hint="eastAsia"/>
                <w:szCs w:val="21"/>
              </w:rPr>
              <w:t>格</w:t>
            </w:r>
            <w:r>
              <w:rPr>
                <w:szCs w:val="21"/>
              </w:rPr>
              <w:t>条件</w:t>
            </w:r>
          </w:p>
        </w:tc>
        <w:tc>
          <w:tcPr>
            <w:tcW w:w="5203" w:type="dxa"/>
            <w:vAlign w:val="center"/>
          </w:tcPr>
          <w:p>
            <w:pPr>
              <w:spacing w:line="360" w:lineRule="exact"/>
              <w:rPr>
                <w:rFonts w:eastAsia="Calibri"/>
                <w:szCs w:val="21"/>
              </w:rPr>
            </w:pPr>
            <w:r>
              <w:rPr>
                <w:szCs w:val="21"/>
              </w:rPr>
              <w:t xml:space="preserve">1  </w:t>
            </w:r>
            <w:r>
              <w:rPr>
                <w:rFonts w:hint="eastAsia"/>
                <w:szCs w:val="21"/>
              </w:rPr>
              <w:t>具有有效的营业执照或事业单位法人证书。</w:t>
            </w:r>
          </w:p>
          <w:p>
            <w:pPr>
              <w:spacing w:line="360" w:lineRule="exact"/>
              <w:rPr>
                <w:szCs w:val="21"/>
              </w:rPr>
            </w:pPr>
            <w:r>
              <w:rPr>
                <w:szCs w:val="21"/>
              </w:rPr>
              <w:t xml:space="preserve">2  </w:t>
            </w:r>
            <w:r>
              <w:rPr>
                <w:rFonts w:hint="eastAsia"/>
                <w:szCs w:val="21"/>
              </w:rPr>
              <w:t>同时具备以下要求：</w:t>
            </w:r>
          </w:p>
          <w:p>
            <w:pPr>
              <w:spacing w:line="360" w:lineRule="exact"/>
              <w:rPr>
                <w:szCs w:val="21"/>
              </w:rPr>
            </w:pPr>
            <w:r>
              <w:rPr>
                <w:szCs w:val="21"/>
              </w:rPr>
              <w:t>2.1</w:t>
            </w:r>
            <w:r>
              <w:rPr>
                <w:rFonts w:hint="eastAsia"/>
                <w:szCs w:val="21"/>
              </w:rPr>
              <w:t>具备项目管理能力（提供履行合同所必需的专业技术能力的证明材料，如合同或技术人员证书）。</w:t>
            </w:r>
          </w:p>
          <w:p>
            <w:pPr>
              <w:spacing w:line="360" w:lineRule="exact"/>
              <w:rPr>
                <w:szCs w:val="21"/>
              </w:rPr>
            </w:pPr>
            <w:r>
              <w:rPr>
                <w:rFonts w:hint="eastAsia"/>
                <w:szCs w:val="21"/>
              </w:rPr>
              <w:t>拟派代建项目经理要求：具备</w:t>
            </w:r>
            <w:r>
              <w:rPr>
                <w:rFonts w:hint="eastAsia"/>
                <w:i/>
                <w:szCs w:val="21"/>
                <w:u w:val="single"/>
              </w:rPr>
              <w:t>（专业工程）</w:t>
            </w:r>
            <w:r>
              <w:rPr>
                <w:rFonts w:hint="eastAsia"/>
                <w:szCs w:val="21"/>
              </w:rPr>
              <w:t>专业</w:t>
            </w:r>
            <w:r>
              <w:rPr>
                <w:szCs w:val="21"/>
                <w:u w:val="single"/>
              </w:rPr>
              <w:t xml:space="preserve">   </w:t>
            </w:r>
            <w:r>
              <w:rPr>
                <w:rFonts w:hint="eastAsia"/>
                <w:szCs w:val="21"/>
              </w:rPr>
              <w:t>级及以上注册建造师执业资格或具备</w:t>
            </w:r>
            <w:r>
              <w:rPr>
                <w:rFonts w:hint="eastAsia"/>
                <w:i/>
                <w:szCs w:val="21"/>
                <w:u w:val="single"/>
              </w:rPr>
              <w:t>（专业工程）</w:t>
            </w:r>
            <w:r>
              <w:rPr>
                <w:rFonts w:hint="eastAsia"/>
                <w:szCs w:val="21"/>
              </w:rPr>
              <w:t>国家注册监理工程师资格，并具备高级工程师及以上职称。代建项目经理无在建项目。（投标人为联合体时，代建项目经理应为牵头人单位人员）</w:t>
            </w:r>
          </w:p>
          <w:p>
            <w:pPr>
              <w:spacing w:line="360" w:lineRule="exact"/>
              <w:rPr>
                <w:szCs w:val="21"/>
              </w:rPr>
            </w:pPr>
            <w:r>
              <w:rPr>
                <w:szCs w:val="21"/>
              </w:rPr>
              <w:t>2.2</w:t>
            </w:r>
            <w:r>
              <w:rPr>
                <w:rFonts w:hint="eastAsia"/>
                <w:szCs w:val="21"/>
              </w:rPr>
              <w:t>具备可行性研究报告编制能力（提供履行合同所必需的专业技术能力的证明材料，如合同或技术人员证书）。</w:t>
            </w:r>
          </w:p>
          <w:p>
            <w:pPr>
              <w:spacing w:line="360" w:lineRule="exact"/>
              <w:rPr>
                <w:szCs w:val="21"/>
              </w:rPr>
            </w:pPr>
            <w:r>
              <w:rPr>
                <w:rFonts w:hint="eastAsia"/>
                <w:szCs w:val="21"/>
              </w:rPr>
              <w:t>拟派专业负责人要求：具备</w:t>
            </w:r>
            <w:r>
              <w:rPr>
                <w:rFonts w:hint="eastAsia"/>
                <w:i/>
                <w:szCs w:val="21"/>
                <w:u w:val="single"/>
              </w:rPr>
              <w:t>（专业工程）</w:t>
            </w:r>
            <w:r>
              <w:rPr>
                <w:rFonts w:hint="eastAsia"/>
                <w:szCs w:val="21"/>
              </w:rPr>
              <w:t xml:space="preserve"> 专业咨询工程师职业资格。</w:t>
            </w:r>
          </w:p>
          <w:p>
            <w:pPr>
              <w:spacing w:line="360" w:lineRule="exact"/>
              <w:rPr>
                <w:szCs w:val="21"/>
              </w:rPr>
            </w:pPr>
            <w:r>
              <w:rPr>
                <w:szCs w:val="21"/>
              </w:rPr>
              <w:t xml:space="preserve">2.3 </w:t>
            </w:r>
            <w:r>
              <w:rPr>
                <w:rFonts w:hint="eastAsia"/>
                <w:szCs w:val="21"/>
              </w:rPr>
              <w:t>具备造价咨询能力（提供履行合同所必需的专业技术能力的证明材料，如合同或技术人员证书）。</w:t>
            </w:r>
          </w:p>
          <w:p>
            <w:pPr>
              <w:spacing w:line="360" w:lineRule="exact"/>
              <w:rPr>
                <w:szCs w:val="21"/>
              </w:rPr>
            </w:pPr>
            <w:r>
              <w:rPr>
                <w:rFonts w:hint="eastAsia"/>
                <w:szCs w:val="21"/>
              </w:rPr>
              <w:t>拟派专业负责人要求：具备</w:t>
            </w:r>
            <w:r>
              <w:rPr>
                <w:rFonts w:hint="eastAsia"/>
                <w:i/>
                <w:szCs w:val="21"/>
                <w:u w:val="single"/>
              </w:rPr>
              <w:t>（专业工程）</w:t>
            </w:r>
            <w:r>
              <w:rPr>
                <w:szCs w:val="21"/>
              </w:rPr>
              <w:t xml:space="preserve"> </w:t>
            </w:r>
            <w:r>
              <w:rPr>
                <w:rFonts w:hint="eastAsia"/>
                <w:szCs w:val="21"/>
              </w:rPr>
              <w:t>一级造价工程师执业资格。</w:t>
            </w:r>
          </w:p>
          <w:p>
            <w:pPr>
              <w:spacing w:line="360" w:lineRule="exact"/>
              <w:rPr>
                <w:szCs w:val="21"/>
              </w:rPr>
            </w:pPr>
            <w:r>
              <w:rPr>
                <w:szCs w:val="21"/>
              </w:rPr>
              <w:t>2.4</w:t>
            </w:r>
            <w:r>
              <w:rPr>
                <w:rFonts w:hint="eastAsia"/>
                <w:szCs w:val="21"/>
              </w:rPr>
              <w:t>具备招标代理服务能力（提供履行合同所必需的专业技术能力的证明材料，如合同或技术人员证书）。拟派专业负责人要求：具备</w:t>
            </w:r>
            <w:r>
              <w:rPr>
                <w:rFonts w:hint="eastAsia"/>
                <w:i/>
                <w:szCs w:val="21"/>
                <w:u w:val="single"/>
              </w:rPr>
              <w:t>（专业工程）</w:t>
            </w:r>
            <w:r>
              <w:rPr>
                <w:rFonts w:hint="eastAsia"/>
                <w:szCs w:val="21"/>
              </w:rPr>
              <w:t>工程师及以上职称。</w:t>
            </w:r>
          </w:p>
          <w:p>
            <w:pPr>
              <w:spacing w:line="360" w:lineRule="exact"/>
              <w:rPr>
                <w:szCs w:val="21"/>
              </w:rPr>
            </w:pPr>
            <w:r>
              <w:rPr>
                <w:szCs w:val="21"/>
              </w:rPr>
              <w:t>2.5</w:t>
            </w:r>
            <w:r>
              <w:rPr>
                <w:rFonts w:hint="eastAsia"/>
                <w:szCs w:val="21"/>
              </w:rPr>
              <w:t>具备勘察综合类甲级资质或</w:t>
            </w:r>
            <w:r>
              <w:rPr>
                <w:rFonts w:hint="eastAsia"/>
                <w:i/>
                <w:szCs w:val="21"/>
                <w:u w:val="single"/>
              </w:rPr>
              <w:t>（专业工程）</w:t>
            </w:r>
            <w:r>
              <w:rPr>
                <w:rFonts w:hint="eastAsia"/>
                <w:szCs w:val="21"/>
              </w:rPr>
              <w:t>勘察</w:t>
            </w:r>
            <w:r>
              <w:rPr>
                <w:szCs w:val="21"/>
                <w:u w:val="single"/>
              </w:rPr>
              <w:t xml:space="preserve">   </w:t>
            </w:r>
            <w:r>
              <w:rPr>
                <w:rFonts w:hint="eastAsia"/>
                <w:szCs w:val="21"/>
              </w:rPr>
              <w:t>级及以上资质。</w:t>
            </w:r>
          </w:p>
          <w:p>
            <w:pPr>
              <w:spacing w:line="360" w:lineRule="exact"/>
            </w:pPr>
            <w:r>
              <w:rPr>
                <w:rFonts w:hint="eastAsia"/>
                <w:szCs w:val="21"/>
              </w:rPr>
              <w:t>拟派专业负责人要求：具备注册</w:t>
            </w:r>
            <w:r>
              <w:rPr>
                <w:rFonts w:hint="eastAsia"/>
                <w:i/>
                <w:szCs w:val="21"/>
                <w:u w:val="single"/>
              </w:rPr>
              <w:t>（专业工程）</w:t>
            </w:r>
            <w:r>
              <w:rPr>
                <w:rFonts w:hint="eastAsia"/>
                <w:szCs w:val="21"/>
              </w:rPr>
              <w:t>执业资格。</w:t>
            </w:r>
          </w:p>
          <w:p>
            <w:pPr>
              <w:spacing w:line="360" w:lineRule="exact"/>
              <w:rPr>
                <w:szCs w:val="21"/>
              </w:rPr>
            </w:pPr>
            <w:r>
              <w:rPr>
                <w:rFonts w:hint="eastAsia"/>
                <w:szCs w:val="21"/>
              </w:rPr>
              <w:t>□</w:t>
            </w:r>
            <w:r>
              <w:rPr>
                <w:szCs w:val="21"/>
              </w:rPr>
              <w:t>2.6</w:t>
            </w:r>
            <w:r>
              <w:rPr>
                <w:rFonts w:hint="eastAsia"/>
                <w:szCs w:val="21"/>
              </w:rPr>
              <w:t xml:space="preserve">其他要求：满足《中华人民共和国保守国家秘密法》和 </w:t>
            </w:r>
            <w:r>
              <w:rPr>
                <w:szCs w:val="21"/>
                <w:u w:val="single"/>
              </w:rPr>
              <w:t xml:space="preserve">       </w:t>
            </w:r>
            <w:r>
              <w:rPr>
                <w:rFonts w:hint="eastAsia"/>
                <w:i/>
                <w:szCs w:val="21"/>
                <w:u w:val="single"/>
              </w:rPr>
              <w:t>（有关法律法规）</w:t>
            </w:r>
            <w:r>
              <w:rPr>
                <w:rFonts w:hint="eastAsia"/>
                <w:szCs w:val="21"/>
              </w:rPr>
              <w:t>的规定，具备</w:t>
            </w:r>
            <w:r>
              <w:rPr>
                <w:rFonts w:hint="eastAsia"/>
                <w:szCs w:val="21"/>
                <w:u w:val="single"/>
              </w:rPr>
              <w:t xml:space="preserve">        </w:t>
            </w:r>
            <w:r>
              <w:rPr>
                <w:rFonts w:hint="eastAsia"/>
                <w:i/>
                <w:szCs w:val="21"/>
                <w:u w:val="single"/>
              </w:rPr>
              <w:t>（资质或条件）</w:t>
            </w:r>
            <w:r>
              <w:rPr>
                <w:rFonts w:hint="eastAsia"/>
                <w:i/>
                <w:szCs w:val="21"/>
              </w:rPr>
              <w:t>（仅限代建项目为涉密工程）</w:t>
            </w:r>
            <w:r>
              <w:rPr>
                <w:rFonts w:hint="eastAsia"/>
                <w:szCs w:val="21"/>
              </w:rPr>
              <w:t>。</w:t>
            </w:r>
          </w:p>
          <w:p>
            <w:pPr>
              <w:spacing w:line="360" w:lineRule="exact"/>
              <w:ind w:firstLine="315" w:firstLineChars="150"/>
              <w:rPr>
                <w:szCs w:val="21"/>
              </w:rPr>
            </w:pPr>
            <w:r>
              <w:rPr>
                <w:rFonts w:hint="eastAsia"/>
                <w:szCs w:val="21"/>
              </w:rPr>
              <w:t>以上拟派项目经理及专业负责人的证书须在本单位注册（登记），并提供（近</w:t>
            </w:r>
            <w:r>
              <w:rPr>
                <w:rFonts w:hint="eastAsia"/>
                <w:szCs w:val="21"/>
                <w:u w:val="single"/>
              </w:rPr>
              <w:t xml:space="preserve"> </w:t>
            </w:r>
            <w:r>
              <w:rPr>
                <w:rFonts w:hint="eastAsia"/>
                <w:i/>
                <w:iCs/>
                <w:szCs w:val="21"/>
                <w:u w:val="single"/>
              </w:rPr>
              <w:t xml:space="preserve"> </w:t>
            </w:r>
            <w:r>
              <w:rPr>
                <w:rFonts w:hint="eastAsia"/>
                <w:szCs w:val="21"/>
                <w:u w:val="single"/>
              </w:rPr>
              <w:t xml:space="preserve"> </w:t>
            </w:r>
            <w:r>
              <w:rPr>
                <w:rFonts w:hint="eastAsia"/>
                <w:szCs w:val="21"/>
              </w:rPr>
              <w:t>个月内）社保证明。</w:t>
            </w:r>
          </w:p>
          <w:p>
            <w:pPr>
              <w:spacing w:line="360" w:lineRule="exact"/>
              <w:rPr>
                <w:szCs w:val="21"/>
              </w:rPr>
            </w:pPr>
            <w:r>
              <w:rPr>
                <w:szCs w:val="21"/>
              </w:rPr>
              <w:t xml:space="preserve">3  </w:t>
            </w:r>
            <w:r>
              <w:rPr>
                <w:rFonts w:hint="eastAsia"/>
                <w:szCs w:val="21"/>
              </w:rPr>
              <w:t>投标人的基本信息及代建项目经理、各专业负责人（监理工程师、建造师、造价工程师等证书）的基本信息在“陕西省住房和城乡建设厅系统平台（</w:t>
            </w:r>
            <w:r>
              <w:rPr>
                <w:szCs w:val="21"/>
              </w:rPr>
              <w:t>http://js.shaanxi.gov.cn/</w:t>
            </w:r>
            <w:r>
              <w:rPr>
                <w:rFonts w:hint="eastAsia"/>
                <w:szCs w:val="21"/>
              </w:rPr>
              <w:t>）陕西省建筑市场监管与诚信信息发布平台”可查询（平台不提供相应查询功能的，投标人需提供书面承诺说明）；投标人不得在“信用中国”网站被列为失信被执行人；投标人不得在陕西省和项目所在地市建设诚信信息平台被列为投标受限制的行为人；单位负责人为同一人或者存在控股、管理关系的不同单位，不得参加同一标段投标或者未划分标段的同一招标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szCs w:val="21"/>
              </w:rPr>
              <w:t>1.4.2</w:t>
            </w:r>
          </w:p>
        </w:tc>
        <w:tc>
          <w:tcPr>
            <w:tcW w:w="2062" w:type="dxa"/>
            <w:vAlign w:val="center"/>
          </w:tcPr>
          <w:p>
            <w:pPr>
              <w:spacing w:line="360" w:lineRule="exact"/>
              <w:jc w:val="center"/>
              <w:rPr>
                <w:szCs w:val="21"/>
              </w:rPr>
            </w:pPr>
            <w:r>
              <w:rPr>
                <w:szCs w:val="21"/>
              </w:rPr>
              <w:t>是否接受联合体</w:t>
            </w:r>
          </w:p>
          <w:p>
            <w:pPr>
              <w:spacing w:line="360" w:lineRule="exact"/>
              <w:jc w:val="center"/>
              <w:rPr>
                <w:szCs w:val="21"/>
              </w:rPr>
            </w:pPr>
            <w:r>
              <w:rPr>
                <w:szCs w:val="21"/>
              </w:rPr>
              <w:t>投标</w:t>
            </w:r>
          </w:p>
        </w:tc>
        <w:tc>
          <w:tcPr>
            <w:tcW w:w="5203" w:type="dxa"/>
            <w:vAlign w:val="center"/>
          </w:tcPr>
          <w:p>
            <w:pPr>
              <w:pStyle w:val="9"/>
              <w:topLinePunct/>
              <w:spacing w:line="360" w:lineRule="exact"/>
              <w:rPr>
                <w:rFonts w:ascii="Times New Roman"/>
                <w:sz w:val="21"/>
                <w:szCs w:val="21"/>
              </w:rPr>
            </w:pPr>
            <w:r>
              <w:rPr>
                <w:rFonts w:hint="eastAsia"/>
                <w:szCs w:val="21"/>
              </w:rPr>
              <w:t>□</w:t>
            </w:r>
            <w:r>
              <w:rPr>
                <w:rFonts w:hint="eastAsia" w:ascii="Times New Roman"/>
                <w:sz w:val="21"/>
                <w:szCs w:val="21"/>
              </w:rPr>
              <w:t>不接受</w:t>
            </w:r>
            <w:r>
              <w:rPr>
                <w:rFonts w:hint="eastAsia" w:ascii="Times New Roman"/>
                <w:i/>
                <w:sz w:val="21"/>
                <w:szCs w:val="21"/>
              </w:rPr>
              <w:t>（须按项目管理权限报代建主管部门批准）</w:t>
            </w:r>
          </w:p>
          <w:p>
            <w:pPr>
              <w:pStyle w:val="9"/>
              <w:topLinePunct/>
              <w:spacing w:line="360" w:lineRule="exact"/>
              <w:rPr>
                <w:rFonts w:ascii="Times New Roman"/>
                <w:sz w:val="21"/>
                <w:szCs w:val="21"/>
              </w:rPr>
            </w:pPr>
            <w:r>
              <w:rPr>
                <w:rFonts w:hint="eastAsia"/>
                <w:szCs w:val="21"/>
              </w:rPr>
              <w:t>□</w:t>
            </w:r>
            <w:r>
              <w:rPr>
                <w:rFonts w:hint="eastAsia" w:ascii="Times New Roman"/>
                <w:sz w:val="21"/>
                <w:szCs w:val="21"/>
              </w:rPr>
              <w:t>接受</w:t>
            </w:r>
          </w:p>
          <w:p>
            <w:pPr>
              <w:pStyle w:val="9"/>
              <w:topLinePunct/>
              <w:spacing w:line="360" w:lineRule="exact"/>
              <w:rPr>
                <w:rFonts w:ascii="Times New Roman"/>
                <w:sz w:val="21"/>
                <w:szCs w:val="21"/>
              </w:rPr>
            </w:pPr>
            <w:r>
              <w:rPr>
                <w:rFonts w:hint="eastAsia" w:ascii="Times New Roman"/>
                <w:sz w:val="21"/>
                <w:szCs w:val="21"/>
              </w:rPr>
              <w:t>联合体投标的，应满足下列要求：</w:t>
            </w:r>
          </w:p>
          <w:p>
            <w:pPr>
              <w:pStyle w:val="9"/>
              <w:topLinePunct/>
              <w:spacing w:line="360" w:lineRule="exact"/>
              <w:rPr>
                <w:rFonts w:ascii="Times New Roman"/>
                <w:sz w:val="21"/>
                <w:szCs w:val="21"/>
              </w:rPr>
            </w:pPr>
            <w:r>
              <w:rPr>
                <w:rFonts w:hint="eastAsia" w:ascii="Times New Roman"/>
                <w:sz w:val="21"/>
                <w:szCs w:val="21"/>
              </w:rPr>
              <w:t>（1）联合体各方应按招标文件提供的格式签订联合体协议书，明确联合体牵头人和各方权利义务；</w:t>
            </w:r>
          </w:p>
          <w:p>
            <w:pPr>
              <w:pStyle w:val="9"/>
              <w:topLinePunct/>
              <w:spacing w:line="360" w:lineRule="exact"/>
              <w:rPr>
                <w:rFonts w:ascii="Times New Roman"/>
                <w:sz w:val="21"/>
                <w:szCs w:val="21"/>
              </w:rPr>
            </w:pPr>
            <w:r>
              <w:rPr>
                <w:rFonts w:hint="eastAsia" w:ascii="Times New Roman"/>
                <w:sz w:val="21"/>
                <w:szCs w:val="21"/>
              </w:rPr>
              <w:t>（2）联合体中有同类资质的投标人按照联合体分工承担相同工作的，应当按照资质等级较低的投标人确定资质等级；</w:t>
            </w:r>
          </w:p>
          <w:p>
            <w:pPr>
              <w:pStyle w:val="9"/>
              <w:topLinePunct/>
              <w:spacing w:line="360" w:lineRule="exact"/>
              <w:rPr>
                <w:rFonts w:ascii="Times New Roman"/>
                <w:sz w:val="21"/>
                <w:szCs w:val="21"/>
              </w:rPr>
            </w:pPr>
            <w:r>
              <w:rPr>
                <w:rFonts w:hint="eastAsia" w:ascii="Times New Roman"/>
                <w:sz w:val="21"/>
                <w:szCs w:val="21"/>
              </w:rPr>
              <w:t>（3）联合体各方不得再以自己名义单独或参加其他联合体在本项目中投标；</w:t>
            </w:r>
          </w:p>
          <w:p>
            <w:pPr>
              <w:pStyle w:val="9"/>
              <w:topLinePunct/>
              <w:spacing w:line="360" w:lineRule="exact"/>
              <w:rPr>
                <w:rFonts w:ascii="Times New Roman"/>
                <w:sz w:val="21"/>
                <w:szCs w:val="21"/>
              </w:rPr>
            </w:pPr>
            <w:r>
              <w:rPr>
                <w:rFonts w:hint="eastAsia" w:ascii="Times New Roman"/>
                <w:sz w:val="21"/>
                <w:szCs w:val="21"/>
              </w:rPr>
              <w:t>（4）对联合体组成单位的其他要求：</w:t>
            </w:r>
            <w:r>
              <w:rPr>
                <w:rFonts w:hint="eastAsia" w:ascii="Times New Roman"/>
                <w:sz w:val="21"/>
                <w:szCs w:val="21"/>
                <w:u w:val="single"/>
              </w:rPr>
              <w:t>参与联合体的机构数量不得超过三家。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szCs w:val="21"/>
              </w:rPr>
              <w:t>1.</w:t>
            </w:r>
            <w:r>
              <w:rPr>
                <w:rFonts w:hint="eastAsia"/>
                <w:szCs w:val="21"/>
              </w:rPr>
              <w:t>9</w:t>
            </w:r>
            <w:r>
              <w:rPr>
                <w:szCs w:val="21"/>
              </w:rPr>
              <w:t>.1</w:t>
            </w:r>
          </w:p>
        </w:tc>
        <w:tc>
          <w:tcPr>
            <w:tcW w:w="2062" w:type="dxa"/>
            <w:vAlign w:val="center"/>
          </w:tcPr>
          <w:p>
            <w:pPr>
              <w:spacing w:line="360" w:lineRule="exact"/>
              <w:jc w:val="center"/>
              <w:rPr>
                <w:rFonts w:ascii="宋体" w:hAnsi="宋体" w:cs="宋体"/>
                <w:szCs w:val="21"/>
              </w:rPr>
            </w:pPr>
            <w:r>
              <w:rPr>
                <w:rFonts w:hint="eastAsia"/>
                <w:szCs w:val="21"/>
              </w:rPr>
              <w:t>踏勘</w:t>
            </w:r>
          </w:p>
        </w:tc>
        <w:tc>
          <w:tcPr>
            <w:tcW w:w="5203" w:type="dxa"/>
            <w:vAlign w:val="center"/>
          </w:tcPr>
          <w:p>
            <w:pPr>
              <w:pStyle w:val="9"/>
              <w:topLinePunct/>
              <w:spacing w:line="360" w:lineRule="exact"/>
              <w:rPr>
                <w:rFonts w:hAnsi="宋体" w:cs="宋体"/>
                <w:sz w:val="21"/>
                <w:szCs w:val="21"/>
              </w:rPr>
            </w:pPr>
            <w:r>
              <w:rPr>
                <w:rFonts w:hint="eastAsia" w:hAnsi="宋体" w:cs="宋体"/>
                <w:sz w:val="21"/>
                <w:szCs w:val="21"/>
              </w:rPr>
              <w:t>□不组织</w:t>
            </w:r>
          </w:p>
          <w:p>
            <w:pPr>
              <w:pStyle w:val="9"/>
              <w:topLinePunct/>
              <w:spacing w:line="360" w:lineRule="exact"/>
              <w:rPr>
                <w:rFonts w:hAnsi="宋体" w:cs="宋体"/>
                <w:sz w:val="21"/>
                <w:szCs w:val="21"/>
              </w:rPr>
            </w:pPr>
            <w:r>
              <w:rPr>
                <w:rFonts w:hint="eastAsia" w:hAnsi="宋体" w:cs="宋体"/>
                <w:sz w:val="21"/>
                <w:szCs w:val="21"/>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szCs w:val="21"/>
              </w:rPr>
              <w:t>1.10.1</w:t>
            </w:r>
          </w:p>
        </w:tc>
        <w:tc>
          <w:tcPr>
            <w:tcW w:w="2062" w:type="dxa"/>
            <w:vAlign w:val="center"/>
          </w:tcPr>
          <w:p>
            <w:pPr>
              <w:spacing w:line="360" w:lineRule="exact"/>
              <w:jc w:val="center"/>
              <w:rPr>
                <w:rFonts w:ascii="宋体" w:hAnsi="宋体" w:cs="宋体"/>
                <w:szCs w:val="21"/>
              </w:rPr>
            </w:pPr>
            <w:r>
              <w:rPr>
                <w:rFonts w:hint="eastAsia" w:ascii="宋体" w:hAnsi="宋体" w:cs="宋体"/>
                <w:szCs w:val="21"/>
              </w:rPr>
              <w:t>投标预备会</w:t>
            </w:r>
          </w:p>
        </w:tc>
        <w:tc>
          <w:tcPr>
            <w:tcW w:w="5203" w:type="dxa"/>
            <w:vAlign w:val="center"/>
          </w:tcPr>
          <w:p>
            <w:pPr>
              <w:pStyle w:val="9"/>
              <w:topLinePunct/>
              <w:spacing w:line="360" w:lineRule="exact"/>
              <w:rPr>
                <w:rFonts w:hAnsi="宋体" w:cs="宋体"/>
                <w:sz w:val="21"/>
                <w:szCs w:val="21"/>
              </w:rPr>
            </w:pPr>
            <w:r>
              <w:rPr>
                <w:rFonts w:hint="eastAsia" w:hAnsi="宋体" w:cs="宋体"/>
                <w:sz w:val="21"/>
                <w:szCs w:val="21"/>
              </w:rPr>
              <w:t>□不召开</w:t>
            </w:r>
          </w:p>
          <w:p>
            <w:pPr>
              <w:pStyle w:val="9"/>
              <w:topLinePunct/>
              <w:spacing w:line="360" w:lineRule="exact"/>
              <w:rPr>
                <w:rFonts w:hAnsi="宋体" w:cs="宋体"/>
                <w:sz w:val="21"/>
                <w:szCs w:val="21"/>
              </w:rPr>
            </w:pPr>
            <w:r>
              <w:rPr>
                <w:rFonts w:hint="eastAsia" w:hAnsi="宋体" w:cs="宋体"/>
                <w:sz w:val="21"/>
                <w:szCs w:val="21"/>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rFonts w:hint="eastAsia"/>
                <w:szCs w:val="21"/>
              </w:rPr>
              <w:t>1.11.1</w:t>
            </w:r>
          </w:p>
        </w:tc>
        <w:tc>
          <w:tcPr>
            <w:tcW w:w="2062" w:type="dxa"/>
            <w:vAlign w:val="center"/>
          </w:tcPr>
          <w:p>
            <w:pPr>
              <w:spacing w:line="360" w:lineRule="exact"/>
              <w:jc w:val="center"/>
              <w:rPr>
                <w:szCs w:val="21"/>
              </w:rPr>
            </w:pPr>
            <w:r>
              <w:rPr>
                <w:rFonts w:hint="eastAsia"/>
                <w:szCs w:val="21"/>
              </w:rPr>
              <w:t>招标人规定由分包人承担的工作</w:t>
            </w:r>
          </w:p>
        </w:tc>
        <w:tc>
          <w:tcPr>
            <w:tcW w:w="5203" w:type="dxa"/>
            <w:vAlign w:val="center"/>
          </w:tcPr>
          <w:p>
            <w:pPr>
              <w:spacing w:line="360" w:lineRule="exact"/>
              <w:rPr>
                <w:rFonts w:eastAsia="Calibri"/>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szCs w:val="21"/>
              </w:rPr>
              <w:t>1.1</w:t>
            </w:r>
            <w:r>
              <w:rPr>
                <w:rFonts w:hint="eastAsia"/>
                <w:szCs w:val="21"/>
              </w:rPr>
              <w:t>1.2</w:t>
            </w:r>
          </w:p>
        </w:tc>
        <w:tc>
          <w:tcPr>
            <w:tcW w:w="2062" w:type="dxa"/>
            <w:vAlign w:val="center"/>
          </w:tcPr>
          <w:p>
            <w:pPr>
              <w:spacing w:line="360" w:lineRule="exact"/>
              <w:jc w:val="center"/>
              <w:rPr>
                <w:szCs w:val="21"/>
              </w:rPr>
            </w:pPr>
            <w:r>
              <w:rPr>
                <w:rFonts w:hint="eastAsia"/>
                <w:szCs w:val="21"/>
              </w:rPr>
              <w:t>投标人拟</w:t>
            </w:r>
            <w:r>
              <w:rPr>
                <w:szCs w:val="21"/>
              </w:rPr>
              <w:t>分包</w:t>
            </w:r>
            <w:r>
              <w:rPr>
                <w:rFonts w:hint="eastAsia"/>
                <w:szCs w:val="21"/>
              </w:rPr>
              <w:t>的</w:t>
            </w:r>
          </w:p>
          <w:p>
            <w:pPr>
              <w:spacing w:line="360" w:lineRule="exact"/>
              <w:jc w:val="center"/>
              <w:rPr>
                <w:szCs w:val="21"/>
              </w:rPr>
            </w:pPr>
            <w:r>
              <w:rPr>
                <w:rFonts w:hint="eastAsia"/>
                <w:szCs w:val="21"/>
              </w:rPr>
              <w:t>工作</w:t>
            </w:r>
          </w:p>
        </w:tc>
        <w:tc>
          <w:tcPr>
            <w:tcW w:w="5203" w:type="dxa"/>
            <w:vAlign w:val="center"/>
          </w:tcPr>
          <w:p>
            <w:pPr>
              <w:spacing w:line="360" w:lineRule="exact"/>
              <w:rPr>
                <w:szCs w:val="21"/>
              </w:rPr>
            </w:pPr>
            <w:r>
              <w:rPr>
                <w:rFonts w:hint="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rFonts w:hint="eastAsia"/>
                <w:szCs w:val="21"/>
              </w:rPr>
              <w:t>1.12</w:t>
            </w:r>
          </w:p>
        </w:tc>
        <w:tc>
          <w:tcPr>
            <w:tcW w:w="2062" w:type="dxa"/>
            <w:vAlign w:val="center"/>
          </w:tcPr>
          <w:p>
            <w:pPr>
              <w:spacing w:line="360" w:lineRule="exact"/>
              <w:jc w:val="center"/>
              <w:rPr>
                <w:szCs w:val="21"/>
              </w:rPr>
            </w:pPr>
            <w:r>
              <w:rPr>
                <w:rFonts w:hint="eastAsia"/>
                <w:szCs w:val="21"/>
              </w:rPr>
              <w:t>偏离</w:t>
            </w:r>
          </w:p>
        </w:tc>
        <w:tc>
          <w:tcPr>
            <w:tcW w:w="5203" w:type="dxa"/>
            <w:vAlign w:val="center"/>
          </w:tcPr>
          <w:p>
            <w:pPr>
              <w:pStyle w:val="9"/>
              <w:topLinePunct/>
              <w:spacing w:line="360" w:lineRule="exact"/>
              <w:rPr>
                <w:rFonts w:ascii="Times New Roman"/>
                <w:sz w:val="21"/>
                <w:szCs w:val="21"/>
              </w:rPr>
            </w:pPr>
            <w:r>
              <w:rPr>
                <w:rFonts w:hint="eastAsia" w:ascii="Times New Roman"/>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szCs w:val="21"/>
              </w:rPr>
              <w:t>2.1</w:t>
            </w:r>
          </w:p>
        </w:tc>
        <w:tc>
          <w:tcPr>
            <w:tcW w:w="2062" w:type="dxa"/>
            <w:vAlign w:val="center"/>
          </w:tcPr>
          <w:p>
            <w:pPr>
              <w:spacing w:line="360" w:lineRule="exact"/>
              <w:jc w:val="center"/>
              <w:rPr>
                <w:szCs w:val="21"/>
              </w:rPr>
            </w:pPr>
            <w:r>
              <w:rPr>
                <w:szCs w:val="21"/>
              </w:rPr>
              <w:t>构成招标文件的</w:t>
            </w:r>
          </w:p>
          <w:p>
            <w:pPr>
              <w:spacing w:line="360" w:lineRule="exact"/>
              <w:jc w:val="center"/>
              <w:rPr>
                <w:szCs w:val="21"/>
              </w:rPr>
            </w:pPr>
            <w:r>
              <w:rPr>
                <w:szCs w:val="21"/>
              </w:rPr>
              <w:t>其他</w:t>
            </w:r>
            <w:r>
              <w:rPr>
                <w:rFonts w:hint="eastAsia"/>
                <w:szCs w:val="21"/>
              </w:rPr>
              <w:t>资</w:t>
            </w:r>
            <w:r>
              <w:rPr>
                <w:szCs w:val="21"/>
              </w:rPr>
              <w:t>料</w:t>
            </w:r>
          </w:p>
        </w:tc>
        <w:tc>
          <w:tcPr>
            <w:tcW w:w="5203" w:type="dxa"/>
            <w:vAlign w:val="center"/>
          </w:tcPr>
          <w:p>
            <w:pPr>
              <w:spacing w:line="360" w:lineRule="exact"/>
              <w:rPr>
                <w:szCs w:val="21"/>
              </w:rPr>
            </w:pPr>
            <w:r>
              <w:rPr>
                <w:rFonts w:hint="eastAsia"/>
                <w:szCs w:val="21"/>
              </w:rPr>
              <w:t>项目建议书（或可行性研究报告）及批复文件、答疑文件等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szCs w:val="21"/>
              </w:rPr>
              <w:t>2.2.1</w:t>
            </w:r>
          </w:p>
        </w:tc>
        <w:tc>
          <w:tcPr>
            <w:tcW w:w="2062" w:type="dxa"/>
            <w:vAlign w:val="center"/>
          </w:tcPr>
          <w:p>
            <w:pPr>
              <w:spacing w:line="360" w:lineRule="exact"/>
              <w:jc w:val="center"/>
              <w:rPr>
                <w:szCs w:val="21"/>
              </w:rPr>
            </w:pPr>
            <w:r>
              <w:rPr>
                <w:szCs w:val="21"/>
              </w:rPr>
              <w:t>投标人要求澄清招标文件的截止时间</w:t>
            </w:r>
          </w:p>
        </w:tc>
        <w:tc>
          <w:tcPr>
            <w:tcW w:w="5203" w:type="dxa"/>
            <w:vAlign w:val="center"/>
          </w:tcPr>
          <w:p>
            <w:pPr>
              <w:spacing w:line="360" w:lineRule="exact"/>
            </w:pPr>
            <w:r>
              <w:t>时间：</w:t>
            </w:r>
            <w:r>
              <w:rPr>
                <w:rFonts w:hint="eastAsia"/>
              </w:rPr>
              <w:t>投标截止前10日</w:t>
            </w:r>
          </w:p>
          <w:p>
            <w:pPr>
              <w:spacing w:line="360" w:lineRule="exact"/>
            </w:pPr>
            <w:r>
              <w:rPr>
                <w:rFonts w:hint="eastAsia" w:ascii="Calibri" w:hAnsi="Calibri"/>
                <w:szCs w:val="21"/>
              </w:rPr>
              <w:t>形式：</w:t>
            </w:r>
            <w:r>
              <w:rPr>
                <w:rFonts w:hint="eastAsia"/>
                <w:szCs w:val="21"/>
              </w:rPr>
              <w:t>□“全国公共资源交易平台（陕西省）</w:t>
            </w:r>
            <w:r>
              <w:rPr>
                <w:rFonts w:hint="eastAsia"/>
              </w:rPr>
              <w:t>”提出问题</w:t>
            </w:r>
          </w:p>
          <w:p>
            <w:pPr>
              <w:spacing w:line="360" w:lineRule="exact"/>
              <w:ind w:firstLine="420" w:firstLineChars="200"/>
            </w:pPr>
            <w:r>
              <w:rPr>
                <w:rFonts w:hint="eastAsia"/>
                <w:szCs w:val="21"/>
              </w:rPr>
              <w:t>□</w:t>
            </w:r>
            <w:r>
              <w:rPr>
                <w:rFonts w:hint="eastAsia"/>
              </w:rPr>
              <w:t>书面形式（包括电子邮件、传真等可以有形地表现所载内容）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szCs w:val="21"/>
              </w:rPr>
              <w:t>2.2.2</w:t>
            </w:r>
          </w:p>
        </w:tc>
        <w:tc>
          <w:tcPr>
            <w:tcW w:w="2062" w:type="dxa"/>
            <w:vAlign w:val="center"/>
          </w:tcPr>
          <w:p>
            <w:pPr>
              <w:spacing w:line="360" w:lineRule="exact"/>
              <w:jc w:val="center"/>
              <w:rPr>
                <w:szCs w:val="21"/>
              </w:rPr>
            </w:pPr>
            <w:r>
              <w:rPr>
                <w:rFonts w:hint="eastAsia"/>
                <w:szCs w:val="21"/>
              </w:rPr>
              <w:t>招标文件澄清发出的形式</w:t>
            </w:r>
          </w:p>
        </w:tc>
        <w:tc>
          <w:tcPr>
            <w:tcW w:w="5203" w:type="dxa"/>
            <w:vAlign w:val="center"/>
          </w:tcPr>
          <w:p>
            <w:pPr>
              <w:spacing w:line="360" w:lineRule="exact"/>
              <w:rPr>
                <w:szCs w:val="21"/>
              </w:rPr>
            </w:pPr>
            <w:r>
              <w:rPr>
                <w:rFonts w:hint="eastAsia"/>
                <w:szCs w:val="21"/>
              </w:rPr>
              <w:t>□投标人自行在“全国公共资源交易平台（陕西省）”下载</w:t>
            </w:r>
          </w:p>
          <w:p>
            <w:pPr>
              <w:spacing w:line="360" w:lineRule="exact"/>
              <w:rPr>
                <w:szCs w:val="21"/>
              </w:rPr>
            </w:pPr>
            <w:r>
              <w:rPr>
                <w:rFonts w:hint="eastAsia"/>
                <w:szCs w:val="21"/>
              </w:rPr>
              <w:t>□投标人在招标代理机构领取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szCs w:val="21"/>
              </w:rPr>
              <w:t>2.2.3</w:t>
            </w:r>
          </w:p>
        </w:tc>
        <w:tc>
          <w:tcPr>
            <w:tcW w:w="2062" w:type="dxa"/>
            <w:vAlign w:val="center"/>
          </w:tcPr>
          <w:p>
            <w:pPr>
              <w:spacing w:line="360" w:lineRule="exact"/>
              <w:jc w:val="center"/>
              <w:rPr>
                <w:rFonts w:ascii="宋体" w:hAnsi="宋体"/>
              </w:rPr>
            </w:pPr>
            <w:r>
              <w:rPr>
                <w:rFonts w:ascii="宋体" w:hAnsi="宋体"/>
              </w:rPr>
              <w:t>投标人确认收到</w:t>
            </w:r>
          </w:p>
          <w:p>
            <w:pPr>
              <w:spacing w:line="360" w:lineRule="exact"/>
              <w:jc w:val="center"/>
              <w:rPr>
                <w:szCs w:val="21"/>
              </w:rPr>
            </w:pPr>
            <w:r>
              <w:rPr>
                <w:rFonts w:ascii="宋体" w:hAnsi="宋体"/>
              </w:rPr>
              <w:t>招标文件澄清</w:t>
            </w:r>
          </w:p>
        </w:tc>
        <w:tc>
          <w:tcPr>
            <w:tcW w:w="5203" w:type="dxa"/>
            <w:vAlign w:val="center"/>
          </w:tcPr>
          <w:p>
            <w:pPr>
              <w:spacing w:line="360" w:lineRule="exact"/>
              <w:rPr>
                <w:rFonts w:eastAsia="Calibri"/>
              </w:rPr>
            </w:pPr>
            <w:r>
              <w:t>时间：</w:t>
            </w:r>
            <w:r>
              <w:rPr>
                <w:rFonts w:hint="eastAsia"/>
              </w:rPr>
              <w:t>24小时内</w:t>
            </w:r>
          </w:p>
          <w:p>
            <w:pPr>
              <w:pStyle w:val="7"/>
            </w:pPr>
            <w:r>
              <w:rPr>
                <w:rFonts w:ascii="宋体" w:hAnsi="宋体"/>
                <w:sz w:val="21"/>
              </w:rPr>
              <w:t>形式：</w:t>
            </w:r>
            <w:r>
              <w:rPr>
                <w:rFonts w:hint="eastAsia" w:ascii="宋体" w:hAnsi="宋体"/>
                <w:sz w:val="21"/>
              </w:rPr>
              <w:t>书面形式（包括电子邮件、传真等可以有形地表现所载内容）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rFonts w:eastAsia="Calibri"/>
                <w:szCs w:val="21"/>
              </w:rPr>
            </w:pPr>
            <w:r>
              <w:rPr>
                <w:rFonts w:hint="eastAsia"/>
                <w:szCs w:val="21"/>
              </w:rPr>
              <w:t>2.3.1</w:t>
            </w:r>
          </w:p>
        </w:tc>
        <w:tc>
          <w:tcPr>
            <w:tcW w:w="2062" w:type="dxa"/>
            <w:vAlign w:val="center"/>
          </w:tcPr>
          <w:p>
            <w:pPr>
              <w:spacing w:line="360" w:lineRule="exact"/>
              <w:jc w:val="center"/>
              <w:rPr>
                <w:rFonts w:ascii="宋体" w:hAnsi="宋体"/>
              </w:rPr>
            </w:pPr>
            <w:r>
              <w:rPr>
                <w:rFonts w:ascii="宋体" w:hAnsi="宋体"/>
              </w:rPr>
              <w:t>招标文件修改发出的形式</w:t>
            </w:r>
          </w:p>
        </w:tc>
        <w:tc>
          <w:tcPr>
            <w:tcW w:w="5203" w:type="dxa"/>
            <w:vAlign w:val="center"/>
          </w:tcPr>
          <w:p>
            <w:pPr>
              <w:spacing w:line="360" w:lineRule="exact"/>
              <w:rPr>
                <w:szCs w:val="21"/>
              </w:rPr>
            </w:pPr>
            <w:r>
              <w:rPr>
                <w:rFonts w:hint="eastAsia"/>
                <w:szCs w:val="21"/>
              </w:rPr>
              <w:t>□在“全国公共资源交易平台（陕西省）”</w:t>
            </w:r>
          </w:p>
          <w:p>
            <w:pPr>
              <w:spacing w:line="360" w:lineRule="exact"/>
              <w:rPr>
                <w:rFonts w:ascii="宋体" w:hAnsi="宋体"/>
              </w:rPr>
            </w:pPr>
            <w:r>
              <w:rPr>
                <w:rFonts w:hint="eastAsia"/>
                <w:szCs w:val="21"/>
              </w:rPr>
              <w:t>□书面形式（包括电子邮件、传真等可以有形地表现所载内容）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szCs w:val="21"/>
              </w:rPr>
              <w:t>3.1</w:t>
            </w:r>
            <w:r>
              <w:rPr>
                <w:rFonts w:hint="eastAsia"/>
                <w:szCs w:val="21"/>
              </w:rPr>
              <w:t>.1</w:t>
            </w:r>
          </w:p>
        </w:tc>
        <w:tc>
          <w:tcPr>
            <w:tcW w:w="2062" w:type="dxa"/>
            <w:vAlign w:val="center"/>
          </w:tcPr>
          <w:p>
            <w:pPr>
              <w:spacing w:line="360" w:lineRule="exact"/>
              <w:jc w:val="center"/>
              <w:rPr>
                <w:szCs w:val="21"/>
              </w:rPr>
            </w:pPr>
            <w:r>
              <w:rPr>
                <w:szCs w:val="21"/>
              </w:rPr>
              <w:t>构成投标文件的</w:t>
            </w:r>
          </w:p>
          <w:p>
            <w:pPr>
              <w:spacing w:line="360" w:lineRule="exact"/>
              <w:jc w:val="center"/>
              <w:rPr>
                <w:szCs w:val="21"/>
              </w:rPr>
            </w:pPr>
            <w:r>
              <w:rPr>
                <w:szCs w:val="21"/>
              </w:rPr>
              <w:t>其他</w:t>
            </w:r>
            <w:r>
              <w:rPr>
                <w:rFonts w:hint="eastAsia"/>
                <w:szCs w:val="21"/>
              </w:rPr>
              <w:t>资</w:t>
            </w:r>
            <w:r>
              <w:rPr>
                <w:szCs w:val="21"/>
              </w:rPr>
              <w:t>料</w:t>
            </w:r>
          </w:p>
        </w:tc>
        <w:tc>
          <w:tcPr>
            <w:tcW w:w="5203" w:type="dxa"/>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rFonts w:hint="eastAsia"/>
              </w:rPr>
              <w:t>3.2.4</w:t>
            </w:r>
          </w:p>
        </w:tc>
        <w:tc>
          <w:tcPr>
            <w:tcW w:w="2062" w:type="dxa"/>
            <w:vAlign w:val="center"/>
          </w:tcPr>
          <w:p>
            <w:pPr>
              <w:spacing w:line="360" w:lineRule="exact"/>
              <w:jc w:val="center"/>
              <w:rPr>
                <w:szCs w:val="21"/>
              </w:rPr>
            </w:pPr>
            <w:r>
              <w:rPr>
                <w:rFonts w:hint="eastAsia"/>
                <w:szCs w:val="21"/>
              </w:rPr>
              <w:t>最高投标限价或</w:t>
            </w:r>
          </w:p>
          <w:p>
            <w:pPr>
              <w:spacing w:line="360" w:lineRule="exact"/>
              <w:jc w:val="center"/>
              <w:rPr>
                <w:szCs w:val="21"/>
              </w:rPr>
            </w:pPr>
            <w:r>
              <w:rPr>
                <w:rFonts w:hint="eastAsia"/>
                <w:szCs w:val="21"/>
              </w:rPr>
              <w:t>其依据</w:t>
            </w:r>
          </w:p>
        </w:tc>
        <w:tc>
          <w:tcPr>
            <w:tcW w:w="5203" w:type="dxa"/>
            <w:vAlign w:val="center"/>
          </w:tcPr>
          <w:p>
            <w:pPr>
              <w:spacing w:line="360" w:lineRule="exact"/>
              <w:rPr>
                <w:szCs w:val="21"/>
              </w:rPr>
            </w:pPr>
            <w:r>
              <w:rPr>
                <w:rFonts w:hint="eastAsia"/>
                <w:szCs w:val="21"/>
              </w:rPr>
              <w:t>填报各项专业服务费用下浮率，基价为后续初步设计批复文件中各项概算金额；要求各项报价下浮率大于0。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pPr>
            <w:r>
              <w:rPr>
                <w:rFonts w:hint="eastAsia"/>
              </w:rPr>
              <w:t>3.2.5</w:t>
            </w:r>
          </w:p>
        </w:tc>
        <w:tc>
          <w:tcPr>
            <w:tcW w:w="2062" w:type="dxa"/>
            <w:vAlign w:val="center"/>
          </w:tcPr>
          <w:p>
            <w:pPr>
              <w:spacing w:line="360" w:lineRule="exact"/>
              <w:jc w:val="center"/>
              <w:rPr>
                <w:szCs w:val="21"/>
              </w:rPr>
            </w:pPr>
            <w:r>
              <w:rPr>
                <w:rFonts w:hint="eastAsia"/>
                <w:szCs w:val="21"/>
              </w:rPr>
              <w:t>投标报价其他要求</w:t>
            </w:r>
          </w:p>
        </w:tc>
        <w:tc>
          <w:tcPr>
            <w:tcW w:w="5203" w:type="dxa"/>
            <w:vAlign w:val="center"/>
          </w:tcPr>
          <w:p>
            <w:pPr>
              <w:spacing w:line="360" w:lineRule="exact"/>
              <w:rPr>
                <w:szCs w:val="21"/>
              </w:rPr>
            </w:pPr>
            <w:r>
              <w:rPr>
                <w:rFonts w:hint="eastAsia"/>
                <w:szCs w:val="21"/>
              </w:rPr>
              <w:t>投标报价依据：</w:t>
            </w:r>
          </w:p>
          <w:p>
            <w:pPr>
              <w:spacing w:line="360" w:lineRule="exact"/>
              <w:rPr>
                <w:szCs w:val="21"/>
              </w:rPr>
            </w:pPr>
            <w:r>
              <w:rPr>
                <w:rFonts w:hint="eastAsia"/>
                <w:szCs w:val="21"/>
              </w:rPr>
              <w:t>1）参考本项目建议书批复文件，填报各项专业服务费用下浮率，</w:t>
            </w:r>
            <w:r>
              <w:rPr>
                <w:rFonts w:hint="eastAsia"/>
                <w:i/>
                <w:iCs/>
                <w:szCs w:val="21"/>
                <w:u w:val="single"/>
              </w:rPr>
              <w:t>（本项目建议书批复各专业服务批复费用）</w:t>
            </w:r>
            <w:r>
              <w:rPr>
                <w:rFonts w:hint="eastAsia"/>
                <w:szCs w:val="21"/>
              </w:rPr>
              <w:t>；</w:t>
            </w:r>
          </w:p>
          <w:p>
            <w:pPr>
              <w:spacing w:line="360" w:lineRule="exact"/>
              <w:rPr>
                <w:szCs w:val="21"/>
              </w:rPr>
            </w:pPr>
            <w:r>
              <w:rPr>
                <w:rFonts w:hint="eastAsia"/>
                <w:szCs w:val="21"/>
              </w:rPr>
              <w:t>2）根据市场行情等相关因素自主报价。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3.3</w:t>
            </w:r>
            <w:r>
              <w:rPr>
                <w:rFonts w:hint="eastAsia"/>
                <w:szCs w:val="21"/>
              </w:rPr>
              <w:t>.1</w:t>
            </w:r>
          </w:p>
        </w:tc>
        <w:tc>
          <w:tcPr>
            <w:tcW w:w="2062" w:type="dxa"/>
            <w:vAlign w:val="center"/>
          </w:tcPr>
          <w:p>
            <w:pPr>
              <w:spacing w:line="440" w:lineRule="exact"/>
              <w:jc w:val="center"/>
              <w:rPr>
                <w:szCs w:val="21"/>
              </w:rPr>
            </w:pPr>
            <w:r>
              <w:rPr>
                <w:szCs w:val="21"/>
              </w:rPr>
              <w:t>投标有效期</w:t>
            </w:r>
          </w:p>
        </w:tc>
        <w:tc>
          <w:tcPr>
            <w:tcW w:w="5203" w:type="dxa"/>
            <w:vAlign w:val="center"/>
          </w:tcPr>
          <w:p>
            <w:pPr>
              <w:spacing w:line="440" w:lineRule="exact"/>
              <w:rPr>
                <w:szCs w:val="21"/>
              </w:rPr>
            </w:pPr>
            <w:r>
              <w:rPr>
                <w:rFonts w:hint="eastAsia"/>
                <w:szCs w:val="21"/>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3.4.1</w:t>
            </w:r>
          </w:p>
        </w:tc>
        <w:tc>
          <w:tcPr>
            <w:tcW w:w="2062" w:type="dxa"/>
            <w:vAlign w:val="center"/>
          </w:tcPr>
          <w:p>
            <w:pPr>
              <w:spacing w:line="440" w:lineRule="exact"/>
              <w:jc w:val="center"/>
              <w:rPr>
                <w:szCs w:val="21"/>
              </w:rPr>
            </w:pPr>
            <w:r>
              <w:rPr>
                <w:szCs w:val="21"/>
              </w:rPr>
              <w:t>投标保证金</w:t>
            </w:r>
          </w:p>
        </w:tc>
        <w:tc>
          <w:tcPr>
            <w:tcW w:w="5203" w:type="dxa"/>
            <w:vAlign w:val="center"/>
          </w:tcPr>
          <w:p>
            <w:pPr>
              <w:spacing w:line="360" w:lineRule="exact"/>
              <w:jc w:val="left"/>
              <w:rPr>
                <w:szCs w:val="21"/>
              </w:rPr>
            </w:pPr>
            <w:r>
              <w:rPr>
                <w:rFonts w:ascii="宋体" w:hAnsi="宋体"/>
              </w:rPr>
              <w:t>是否</w:t>
            </w:r>
            <w:r>
              <w:rPr>
                <w:rFonts w:hint="eastAsia"/>
                <w:szCs w:val="21"/>
              </w:rPr>
              <w:t>要求投标人递交投标保证金：</w:t>
            </w:r>
          </w:p>
          <w:p>
            <w:pPr>
              <w:spacing w:line="360" w:lineRule="exact"/>
              <w:jc w:val="left"/>
              <w:rPr>
                <w:szCs w:val="21"/>
              </w:rPr>
            </w:pPr>
            <w:r>
              <w:rPr>
                <w:rFonts w:hint="eastAsia"/>
                <w:szCs w:val="21"/>
              </w:rPr>
              <w:t>□不要求     □要求</w:t>
            </w:r>
          </w:p>
          <w:p>
            <w:pPr>
              <w:spacing w:line="360" w:lineRule="exact"/>
              <w:jc w:val="left"/>
              <w:rPr>
                <w:szCs w:val="21"/>
              </w:rPr>
            </w:pPr>
            <w:r>
              <w:rPr>
                <w:rFonts w:hint="eastAsia"/>
                <w:szCs w:val="21"/>
              </w:rPr>
              <w:t>缴纳金额：    元（    元整）</w:t>
            </w:r>
          </w:p>
          <w:p>
            <w:pPr>
              <w:spacing w:line="360" w:lineRule="exact"/>
              <w:jc w:val="left"/>
              <w:rPr>
                <w:szCs w:val="21"/>
              </w:rPr>
            </w:pPr>
            <w:r>
              <w:rPr>
                <w:rFonts w:hint="eastAsia"/>
                <w:szCs w:val="21"/>
              </w:rPr>
              <w:t>缴纳时间：投标截止时间前到账或提供。</w:t>
            </w:r>
          </w:p>
          <w:p>
            <w:pPr>
              <w:spacing w:line="360" w:lineRule="exact"/>
              <w:jc w:val="left"/>
              <w:rPr>
                <w:szCs w:val="21"/>
              </w:rPr>
            </w:pPr>
            <w:r>
              <w:rPr>
                <w:rFonts w:hint="eastAsia"/>
                <w:szCs w:val="21"/>
              </w:rPr>
              <w:t>缴付形式：</w:t>
            </w:r>
          </w:p>
          <w:p>
            <w:pPr>
              <w:spacing w:line="360" w:lineRule="exact"/>
              <w:jc w:val="left"/>
              <w:rPr>
                <w:szCs w:val="21"/>
              </w:rPr>
            </w:pPr>
            <w:r>
              <w:rPr>
                <w:rFonts w:hint="eastAsia"/>
                <w:szCs w:val="21"/>
              </w:rPr>
              <w:t xml:space="preserve">账户名称： </w:t>
            </w:r>
          </w:p>
          <w:p>
            <w:pPr>
              <w:spacing w:line="360" w:lineRule="exact"/>
              <w:jc w:val="left"/>
              <w:rPr>
                <w:szCs w:val="21"/>
              </w:rPr>
            </w:pPr>
            <w:r>
              <w:rPr>
                <w:rFonts w:hint="eastAsia"/>
                <w:szCs w:val="21"/>
              </w:rPr>
              <w:t xml:space="preserve">开户银行： </w:t>
            </w:r>
          </w:p>
          <w:p>
            <w:pPr>
              <w:spacing w:line="360" w:lineRule="exact"/>
              <w:jc w:val="left"/>
              <w:rPr>
                <w:szCs w:val="21"/>
              </w:rPr>
            </w:pPr>
            <w:r>
              <w:rPr>
                <w:rFonts w:hint="eastAsia"/>
                <w:szCs w:val="21"/>
              </w:rPr>
              <w:t xml:space="preserve">账    号： </w:t>
            </w:r>
          </w:p>
          <w:p>
            <w:pPr>
              <w:spacing w:line="360" w:lineRule="exact"/>
              <w:jc w:val="left"/>
              <w:rPr>
                <w:szCs w:val="21"/>
              </w:rPr>
            </w:pPr>
            <w:r>
              <w:rPr>
                <w:rFonts w:hint="eastAsia"/>
                <w:szCs w:val="21"/>
              </w:rPr>
              <w:t>采用转账支票或银行电汇形式提交的投标保证金必须从其基本账户转出，必须在进账单或电汇单注明项目名称。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3.6</w:t>
            </w:r>
          </w:p>
        </w:tc>
        <w:tc>
          <w:tcPr>
            <w:tcW w:w="2062" w:type="dxa"/>
            <w:vAlign w:val="center"/>
          </w:tcPr>
          <w:p>
            <w:pPr>
              <w:spacing w:line="440" w:lineRule="exact"/>
              <w:jc w:val="center"/>
              <w:rPr>
                <w:szCs w:val="21"/>
              </w:rPr>
            </w:pPr>
            <w:r>
              <w:rPr>
                <w:szCs w:val="21"/>
              </w:rPr>
              <w:t>是否允许</w:t>
            </w:r>
            <w:r>
              <w:rPr>
                <w:rFonts w:hint="eastAsia"/>
                <w:szCs w:val="21"/>
              </w:rPr>
              <w:t>递交备</w:t>
            </w:r>
            <w:r>
              <w:rPr>
                <w:szCs w:val="21"/>
              </w:rPr>
              <w:t>选投标方案</w:t>
            </w:r>
          </w:p>
        </w:tc>
        <w:tc>
          <w:tcPr>
            <w:tcW w:w="5203" w:type="dxa"/>
            <w:vAlign w:val="center"/>
          </w:tcPr>
          <w:p>
            <w:pPr>
              <w:pStyle w:val="9"/>
              <w:topLinePunct/>
              <w:spacing w:line="400" w:lineRule="exact"/>
              <w:rPr>
                <w:szCs w:val="21"/>
              </w:rPr>
            </w:pPr>
            <w:r>
              <w:rPr>
                <w:rFonts w:hint="eastAsia" w:ascii="Times New Roman"/>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3.7.3A（2）</w:t>
            </w:r>
          </w:p>
        </w:tc>
        <w:tc>
          <w:tcPr>
            <w:tcW w:w="2062" w:type="dxa"/>
            <w:vAlign w:val="center"/>
          </w:tcPr>
          <w:p>
            <w:pPr>
              <w:spacing w:line="440" w:lineRule="exact"/>
              <w:jc w:val="center"/>
              <w:rPr>
                <w:szCs w:val="21"/>
              </w:rPr>
            </w:pPr>
            <w:r>
              <w:rPr>
                <w:rFonts w:ascii="宋体" w:hAnsi="宋体"/>
              </w:rPr>
              <w:t>投标文件副本份数及其他要求</w:t>
            </w:r>
          </w:p>
        </w:tc>
        <w:tc>
          <w:tcPr>
            <w:tcW w:w="5203" w:type="dxa"/>
            <w:vAlign w:val="center"/>
          </w:tcPr>
          <w:p>
            <w:pPr>
              <w:spacing w:line="360" w:lineRule="exact"/>
              <w:jc w:val="left"/>
              <w:rPr>
                <w:szCs w:val="21"/>
              </w:rPr>
            </w:pPr>
            <w:r>
              <w:rPr>
                <w:rFonts w:hint="eastAsia"/>
              </w:rPr>
              <w:t>投标文件副</w:t>
            </w:r>
            <w:r>
              <w:rPr>
                <w:rFonts w:hint="eastAsia"/>
                <w:szCs w:val="21"/>
              </w:rPr>
              <w:t>本份数：</w:t>
            </w:r>
          </w:p>
          <w:p>
            <w:pPr>
              <w:spacing w:line="360" w:lineRule="exact"/>
              <w:jc w:val="left"/>
              <w:rPr>
                <w:szCs w:val="21"/>
              </w:rPr>
            </w:pPr>
            <w:r>
              <w:rPr>
                <w:rFonts w:hint="eastAsia"/>
                <w:szCs w:val="21"/>
              </w:rPr>
              <w:t>是否要求提交电子版文件：</w:t>
            </w:r>
          </w:p>
          <w:p>
            <w:pPr>
              <w:spacing w:line="360" w:lineRule="exact"/>
              <w:jc w:val="left"/>
            </w:pPr>
            <w:r>
              <w:rPr>
                <w:rFonts w:hint="eastAsia"/>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3.7.3A（3）</w:t>
            </w:r>
          </w:p>
        </w:tc>
        <w:tc>
          <w:tcPr>
            <w:tcW w:w="2062" w:type="dxa"/>
            <w:vAlign w:val="center"/>
          </w:tcPr>
          <w:p>
            <w:pPr>
              <w:spacing w:line="440" w:lineRule="exact"/>
              <w:jc w:val="center"/>
              <w:rPr>
                <w:rFonts w:ascii="宋体" w:hAnsi="宋体"/>
              </w:rPr>
            </w:pPr>
            <w:r>
              <w:rPr>
                <w:rFonts w:hint="eastAsia" w:ascii="宋体" w:hAnsi="宋体"/>
              </w:rPr>
              <w:t>投标文件是否需</w:t>
            </w:r>
          </w:p>
          <w:p>
            <w:pPr>
              <w:spacing w:line="440" w:lineRule="exact"/>
              <w:jc w:val="center"/>
              <w:rPr>
                <w:rFonts w:ascii="宋体" w:hAnsi="宋体"/>
              </w:rPr>
            </w:pPr>
            <w:r>
              <w:rPr>
                <w:rFonts w:hint="eastAsia" w:ascii="宋体" w:hAnsi="宋体"/>
              </w:rPr>
              <w:t>分册装订</w:t>
            </w:r>
          </w:p>
        </w:tc>
        <w:tc>
          <w:tcPr>
            <w:tcW w:w="5203" w:type="dxa"/>
            <w:vAlign w:val="center"/>
          </w:tcPr>
          <w:p>
            <w:pPr>
              <w:spacing w:line="360" w:lineRule="exact"/>
              <w:jc w:val="left"/>
            </w:pPr>
            <w:r>
              <w:rPr>
                <w:rFonts w:hint="eastAsia"/>
                <w:szCs w:val="21"/>
              </w:rPr>
              <w:t>□</w:t>
            </w:r>
            <w:r>
              <w:rPr>
                <w:rFonts w:hint="eastAsia"/>
              </w:rPr>
              <w:t>不需要</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spacing w:line="360" w:lineRule="exact"/>
              <w:jc w:val="left"/>
              <w:rPr>
                <w:szCs w:val="21"/>
              </w:rPr>
            </w:pPr>
            <w:r>
              <w:rPr>
                <w:rFonts w:hint="eastAsia"/>
                <w:szCs w:val="21"/>
              </w:rPr>
              <w:t>□</w:t>
            </w:r>
            <w:r>
              <w:rPr>
                <w:rFonts w:hint="eastAsia"/>
              </w:rPr>
              <w:t>需要，分册装订要求：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3.7.3（B）</w:t>
            </w:r>
          </w:p>
        </w:tc>
        <w:tc>
          <w:tcPr>
            <w:tcW w:w="2062" w:type="dxa"/>
            <w:vAlign w:val="center"/>
          </w:tcPr>
          <w:p>
            <w:pPr>
              <w:spacing w:line="440" w:lineRule="exact"/>
              <w:jc w:val="center"/>
              <w:rPr>
                <w:rFonts w:ascii="宋体" w:hAnsi="宋体"/>
              </w:rPr>
            </w:pPr>
            <w:r>
              <w:rPr>
                <w:rFonts w:ascii="宋体" w:hAnsi="宋体"/>
              </w:rPr>
              <w:t>投标文件签字或</w:t>
            </w:r>
          </w:p>
          <w:p>
            <w:pPr>
              <w:spacing w:line="440" w:lineRule="exact"/>
              <w:jc w:val="center"/>
              <w:rPr>
                <w:rFonts w:ascii="宋体" w:hAnsi="宋体"/>
              </w:rPr>
            </w:pPr>
            <w:r>
              <w:rPr>
                <w:rFonts w:ascii="宋体" w:hAnsi="宋体"/>
              </w:rPr>
              <w:t>盖章要求</w:t>
            </w:r>
          </w:p>
        </w:tc>
        <w:tc>
          <w:tcPr>
            <w:tcW w:w="5203" w:type="dxa"/>
            <w:vAlign w:val="center"/>
          </w:tcPr>
          <w:p>
            <w:pPr>
              <w:spacing w:line="360" w:lineRule="exact"/>
              <w:jc w:val="left"/>
              <w:rPr>
                <w:sz w:val="32"/>
                <w:szCs w:val="32"/>
              </w:rPr>
            </w:pPr>
            <w:r>
              <w:rPr>
                <w:rFonts w:hint="eastAsia"/>
                <w:szCs w:val="21"/>
              </w:rPr>
              <w:t>由投标人的法定代表人签字或加盖电子印章的，应附法定代表人身份证明；由代理人签字或加盖电子印章的，应附由法定代表人签署的授权委托书。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4.1.2</w:t>
            </w:r>
          </w:p>
        </w:tc>
        <w:tc>
          <w:tcPr>
            <w:tcW w:w="2062" w:type="dxa"/>
            <w:vAlign w:val="center"/>
          </w:tcPr>
          <w:p>
            <w:pPr>
              <w:spacing w:line="440" w:lineRule="exact"/>
              <w:jc w:val="center"/>
              <w:rPr>
                <w:szCs w:val="21"/>
              </w:rPr>
            </w:pPr>
            <w:r>
              <w:rPr>
                <w:szCs w:val="21"/>
              </w:rPr>
              <w:t>封套上</w:t>
            </w:r>
            <w:r>
              <w:rPr>
                <w:rFonts w:hint="eastAsia"/>
                <w:szCs w:val="21"/>
              </w:rPr>
              <w:t>应载明的</w:t>
            </w:r>
          </w:p>
          <w:p>
            <w:pPr>
              <w:spacing w:line="440" w:lineRule="exact"/>
              <w:jc w:val="center"/>
              <w:rPr>
                <w:szCs w:val="21"/>
              </w:rPr>
            </w:pPr>
            <w:r>
              <w:rPr>
                <w:rFonts w:hint="eastAsia"/>
                <w:szCs w:val="21"/>
              </w:rPr>
              <w:t>信息</w:t>
            </w:r>
          </w:p>
        </w:tc>
        <w:tc>
          <w:tcPr>
            <w:tcW w:w="5203" w:type="dxa"/>
            <w:vAlign w:val="center"/>
          </w:tcPr>
          <w:p>
            <w:pPr>
              <w:spacing w:line="440" w:lineRule="exact"/>
              <w:rPr>
                <w:szCs w:val="21"/>
              </w:rPr>
            </w:pPr>
            <w:r>
              <w:rPr>
                <w:szCs w:val="21"/>
              </w:rPr>
              <w:t>招标人的地址：</w:t>
            </w:r>
          </w:p>
          <w:p>
            <w:pPr>
              <w:spacing w:line="440" w:lineRule="exact"/>
              <w:rPr>
                <w:szCs w:val="21"/>
              </w:rPr>
            </w:pPr>
            <w:r>
              <w:rPr>
                <w:szCs w:val="21"/>
              </w:rPr>
              <w:t>招标人名称：</w:t>
            </w:r>
          </w:p>
          <w:p>
            <w:pPr>
              <w:spacing w:line="440" w:lineRule="exact"/>
              <w:rPr>
                <w:szCs w:val="21"/>
              </w:rPr>
            </w:pPr>
            <w:r>
              <w:rPr>
                <w:szCs w:val="21"/>
                <w:u w:val="single"/>
              </w:rPr>
              <w:t>（项目名称）</w:t>
            </w:r>
            <w:r>
              <w:rPr>
                <w:szCs w:val="21"/>
              </w:rPr>
              <w:t>投标文件在</w:t>
            </w: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r>
              <w:rPr>
                <w:szCs w:val="21"/>
                <w:u w:val="single"/>
              </w:rPr>
              <w:t xml:space="preserve">   </w:t>
            </w:r>
            <w:r>
              <w:rPr>
                <w:szCs w:val="21"/>
              </w:rPr>
              <w:t>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rFonts w:hint="eastAsia"/>
                <w:szCs w:val="21"/>
              </w:rPr>
              <w:t>4.2.1</w:t>
            </w:r>
          </w:p>
        </w:tc>
        <w:tc>
          <w:tcPr>
            <w:tcW w:w="2062" w:type="dxa"/>
            <w:vAlign w:val="center"/>
          </w:tcPr>
          <w:p>
            <w:pPr>
              <w:spacing w:line="440" w:lineRule="exact"/>
              <w:jc w:val="center"/>
              <w:rPr>
                <w:szCs w:val="21"/>
              </w:rPr>
            </w:pPr>
            <w:r>
              <w:rPr>
                <w:szCs w:val="21"/>
              </w:rPr>
              <w:t>投标截止时间</w:t>
            </w:r>
          </w:p>
        </w:tc>
        <w:tc>
          <w:tcPr>
            <w:tcW w:w="5203" w:type="dxa"/>
            <w:vAlign w:val="center"/>
          </w:tcPr>
          <w:p>
            <w:pPr>
              <w:spacing w:line="440" w:lineRule="exact"/>
              <w:rPr>
                <w:szCs w:val="21"/>
                <w:u w:val="single"/>
              </w:rPr>
            </w:pPr>
            <w:r>
              <w:rPr>
                <w:rFonts w:hint="eastAsia"/>
                <w:szCs w:val="21"/>
              </w:rPr>
              <w:t xml:space="preserve">    年   月  </w:t>
            </w:r>
            <w:r>
              <w:rPr>
                <w:szCs w:val="21"/>
              </w:rPr>
              <w:t xml:space="preserve"> </w:t>
            </w:r>
            <w:r>
              <w:rPr>
                <w:rFonts w:hint="eastAsia"/>
                <w:szCs w:val="21"/>
              </w:rPr>
              <w:t xml:space="preserve">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4.2.2</w:t>
            </w:r>
            <w:r>
              <w:rPr>
                <w:rFonts w:ascii="宋体" w:hAnsi="宋体"/>
              </w:rPr>
              <w:t>（</w:t>
            </w:r>
            <w:r>
              <w:rPr>
                <w:rFonts w:eastAsia="Times New Roman"/>
              </w:rPr>
              <w:t>A</w:t>
            </w:r>
            <w:r>
              <w:rPr>
                <w:rFonts w:ascii="宋体" w:hAnsi="宋体"/>
              </w:rPr>
              <w:t>）</w:t>
            </w:r>
          </w:p>
        </w:tc>
        <w:tc>
          <w:tcPr>
            <w:tcW w:w="2062" w:type="dxa"/>
            <w:vAlign w:val="center"/>
          </w:tcPr>
          <w:p>
            <w:pPr>
              <w:spacing w:line="440" w:lineRule="exact"/>
              <w:jc w:val="center"/>
              <w:rPr>
                <w:szCs w:val="21"/>
              </w:rPr>
            </w:pPr>
            <w:r>
              <w:rPr>
                <w:szCs w:val="21"/>
              </w:rPr>
              <w:t>递交投标文件地点</w:t>
            </w:r>
          </w:p>
        </w:tc>
        <w:tc>
          <w:tcPr>
            <w:tcW w:w="5203" w:type="dxa"/>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4.2.3</w:t>
            </w:r>
          </w:p>
        </w:tc>
        <w:tc>
          <w:tcPr>
            <w:tcW w:w="2062" w:type="dxa"/>
            <w:vAlign w:val="center"/>
          </w:tcPr>
          <w:p>
            <w:pPr>
              <w:spacing w:line="440" w:lineRule="exact"/>
              <w:jc w:val="center"/>
              <w:rPr>
                <w:szCs w:val="21"/>
              </w:rPr>
            </w:pPr>
            <w:r>
              <w:rPr>
                <w:szCs w:val="21"/>
              </w:rPr>
              <w:t>是否退还投标文件</w:t>
            </w:r>
          </w:p>
        </w:tc>
        <w:tc>
          <w:tcPr>
            <w:tcW w:w="5203" w:type="dxa"/>
            <w:vAlign w:val="center"/>
          </w:tcPr>
          <w:p>
            <w:pPr>
              <w:pStyle w:val="9"/>
              <w:topLinePunct/>
              <w:spacing w:line="400" w:lineRule="exact"/>
              <w:rPr>
                <w:szCs w:val="21"/>
              </w:rPr>
            </w:pPr>
            <w:r>
              <w:rPr>
                <w:rFonts w:hint="eastAsia" w:ascii="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028" w:type="dxa"/>
            <w:vAlign w:val="center"/>
          </w:tcPr>
          <w:p>
            <w:pPr>
              <w:spacing w:line="440" w:lineRule="exact"/>
              <w:jc w:val="center"/>
              <w:rPr>
                <w:szCs w:val="21"/>
              </w:rPr>
            </w:pPr>
            <w:r>
              <w:rPr>
                <w:szCs w:val="21"/>
              </w:rPr>
              <w:t>5.1</w:t>
            </w:r>
            <w:r>
              <w:rPr>
                <w:rFonts w:ascii="宋体" w:hAnsi="宋体"/>
              </w:rPr>
              <w:t>（</w:t>
            </w:r>
            <w:r>
              <w:rPr>
                <w:rFonts w:eastAsia="Times New Roman"/>
              </w:rPr>
              <w:t>A</w:t>
            </w:r>
            <w:r>
              <w:rPr>
                <w:rFonts w:ascii="宋体" w:hAnsi="宋体"/>
              </w:rPr>
              <w:t>）</w:t>
            </w:r>
          </w:p>
        </w:tc>
        <w:tc>
          <w:tcPr>
            <w:tcW w:w="2062" w:type="dxa"/>
            <w:vAlign w:val="center"/>
          </w:tcPr>
          <w:p>
            <w:pPr>
              <w:spacing w:line="440" w:lineRule="exact"/>
              <w:jc w:val="center"/>
              <w:rPr>
                <w:szCs w:val="21"/>
              </w:rPr>
            </w:pPr>
            <w:r>
              <w:rPr>
                <w:rFonts w:hint="eastAsia"/>
                <w:szCs w:val="21"/>
              </w:rPr>
              <w:t>开标时间和地点</w:t>
            </w:r>
          </w:p>
        </w:tc>
        <w:tc>
          <w:tcPr>
            <w:tcW w:w="5203" w:type="dxa"/>
            <w:vAlign w:val="center"/>
          </w:tcPr>
          <w:p>
            <w:pPr>
              <w:spacing w:line="440" w:lineRule="exact"/>
              <w:rPr>
                <w:szCs w:val="21"/>
              </w:rPr>
            </w:pPr>
            <w:r>
              <w:rPr>
                <w:szCs w:val="21"/>
              </w:rPr>
              <w:t>开标时间</w:t>
            </w:r>
            <w:r>
              <w:rPr>
                <w:rFonts w:hint="eastAsia"/>
                <w:szCs w:val="21"/>
              </w:rPr>
              <w:t xml:space="preserve">：    年   月   日    时  </w:t>
            </w:r>
            <w:r>
              <w:rPr>
                <w:szCs w:val="21"/>
              </w:rPr>
              <w:t xml:space="preserve"> </w:t>
            </w:r>
            <w:r>
              <w:rPr>
                <w:rFonts w:hint="eastAsia"/>
                <w:szCs w:val="21"/>
              </w:rPr>
              <w:t>分</w:t>
            </w:r>
          </w:p>
          <w:p>
            <w:pPr>
              <w:spacing w:line="440" w:lineRule="exact"/>
              <w:rPr>
                <w:rFonts w:eastAsia="Calibri"/>
                <w:szCs w:val="21"/>
              </w:rPr>
            </w:pPr>
            <w:r>
              <w:rPr>
                <w:szCs w:val="21"/>
              </w:rPr>
              <w:t>开标地点</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28" w:type="dxa"/>
            <w:vAlign w:val="center"/>
          </w:tcPr>
          <w:p>
            <w:pPr>
              <w:spacing w:line="440" w:lineRule="exact"/>
              <w:jc w:val="center"/>
              <w:rPr>
                <w:szCs w:val="21"/>
              </w:rPr>
            </w:pPr>
            <w:r>
              <w:rPr>
                <w:rFonts w:hint="eastAsia"/>
                <w:szCs w:val="21"/>
              </w:rPr>
              <w:t>5.2（4）（A）</w:t>
            </w:r>
          </w:p>
        </w:tc>
        <w:tc>
          <w:tcPr>
            <w:tcW w:w="2062" w:type="dxa"/>
            <w:vAlign w:val="center"/>
          </w:tcPr>
          <w:p>
            <w:pPr>
              <w:spacing w:line="440" w:lineRule="exact"/>
              <w:jc w:val="center"/>
              <w:rPr>
                <w:szCs w:val="21"/>
              </w:rPr>
            </w:pPr>
            <w:r>
              <w:rPr>
                <w:rFonts w:hint="eastAsia"/>
                <w:szCs w:val="21"/>
              </w:rPr>
              <w:t>开标程序</w:t>
            </w:r>
          </w:p>
        </w:tc>
        <w:tc>
          <w:tcPr>
            <w:tcW w:w="5203" w:type="dxa"/>
            <w:vAlign w:val="center"/>
          </w:tcPr>
          <w:p>
            <w:pPr>
              <w:spacing w:line="440" w:lineRule="exact"/>
              <w:rPr>
                <w:szCs w:val="21"/>
              </w:rPr>
            </w:pPr>
            <w:r>
              <w:rPr>
                <w:rFonts w:hint="eastAsia"/>
                <w:szCs w:val="21"/>
              </w:rPr>
              <w:t>密封情况检查：由投标人、监标人检查</w:t>
            </w:r>
          </w:p>
          <w:p>
            <w:pPr>
              <w:spacing w:line="440" w:lineRule="exact"/>
              <w:rPr>
                <w:szCs w:val="21"/>
              </w:rPr>
            </w:pPr>
            <w:r>
              <w:rPr>
                <w:rFonts w:hint="eastAsia"/>
                <w:szCs w:val="21"/>
              </w:rPr>
              <w:t>开标顺序：递交逆次序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028" w:type="dxa"/>
            <w:vAlign w:val="center"/>
          </w:tcPr>
          <w:p>
            <w:pPr>
              <w:spacing w:line="440" w:lineRule="exact"/>
              <w:jc w:val="center"/>
              <w:rPr>
                <w:szCs w:val="21"/>
              </w:rPr>
            </w:pPr>
            <w:r>
              <w:rPr>
                <w:szCs w:val="21"/>
              </w:rPr>
              <w:t>6.1.1</w:t>
            </w:r>
          </w:p>
        </w:tc>
        <w:tc>
          <w:tcPr>
            <w:tcW w:w="2062" w:type="dxa"/>
            <w:vAlign w:val="center"/>
          </w:tcPr>
          <w:p>
            <w:pPr>
              <w:spacing w:line="440" w:lineRule="exact"/>
              <w:jc w:val="center"/>
              <w:rPr>
                <w:szCs w:val="21"/>
              </w:rPr>
            </w:pPr>
            <w:r>
              <w:rPr>
                <w:rFonts w:hint="eastAsia"/>
                <w:szCs w:val="21"/>
              </w:rPr>
              <w:t>评标委员会的组建</w:t>
            </w:r>
          </w:p>
        </w:tc>
        <w:tc>
          <w:tcPr>
            <w:tcW w:w="5203" w:type="dxa"/>
            <w:vAlign w:val="center"/>
          </w:tcPr>
          <w:p>
            <w:pPr>
              <w:spacing w:line="440" w:lineRule="exact"/>
              <w:rPr>
                <w:szCs w:val="21"/>
              </w:rPr>
            </w:pPr>
            <w:r>
              <w:rPr>
                <w:szCs w:val="21"/>
              </w:rPr>
              <w:t>评标委员会</w:t>
            </w:r>
            <w:r>
              <w:rPr>
                <w:rFonts w:hint="eastAsia"/>
                <w:szCs w:val="21"/>
              </w:rPr>
              <w:t>构成：</w:t>
            </w:r>
            <w:r>
              <w:rPr>
                <w:rFonts w:hint="eastAsia"/>
                <w:szCs w:val="21"/>
                <w:u w:val="single"/>
              </w:rPr>
              <w:t xml:space="preserve">   </w:t>
            </w:r>
            <w:r>
              <w:rPr>
                <w:rFonts w:hint="eastAsia"/>
                <w:szCs w:val="21"/>
              </w:rPr>
              <w:t>人</w:t>
            </w:r>
          </w:p>
          <w:p>
            <w:pPr>
              <w:spacing w:line="440" w:lineRule="exact"/>
              <w:rPr>
                <w:szCs w:val="21"/>
              </w:rPr>
            </w:pPr>
            <w:r>
              <w:rPr>
                <w:rFonts w:hint="eastAsia"/>
                <w:szCs w:val="21"/>
              </w:rPr>
              <w:t>其中招标人代表</w:t>
            </w:r>
            <w:r>
              <w:rPr>
                <w:rFonts w:hint="eastAsia"/>
                <w:szCs w:val="21"/>
                <w:u w:val="single"/>
              </w:rPr>
              <w:t xml:space="preserve">    </w:t>
            </w:r>
            <w:r>
              <w:rPr>
                <w:rFonts w:hint="eastAsia"/>
                <w:szCs w:val="21"/>
              </w:rPr>
              <w:t>人，专家</w:t>
            </w:r>
            <w:r>
              <w:rPr>
                <w:rFonts w:hint="eastAsia"/>
                <w:szCs w:val="21"/>
                <w:u w:val="single"/>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28" w:type="dxa"/>
            <w:vAlign w:val="center"/>
          </w:tcPr>
          <w:p>
            <w:pPr>
              <w:spacing w:line="440" w:lineRule="exact"/>
              <w:jc w:val="center"/>
              <w:rPr>
                <w:szCs w:val="21"/>
              </w:rPr>
            </w:pPr>
            <w:r>
              <w:rPr>
                <w:szCs w:val="21"/>
              </w:rPr>
              <w:t>7.1</w:t>
            </w:r>
          </w:p>
        </w:tc>
        <w:tc>
          <w:tcPr>
            <w:tcW w:w="2062" w:type="dxa"/>
            <w:vAlign w:val="center"/>
          </w:tcPr>
          <w:p>
            <w:pPr>
              <w:spacing w:line="440" w:lineRule="exact"/>
              <w:jc w:val="center"/>
              <w:rPr>
                <w:szCs w:val="21"/>
              </w:rPr>
            </w:pPr>
            <w:r>
              <w:rPr>
                <w:rFonts w:hint="eastAsia"/>
                <w:szCs w:val="21"/>
              </w:rPr>
              <w:t>是否授权评标委员会确定中标人</w:t>
            </w:r>
          </w:p>
        </w:tc>
        <w:tc>
          <w:tcPr>
            <w:tcW w:w="5203" w:type="dxa"/>
            <w:vAlign w:val="center"/>
          </w:tcPr>
          <w:p>
            <w:pPr>
              <w:spacing w:line="440" w:lineRule="exact"/>
            </w:pPr>
            <w:r>
              <w:rPr>
                <w:rFonts w:hint="eastAsia"/>
                <w:szCs w:val="21"/>
              </w:rPr>
              <w:t>□</w:t>
            </w:r>
            <w:r>
              <w:rPr>
                <w:rFonts w:hint="eastAsia"/>
              </w:rPr>
              <w:t>否，</w:t>
            </w:r>
            <w:r>
              <w:t>推荐的中标候选人数</w:t>
            </w:r>
            <w:r>
              <w:rPr>
                <w:rFonts w:hint="eastAsia"/>
              </w:rPr>
              <w:t>：</w:t>
            </w:r>
            <w:r>
              <w:rPr>
                <w:rFonts w:hint="eastAsia"/>
                <w:u w:val="single"/>
              </w:rPr>
              <w:t xml:space="preserve">   </w:t>
            </w:r>
            <w:r>
              <w:rPr>
                <w:rFonts w:hint="eastAsia"/>
              </w:rPr>
              <w:t>个</w:t>
            </w:r>
          </w:p>
          <w:p>
            <w:pPr>
              <w:pStyle w:val="7"/>
            </w:pPr>
            <w:r>
              <w:rPr>
                <w:rFonts w:ascii="Times New Roman" w:hAnsi="Times New Roman" w:eastAsia="Times New Roman"/>
                <w:sz w:val="32"/>
              </w:rPr>
              <w:t>□</w:t>
            </w:r>
            <w:r>
              <w:rPr>
                <w:rFonts w:ascii="宋体" w:hAnsi="宋体"/>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28" w:type="dxa"/>
            <w:vAlign w:val="center"/>
          </w:tcPr>
          <w:p>
            <w:pPr>
              <w:spacing w:line="440" w:lineRule="exact"/>
              <w:jc w:val="center"/>
              <w:rPr>
                <w:szCs w:val="21"/>
              </w:rPr>
            </w:pPr>
            <w:r>
              <w:rPr>
                <w:rFonts w:hint="eastAsia"/>
                <w:szCs w:val="21"/>
              </w:rPr>
              <w:t>7.2</w:t>
            </w:r>
          </w:p>
        </w:tc>
        <w:tc>
          <w:tcPr>
            <w:tcW w:w="2062" w:type="dxa"/>
            <w:vAlign w:val="center"/>
          </w:tcPr>
          <w:p>
            <w:pPr>
              <w:spacing w:line="440" w:lineRule="exact"/>
              <w:jc w:val="center"/>
              <w:rPr>
                <w:szCs w:val="21"/>
              </w:rPr>
            </w:pPr>
            <w:r>
              <w:rPr>
                <w:rFonts w:hint="eastAsia"/>
                <w:szCs w:val="21"/>
              </w:rPr>
              <w:t>中标候选人公示</w:t>
            </w:r>
          </w:p>
        </w:tc>
        <w:tc>
          <w:tcPr>
            <w:tcW w:w="5203" w:type="dxa"/>
            <w:vAlign w:val="center"/>
          </w:tcPr>
          <w:p>
            <w:pPr>
              <w:spacing w:line="440" w:lineRule="exact"/>
              <w:rPr>
                <w:szCs w:val="21"/>
              </w:rPr>
            </w:pPr>
            <w:r>
              <w:rPr>
                <w:rFonts w:hint="eastAsia"/>
              </w:rPr>
              <w:t>中国招标投标公共服务平台、</w:t>
            </w:r>
            <w:r>
              <w:t>全国公共资源交易平台（陕西省）、 陕西采购与招标网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1028" w:type="dxa"/>
            <w:vAlign w:val="center"/>
          </w:tcPr>
          <w:p>
            <w:pPr>
              <w:spacing w:line="440" w:lineRule="exact"/>
              <w:jc w:val="center"/>
              <w:rPr>
                <w:szCs w:val="21"/>
              </w:rPr>
            </w:pPr>
            <w:r>
              <w:rPr>
                <w:szCs w:val="21"/>
              </w:rPr>
              <w:t>7.</w:t>
            </w:r>
            <w:r>
              <w:rPr>
                <w:rFonts w:hint="eastAsia"/>
                <w:szCs w:val="21"/>
              </w:rPr>
              <w:t>4</w:t>
            </w:r>
            <w:r>
              <w:rPr>
                <w:szCs w:val="21"/>
              </w:rPr>
              <w:t>.1</w:t>
            </w:r>
          </w:p>
        </w:tc>
        <w:tc>
          <w:tcPr>
            <w:tcW w:w="2062" w:type="dxa"/>
            <w:vAlign w:val="center"/>
          </w:tcPr>
          <w:p>
            <w:pPr>
              <w:spacing w:line="440" w:lineRule="exact"/>
              <w:jc w:val="center"/>
              <w:rPr>
                <w:szCs w:val="21"/>
              </w:rPr>
            </w:pPr>
            <w:r>
              <w:rPr>
                <w:szCs w:val="21"/>
              </w:rPr>
              <w:t>履约担保</w:t>
            </w:r>
          </w:p>
        </w:tc>
        <w:tc>
          <w:tcPr>
            <w:tcW w:w="5203" w:type="dxa"/>
            <w:vAlign w:val="center"/>
          </w:tcPr>
          <w:p>
            <w:pPr>
              <w:spacing w:line="440" w:lineRule="exact"/>
            </w:pPr>
            <w:r>
              <w:t>是否要求中标人提交履约保证金：</w:t>
            </w:r>
          </w:p>
          <w:p>
            <w:pPr>
              <w:spacing w:line="440" w:lineRule="exact"/>
            </w:pPr>
            <w:r>
              <w:rPr>
                <w:rFonts w:hint="eastAsia"/>
                <w:szCs w:val="21"/>
              </w:rPr>
              <w:t>□</w:t>
            </w:r>
            <w:r>
              <w:t>要求</w:t>
            </w:r>
          </w:p>
          <w:p>
            <w:pPr>
              <w:spacing w:line="440" w:lineRule="exact"/>
            </w:pPr>
            <w:r>
              <w:t>履约保证金的形式：</w:t>
            </w:r>
            <w:r>
              <w:rPr>
                <w:rFonts w:hint="eastAsia"/>
              </w:rPr>
              <w:t xml:space="preserve"> </w:t>
            </w:r>
          </w:p>
          <w:p>
            <w:pPr>
              <w:spacing w:line="440" w:lineRule="exact"/>
            </w:pPr>
            <w:r>
              <w:t>履约保证金的金额：</w:t>
            </w:r>
            <w:r>
              <w:rPr>
                <w:rFonts w:hint="eastAsia"/>
                <w:u w:val="single"/>
              </w:rPr>
              <w:t xml:space="preserve">  </w:t>
            </w:r>
            <w:r>
              <w:rPr>
                <w:rFonts w:hint="eastAsia"/>
                <w:i/>
                <w:u w:val="single"/>
              </w:rPr>
              <w:t>（</w:t>
            </w:r>
            <w:r>
              <w:rPr>
                <w:rFonts w:hint="eastAsia"/>
                <w:i/>
                <w:iCs/>
                <w:u w:val="single"/>
              </w:rPr>
              <w:t>中标合同金额的</w:t>
            </w:r>
            <w:r>
              <w:rPr>
                <w:i/>
                <w:iCs/>
                <w:u w:val="single"/>
              </w:rPr>
              <w:t>5%-10%</w:t>
            </w:r>
            <w:r>
              <w:rPr>
                <w:rFonts w:hint="eastAsia"/>
                <w:i/>
                <w:u w:val="single"/>
              </w:rPr>
              <w:t>）</w:t>
            </w:r>
            <w:r>
              <w:rPr>
                <w:rFonts w:hint="eastAsia"/>
                <w:u w:val="single"/>
              </w:rPr>
              <w:t xml:space="preserve"> </w:t>
            </w:r>
          </w:p>
          <w:p>
            <w:pPr>
              <w:pStyle w:val="7"/>
            </w:pPr>
            <w:r>
              <w:rPr>
                <w:rFonts w:ascii="Times New Roman" w:hAnsi="Times New Roman" w:eastAsia="Times New Roman"/>
                <w:sz w:val="32"/>
              </w:rPr>
              <w:t>□</w:t>
            </w:r>
            <w:r>
              <w:rPr>
                <w:rFonts w:ascii="宋体" w:hAnsi="宋体"/>
                <w:sz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b/>
                <w:szCs w:val="21"/>
              </w:rPr>
            </w:pPr>
            <w:r>
              <w:rPr>
                <w:rFonts w:hint="eastAsia"/>
                <w:bCs/>
                <w:szCs w:val="21"/>
              </w:rPr>
              <w:t>9</w:t>
            </w:r>
          </w:p>
        </w:tc>
        <w:tc>
          <w:tcPr>
            <w:tcW w:w="2062" w:type="dxa"/>
            <w:vAlign w:val="center"/>
          </w:tcPr>
          <w:p>
            <w:pPr>
              <w:spacing w:line="440" w:lineRule="exact"/>
              <w:jc w:val="center"/>
              <w:rPr>
                <w:szCs w:val="21"/>
              </w:rPr>
            </w:pPr>
            <w:r>
              <w:rPr>
                <w:rFonts w:hint="eastAsia"/>
                <w:szCs w:val="21"/>
              </w:rPr>
              <w:t>需要</w:t>
            </w:r>
            <w:r>
              <w:rPr>
                <w:szCs w:val="21"/>
              </w:rPr>
              <w:t>补充</w:t>
            </w:r>
            <w:r>
              <w:rPr>
                <w:rFonts w:hint="eastAsia"/>
                <w:szCs w:val="21"/>
              </w:rPr>
              <w:t>的其他</w:t>
            </w:r>
          </w:p>
          <w:p>
            <w:pPr>
              <w:spacing w:line="440" w:lineRule="exact"/>
              <w:jc w:val="center"/>
              <w:rPr>
                <w:b/>
                <w:szCs w:val="21"/>
              </w:rPr>
            </w:pPr>
            <w:r>
              <w:rPr>
                <w:szCs w:val="21"/>
              </w:rPr>
              <w:t>内容</w:t>
            </w:r>
          </w:p>
        </w:tc>
        <w:tc>
          <w:tcPr>
            <w:tcW w:w="5203" w:type="dxa"/>
            <w:vAlign w:val="center"/>
          </w:tcPr>
          <w:p>
            <w:pPr>
              <w:spacing w:line="4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b/>
                <w:szCs w:val="21"/>
              </w:rPr>
            </w:pPr>
            <w:r>
              <w:rPr>
                <w:rFonts w:hint="eastAsia"/>
                <w:bCs/>
                <w:szCs w:val="21"/>
              </w:rPr>
              <w:t>10</w:t>
            </w:r>
          </w:p>
        </w:tc>
        <w:tc>
          <w:tcPr>
            <w:tcW w:w="2062" w:type="dxa"/>
            <w:vAlign w:val="center"/>
          </w:tcPr>
          <w:p>
            <w:pPr>
              <w:jc w:val="center"/>
            </w:pPr>
            <w:r>
              <w:rPr>
                <w:rFonts w:hint="eastAsia"/>
              </w:rPr>
              <w:t>电子招标投标</w:t>
            </w:r>
          </w:p>
        </w:tc>
        <w:tc>
          <w:tcPr>
            <w:tcW w:w="5203" w:type="dxa"/>
            <w:vAlign w:val="center"/>
          </w:tcPr>
          <w:p>
            <w:pPr>
              <w:spacing w:line="440" w:lineRule="exact"/>
              <w:jc w:val="left"/>
            </w:pPr>
            <w:r>
              <w:t>是否采用电子招标投标</w:t>
            </w:r>
          </w:p>
          <w:p>
            <w:pPr>
              <w:spacing w:line="440" w:lineRule="exact"/>
            </w:pPr>
            <w:r>
              <w:rPr>
                <w:rFonts w:hint="eastAsia"/>
                <w:szCs w:val="21"/>
              </w:rPr>
              <w:t>□</w:t>
            </w:r>
            <w:r>
              <w:rPr>
                <w:rFonts w:ascii="Calibri" w:hAnsi="Calibri"/>
              </w:rPr>
              <w:t>否</w:t>
            </w:r>
          </w:p>
          <w:p>
            <w:pPr>
              <w:spacing w:line="440" w:lineRule="exact"/>
            </w:pPr>
            <w:r>
              <w:rPr>
                <w:rFonts w:hint="eastAsia"/>
                <w:szCs w:val="21"/>
              </w:rPr>
              <w:t>□</w:t>
            </w:r>
            <w:r>
              <w:t>是，具体要求</w:t>
            </w:r>
            <w:r>
              <w:rPr>
                <w:rFonts w:ascii="Calibri" w:hAnsi="Calibri"/>
              </w:rPr>
              <w:t>：</w:t>
            </w:r>
          </w:p>
        </w:tc>
      </w:tr>
    </w:tbl>
    <w:p>
      <w:pPr>
        <w:pStyle w:val="5"/>
        <w:snapToGrid w:val="0"/>
        <w:spacing w:before="0" w:after="0" w:line="500" w:lineRule="exact"/>
        <w:ind w:left="0" w:leftChars="0" w:firstLine="0" w:firstLineChars="0"/>
      </w:pPr>
      <w:r>
        <w:br w:type="page"/>
      </w:r>
      <w:bookmarkStart w:id="54" w:name="_Toc152042305"/>
      <w:bookmarkStart w:id="55" w:name="_Toc3997837"/>
      <w:bookmarkStart w:id="56" w:name="_Toc152045529"/>
      <w:bookmarkStart w:id="57" w:name="_Toc144974497"/>
      <w:bookmarkStart w:id="58" w:name="_Toc247513952"/>
      <w:bookmarkStart w:id="59" w:name="_Toc6343"/>
      <w:bookmarkStart w:id="60" w:name="_Toc247527553"/>
      <w:r>
        <w:rPr>
          <w:rFonts w:hint="eastAsia"/>
          <w:b/>
          <w:bCs w:val="0"/>
          <w:sz w:val="30"/>
          <w:szCs w:val="30"/>
        </w:rPr>
        <w:t>1. 总则</w:t>
      </w:r>
      <w:bookmarkEnd w:id="54"/>
      <w:bookmarkEnd w:id="55"/>
      <w:bookmarkEnd w:id="56"/>
      <w:bookmarkEnd w:id="57"/>
      <w:bookmarkEnd w:id="58"/>
      <w:bookmarkEnd w:id="59"/>
      <w:bookmarkEnd w:id="60"/>
    </w:p>
    <w:p>
      <w:pPr>
        <w:pStyle w:val="6"/>
        <w:spacing w:line="500" w:lineRule="exact"/>
      </w:pPr>
      <w:bookmarkStart w:id="61" w:name="_Toc247527554"/>
      <w:bookmarkStart w:id="62" w:name="_Toc247513953"/>
      <w:bookmarkStart w:id="63" w:name="_Toc152042306"/>
      <w:bookmarkStart w:id="64" w:name="_Toc152045530"/>
      <w:bookmarkStart w:id="65" w:name="_Toc144974498"/>
      <w:bookmarkStart w:id="66" w:name="_Toc3997838"/>
      <w:r>
        <w:rPr>
          <w:rFonts w:hint="eastAsia" w:ascii="Times New Roman" w:hAnsi="Times New Roman"/>
        </w:rPr>
        <w:t>1.1</w:t>
      </w:r>
      <w:r>
        <w:rPr>
          <w:rFonts w:hint="eastAsia"/>
        </w:rPr>
        <w:t xml:space="preserve"> 项目概况</w:t>
      </w:r>
      <w:bookmarkEnd w:id="61"/>
      <w:bookmarkEnd w:id="62"/>
      <w:bookmarkEnd w:id="63"/>
      <w:bookmarkEnd w:id="64"/>
      <w:bookmarkEnd w:id="65"/>
      <w:bookmarkEnd w:id="66"/>
    </w:p>
    <w:p>
      <w:pPr>
        <w:spacing w:line="500" w:lineRule="exact"/>
        <w:ind w:firstLine="420" w:firstLineChars="200"/>
        <w:rPr>
          <w:rFonts w:ascii="宋体" w:hAnsi="宋体" w:cs="宋体"/>
        </w:rPr>
      </w:pPr>
      <w:r>
        <w:rPr>
          <w:rFonts w:hint="eastAsia" w:ascii="宋体" w:hAnsi="宋体" w:cs="宋体"/>
        </w:rPr>
        <w:t>1.1.1根据《中华人民共和国招标投标法》等有关法律、法规和规章的规定，本招标项目已具备招标条件，现对该项目代建单位招标。</w:t>
      </w:r>
    </w:p>
    <w:p>
      <w:pPr>
        <w:spacing w:line="500" w:lineRule="exact"/>
        <w:ind w:firstLine="420" w:firstLineChars="200"/>
        <w:rPr>
          <w:rFonts w:ascii="宋体" w:hAnsi="宋体" w:cs="宋体"/>
        </w:rPr>
      </w:pPr>
      <w:r>
        <w:rPr>
          <w:rFonts w:hint="eastAsia" w:ascii="宋体" w:hAnsi="宋体" w:cs="宋体"/>
        </w:rPr>
        <w:t>1.1.2 招标人：见投标人须知前附表。</w:t>
      </w:r>
    </w:p>
    <w:p>
      <w:pPr>
        <w:spacing w:line="500" w:lineRule="exact"/>
        <w:ind w:firstLine="420" w:firstLineChars="200"/>
        <w:rPr>
          <w:rFonts w:ascii="宋体" w:hAnsi="宋体" w:cs="宋体"/>
        </w:rPr>
      </w:pPr>
      <w:r>
        <w:rPr>
          <w:rFonts w:hint="eastAsia" w:ascii="宋体" w:hAnsi="宋体" w:cs="宋体"/>
        </w:rPr>
        <w:t>1.1.3 招标代理机构：见投标人须知前附表。</w:t>
      </w:r>
    </w:p>
    <w:p>
      <w:pPr>
        <w:spacing w:line="500" w:lineRule="exact"/>
        <w:ind w:firstLine="420" w:firstLineChars="200"/>
        <w:rPr>
          <w:rFonts w:ascii="宋体" w:hAnsi="宋体" w:cs="宋体"/>
        </w:rPr>
      </w:pPr>
      <w:r>
        <w:rPr>
          <w:rFonts w:hint="eastAsia" w:ascii="宋体" w:hAnsi="宋体" w:cs="宋体"/>
        </w:rPr>
        <w:t>1.1.4 招标项目名称：见投标人须知前附表。</w:t>
      </w:r>
    </w:p>
    <w:p>
      <w:pPr>
        <w:spacing w:line="500" w:lineRule="exact"/>
        <w:ind w:firstLine="420" w:firstLineChars="200"/>
      </w:pPr>
      <w:r>
        <w:rPr>
          <w:rFonts w:hint="eastAsia" w:ascii="宋体" w:hAnsi="宋体" w:cs="宋体"/>
        </w:rPr>
        <w:t>1.1.5 项目建设地点：见投标人须知前附表</w:t>
      </w:r>
      <w:r>
        <w:rPr>
          <w:rFonts w:hint="eastAsia"/>
        </w:rPr>
        <w:t>。</w:t>
      </w:r>
    </w:p>
    <w:p>
      <w:pPr>
        <w:pStyle w:val="6"/>
        <w:spacing w:line="500" w:lineRule="exact"/>
      </w:pPr>
      <w:bookmarkStart w:id="67" w:name="_Toc247513954"/>
      <w:bookmarkStart w:id="68" w:name="_Toc152045531"/>
      <w:bookmarkStart w:id="69" w:name="_Toc144974499"/>
      <w:bookmarkStart w:id="70" w:name="_Toc247527555"/>
      <w:bookmarkStart w:id="71" w:name="_Toc3997839"/>
      <w:bookmarkStart w:id="72" w:name="_Toc152042307"/>
      <w:r>
        <w:rPr>
          <w:rFonts w:hint="eastAsia" w:ascii="Times New Roman" w:hAnsi="Times New Roman"/>
        </w:rPr>
        <w:t xml:space="preserve">1.2 </w:t>
      </w:r>
      <w:r>
        <w:rPr>
          <w:rFonts w:hint="eastAsia"/>
        </w:rPr>
        <w:t>项目的资金来源和落实情况</w:t>
      </w:r>
      <w:bookmarkEnd w:id="67"/>
      <w:bookmarkEnd w:id="68"/>
      <w:bookmarkEnd w:id="69"/>
      <w:bookmarkEnd w:id="70"/>
      <w:bookmarkEnd w:id="71"/>
      <w:bookmarkEnd w:id="72"/>
    </w:p>
    <w:p>
      <w:pPr>
        <w:spacing w:line="500" w:lineRule="exact"/>
        <w:ind w:firstLine="420" w:firstLineChars="200"/>
      </w:pPr>
      <w:r>
        <w:rPr>
          <w:rFonts w:hint="eastAsia"/>
        </w:rPr>
        <w:t>1.2.1 资金来源及比例：见投标人须知前附表。</w:t>
      </w:r>
    </w:p>
    <w:p>
      <w:pPr>
        <w:spacing w:line="500" w:lineRule="exact"/>
        <w:ind w:firstLine="420" w:firstLineChars="200"/>
      </w:pPr>
      <w:r>
        <w:rPr>
          <w:rFonts w:hint="eastAsia"/>
        </w:rPr>
        <w:t>1.2.2 资金落实情况：见投标人须知前附表。</w:t>
      </w:r>
    </w:p>
    <w:p>
      <w:pPr>
        <w:pStyle w:val="6"/>
        <w:spacing w:line="500" w:lineRule="exact"/>
      </w:pPr>
      <w:bookmarkStart w:id="73" w:name="_Toc152042308"/>
      <w:bookmarkStart w:id="74" w:name="_Toc247513955"/>
      <w:bookmarkStart w:id="75" w:name="_Toc144974500"/>
      <w:bookmarkStart w:id="76" w:name="_Toc247527556"/>
      <w:bookmarkStart w:id="77" w:name="_Toc152045532"/>
      <w:bookmarkStart w:id="78" w:name="_Toc3997840"/>
      <w:r>
        <w:rPr>
          <w:rFonts w:hint="eastAsia" w:ascii="Times New Roman" w:hAnsi="Times New Roman"/>
        </w:rPr>
        <w:t>1.3</w:t>
      </w:r>
      <w:r>
        <w:rPr>
          <w:rFonts w:hint="eastAsia"/>
        </w:rPr>
        <w:t xml:space="preserve"> 招标范围、服务周期和</w:t>
      </w:r>
      <w:bookmarkEnd w:id="73"/>
      <w:bookmarkEnd w:id="74"/>
      <w:bookmarkEnd w:id="75"/>
      <w:bookmarkEnd w:id="76"/>
      <w:bookmarkEnd w:id="77"/>
      <w:r>
        <w:rPr>
          <w:rFonts w:hint="eastAsia"/>
        </w:rPr>
        <w:t>质量标准</w:t>
      </w:r>
      <w:bookmarkEnd w:id="78"/>
    </w:p>
    <w:p>
      <w:pPr>
        <w:spacing w:line="500" w:lineRule="exact"/>
        <w:ind w:firstLine="420" w:firstLineChars="200"/>
      </w:pPr>
      <w:r>
        <w:rPr>
          <w:rFonts w:hint="eastAsia"/>
        </w:rPr>
        <w:t>1.3.1 招标范围：见投标人须知前附表。</w:t>
      </w:r>
    </w:p>
    <w:p>
      <w:pPr>
        <w:spacing w:line="500" w:lineRule="exact"/>
        <w:ind w:firstLine="420" w:firstLineChars="200"/>
      </w:pPr>
      <w:r>
        <w:rPr>
          <w:rFonts w:hint="eastAsia"/>
        </w:rPr>
        <w:t>1.3.2</w:t>
      </w:r>
      <w:r>
        <w:t xml:space="preserve"> </w:t>
      </w:r>
      <w:r>
        <w:rPr>
          <w:rFonts w:hint="eastAsia"/>
        </w:rPr>
        <w:t>服务周期：见投标人须知前附表。</w:t>
      </w:r>
    </w:p>
    <w:p>
      <w:pPr>
        <w:spacing w:line="500" w:lineRule="exact"/>
        <w:ind w:firstLine="420" w:firstLineChars="200"/>
      </w:pPr>
      <w:r>
        <w:rPr>
          <w:rFonts w:hint="eastAsia"/>
        </w:rPr>
        <w:t>1.3.3 质量标准：见投标人须知前附表。</w:t>
      </w:r>
    </w:p>
    <w:p>
      <w:pPr>
        <w:pStyle w:val="6"/>
        <w:spacing w:line="500" w:lineRule="exact"/>
      </w:pPr>
      <w:bookmarkStart w:id="79" w:name="_Toc144974502"/>
      <w:bookmarkStart w:id="80" w:name="_Toc247527558"/>
      <w:bookmarkStart w:id="81" w:name="_Toc152045534"/>
      <w:bookmarkStart w:id="82" w:name="_Toc247513957"/>
      <w:bookmarkStart w:id="83" w:name="_Toc152042310"/>
      <w:bookmarkStart w:id="84" w:name="_Toc3997841"/>
      <w:r>
        <w:rPr>
          <w:rFonts w:hint="eastAsia" w:ascii="Times New Roman" w:hAnsi="Times New Roman"/>
        </w:rPr>
        <w:t>1.4</w:t>
      </w:r>
      <w:r>
        <w:rPr>
          <w:rFonts w:hint="eastAsia"/>
        </w:rPr>
        <w:t xml:space="preserve"> 投标人资格要求</w:t>
      </w:r>
      <w:bookmarkEnd w:id="79"/>
      <w:bookmarkEnd w:id="80"/>
      <w:bookmarkEnd w:id="81"/>
      <w:bookmarkEnd w:id="82"/>
      <w:bookmarkEnd w:id="83"/>
      <w:bookmarkEnd w:id="84"/>
    </w:p>
    <w:p>
      <w:pPr>
        <w:spacing w:line="500" w:lineRule="exact"/>
        <w:ind w:firstLine="420" w:firstLineChars="200"/>
        <w:rPr>
          <w:rFonts w:ascii="宋体" w:hAnsi="宋体" w:cs="宋体"/>
        </w:rPr>
      </w:pPr>
      <w:r>
        <w:rPr>
          <w:rFonts w:hint="eastAsia"/>
        </w:rPr>
        <w:t>1</w:t>
      </w:r>
      <w:r>
        <w:rPr>
          <w:rFonts w:hint="eastAsia" w:ascii="宋体" w:hAnsi="宋体" w:cs="宋体"/>
        </w:rPr>
        <w:t>.4.1 投标人应具备承担本招标项目资格条件。</w:t>
      </w:r>
    </w:p>
    <w:p>
      <w:pPr>
        <w:spacing w:line="500" w:lineRule="exact"/>
        <w:ind w:firstLine="315" w:firstLineChars="150"/>
        <w:rPr>
          <w:rFonts w:ascii="宋体" w:hAnsi="宋体" w:cs="宋体"/>
        </w:rPr>
      </w:pPr>
      <w:r>
        <w:rPr>
          <w:rFonts w:hint="eastAsia" w:ascii="宋体" w:hAnsi="宋体" w:cs="宋体"/>
        </w:rPr>
        <w:t>（1）能力要求：见投标人须知前附表；</w:t>
      </w:r>
    </w:p>
    <w:p>
      <w:pPr>
        <w:spacing w:line="500" w:lineRule="exact"/>
        <w:ind w:firstLine="315" w:firstLineChars="150"/>
        <w:rPr>
          <w:rFonts w:ascii="宋体" w:hAnsi="宋体" w:cs="宋体"/>
        </w:rPr>
      </w:pPr>
      <w:r>
        <w:rPr>
          <w:rFonts w:hint="eastAsia" w:ascii="宋体" w:hAnsi="宋体" w:cs="宋体"/>
        </w:rPr>
        <w:t>（2）代建项目经理及专业负责人要求：见投标人须知前附表；</w:t>
      </w:r>
    </w:p>
    <w:p>
      <w:pPr>
        <w:spacing w:line="500" w:lineRule="exact"/>
        <w:ind w:firstLine="315" w:firstLineChars="150"/>
        <w:rPr>
          <w:rFonts w:ascii="宋体" w:hAnsi="宋体" w:cs="宋体"/>
        </w:rPr>
      </w:pPr>
      <w:r>
        <w:rPr>
          <w:rFonts w:hint="eastAsia" w:ascii="宋体" w:hAnsi="宋体" w:cs="宋体"/>
        </w:rPr>
        <w:t>（3）其他要求：见投标人须知前附表。</w:t>
      </w:r>
    </w:p>
    <w:p>
      <w:pPr>
        <w:spacing w:line="500" w:lineRule="exact"/>
        <w:ind w:firstLine="420" w:firstLineChars="200"/>
        <w:rPr>
          <w:rFonts w:ascii="宋体" w:hAnsi="宋体" w:cs="宋体"/>
        </w:rPr>
      </w:pPr>
      <w:r>
        <w:rPr>
          <w:rFonts w:hint="eastAsia" w:ascii="宋体" w:hAnsi="宋体" w:cs="宋体"/>
        </w:rPr>
        <w:t xml:space="preserve">1.4.2 投标人须知前附表规定接受联合体投标的，除应符合本章第1.4.1项和投标人须知前附表的要求外，还应遵守以下规定： </w:t>
      </w:r>
    </w:p>
    <w:p>
      <w:pPr>
        <w:spacing w:line="500" w:lineRule="exact"/>
        <w:ind w:firstLine="315" w:firstLineChars="150"/>
        <w:rPr>
          <w:rFonts w:ascii="宋体" w:hAnsi="宋体" w:cs="宋体"/>
        </w:rPr>
      </w:pPr>
      <w:r>
        <w:rPr>
          <w:rFonts w:hint="eastAsia" w:ascii="宋体" w:hAnsi="宋体" w:cs="宋体"/>
        </w:rPr>
        <w:t>（1）联合体各方应按招标文件提供的格式签订联合体协议书，明确联合体牵头人和各方权利义务；</w:t>
      </w:r>
    </w:p>
    <w:p>
      <w:pPr>
        <w:spacing w:line="500" w:lineRule="exact"/>
        <w:ind w:firstLine="315" w:firstLineChars="150"/>
        <w:rPr>
          <w:rFonts w:ascii="宋体" w:hAnsi="宋体" w:cs="宋体"/>
        </w:rPr>
      </w:pPr>
      <w:r>
        <w:rPr>
          <w:rFonts w:hint="eastAsia" w:ascii="宋体" w:hAnsi="宋体" w:cs="宋体"/>
        </w:rPr>
        <w:t>（2）联合体中有同类资质的投标人按照联合体分工承担相同工作的，应当按照资质等级较低的投标人确定资质等级；</w:t>
      </w:r>
    </w:p>
    <w:p>
      <w:pPr>
        <w:spacing w:line="500" w:lineRule="exact"/>
        <w:ind w:firstLine="315" w:firstLineChars="150"/>
      </w:pPr>
      <w:r>
        <w:rPr>
          <w:rFonts w:hint="eastAsia" w:ascii="宋体" w:hAnsi="宋体" w:cs="宋体"/>
        </w:rPr>
        <w:t>（3）联合体各方不得再以自己名义单独或参加其他联合体在本招标项目中投标</w:t>
      </w:r>
      <w:r>
        <w:rPr>
          <w:rFonts w:hint="eastAsia"/>
        </w:rPr>
        <w:t>。</w:t>
      </w:r>
    </w:p>
    <w:p>
      <w:pPr>
        <w:spacing w:line="500" w:lineRule="exact"/>
        <w:ind w:firstLine="420" w:firstLineChars="200"/>
        <w:rPr>
          <w:rFonts w:ascii="宋体" w:hAnsi="宋体" w:cs="宋体"/>
        </w:rPr>
      </w:pPr>
      <w:r>
        <w:rPr>
          <w:rFonts w:hint="eastAsia" w:ascii="宋体" w:hAnsi="宋体" w:cs="宋体"/>
        </w:rPr>
        <w:t>1.4.3 投标人不得存在下列情形之一：</w:t>
      </w:r>
    </w:p>
    <w:p>
      <w:pPr>
        <w:spacing w:line="500" w:lineRule="exact"/>
        <w:ind w:firstLine="315" w:firstLineChars="150"/>
        <w:rPr>
          <w:rFonts w:ascii="宋体" w:hAnsi="宋体" w:cs="宋体"/>
        </w:rPr>
      </w:pPr>
      <w:r>
        <w:rPr>
          <w:rFonts w:hint="eastAsia" w:ascii="宋体" w:hAnsi="宋体" w:cs="宋体"/>
        </w:rPr>
        <w:t xml:space="preserve">（1）为招标人不具有独立法人资格的附属机构（单位）或事业单位； </w:t>
      </w:r>
    </w:p>
    <w:p>
      <w:pPr>
        <w:spacing w:line="500" w:lineRule="exact"/>
        <w:ind w:firstLine="315" w:firstLineChars="150"/>
        <w:rPr>
          <w:rFonts w:ascii="宋体" w:hAnsi="宋体" w:cs="宋体"/>
        </w:rPr>
      </w:pPr>
      <w:r>
        <w:rPr>
          <w:rFonts w:hint="eastAsia" w:ascii="宋体" w:hAnsi="宋体" w:cs="宋体"/>
        </w:rPr>
        <w:t>（2）为本代建单位招标项目提供前期咨询服务的；</w:t>
      </w:r>
    </w:p>
    <w:p>
      <w:pPr>
        <w:spacing w:line="500" w:lineRule="exact"/>
        <w:ind w:firstLine="315" w:firstLineChars="150"/>
        <w:rPr>
          <w:rFonts w:ascii="宋体" w:hAnsi="宋体" w:cs="宋体"/>
        </w:rPr>
      </w:pPr>
      <w:r>
        <w:rPr>
          <w:rFonts w:hint="eastAsia" w:ascii="宋体" w:hAnsi="宋体" w:cs="宋体"/>
        </w:rPr>
        <w:t xml:space="preserve">（3）为本招标项目提供代建招标代理服务的； </w:t>
      </w:r>
    </w:p>
    <w:p>
      <w:pPr>
        <w:spacing w:line="500" w:lineRule="exact"/>
        <w:ind w:firstLine="315" w:firstLineChars="150"/>
        <w:rPr>
          <w:rFonts w:ascii="宋体" w:hAnsi="宋体" w:cs="宋体"/>
        </w:rPr>
      </w:pPr>
      <w:r>
        <w:rPr>
          <w:rFonts w:hint="eastAsia" w:ascii="宋体" w:hAnsi="宋体" w:cs="宋体"/>
        </w:rPr>
        <w:t xml:space="preserve">（4）被责令停业的； </w:t>
      </w:r>
    </w:p>
    <w:p>
      <w:pPr>
        <w:spacing w:line="500" w:lineRule="exact"/>
        <w:ind w:firstLine="315" w:firstLineChars="150"/>
        <w:rPr>
          <w:rFonts w:ascii="宋体" w:hAnsi="宋体" w:cs="宋体"/>
        </w:rPr>
      </w:pPr>
      <w:r>
        <w:rPr>
          <w:rFonts w:hint="eastAsia" w:ascii="宋体" w:hAnsi="宋体" w:cs="宋体"/>
        </w:rPr>
        <w:t>（5）被暂停或取消投标资格的；</w:t>
      </w:r>
    </w:p>
    <w:p>
      <w:pPr>
        <w:spacing w:line="500" w:lineRule="exact"/>
        <w:ind w:firstLine="315" w:firstLineChars="150"/>
        <w:rPr>
          <w:rFonts w:ascii="宋体" w:hAnsi="宋体" w:cs="宋体"/>
        </w:rPr>
      </w:pPr>
      <w:r>
        <w:rPr>
          <w:rFonts w:hint="eastAsia" w:ascii="宋体" w:hAnsi="宋体" w:cs="宋体"/>
        </w:rPr>
        <w:t>（6）财产被接管或冻结的；</w:t>
      </w:r>
    </w:p>
    <w:p>
      <w:pPr>
        <w:spacing w:line="500" w:lineRule="exact"/>
        <w:ind w:firstLine="315" w:firstLineChars="150"/>
        <w:rPr>
          <w:rFonts w:ascii="宋体" w:hAnsi="宋体" w:cs="宋体"/>
        </w:rPr>
      </w:pPr>
      <w:r>
        <w:rPr>
          <w:rFonts w:hint="eastAsia" w:ascii="宋体" w:hAnsi="宋体" w:cs="宋体"/>
        </w:rPr>
        <w:t>（7） 在最近三年内有骗取中标或严重违约或重大工程质量问题的；近三年法定代表人、经济或技术负责人因违反有关政府采购和招标投标管理规定受到行政处分或刑事处罚的；</w:t>
      </w:r>
    </w:p>
    <w:p>
      <w:pPr>
        <w:spacing w:line="500" w:lineRule="exact"/>
        <w:ind w:firstLine="315" w:firstLineChars="150"/>
        <w:rPr>
          <w:rFonts w:ascii="宋体" w:hAnsi="宋体" w:cs="宋体"/>
        </w:rPr>
      </w:pPr>
      <w:r>
        <w:rPr>
          <w:rFonts w:hint="eastAsia" w:ascii="宋体" w:hAnsi="宋体" w:cs="宋体"/>
        </w:rPr>
        <w:t>（8）与本招标项目的代建单位招标代理机构同为一个法定代表人的；</w:t>
      </w:r>
    </w:p>
    <w:p>
      <w:pPr>
        <w:spacing w:line="500" w:lineRule="exact"/>
        <w:ind w:firstLine="315" w:firstLineChars="150"/>
        <w:rPr>
          <w:rFonts w:ascii="宋体" w:hAnsi="宋体" w:cs="宋体"/>
        </w:rPr>
      </w:pPr>
      <w:r>
        <w:rPr>
          <w:rFonts w:hint="eastAsia" w:ascii="宋体" w:hAnsi="宋体" w:cs="宋体"/>
        </w:rPr>
        <w:t>（9）与本招标项目的代建单位招标代理机构相互控股或参股的；</w:t>
      </w:r>
    </w:p>
    <w:p>
      <w:pPr>
        <w:spacing w:line="500" w:lineRule="exact"/>
        <w:ind w:firstLine="315" w:firstLineChars="150"/>
        <w:rPr>
          <w:rFonts w:ascii="宋体" w:hAnsi="宋体" w:cs="宋体"/>
        </w:rPr>
      </w:pPr>
      <w:r>
        <w:rPr>
          <w:rFonts w:hint="eastAsia" w:ascii="宋体" w:hAnsi="宋体" w:cs="宋体"/>
        </w:rPr>
        <w:t>（10）与本招标项目的代建单位招标代理机构相互任职或工作的；</w:t>
      </w:r>
    </w:p>
    <w:p>
      <w:pPr>
        <w:spacing w:line="500" w:lineRule="exact"/>
        <w:ind w:firstLine="315" w:firstLineChars="150"/>
        <w:rPr>
          <w:rFonts w:ascii="宋体" w:hAnsi="宋体" w:cs="宋体"/>
        </w:rPr>
      </w:pPr>
      <w:r>
        <w:rPr>
          <w:rFonts w:hint="eastAsia" w:ascii="宋体" w:hAnsi="宋体" w:cs="宋体"/>
        </w:rPr>
        <w:t>（11）存在《陕西省省直政府投资项目代建制管理办法（试行）》第三十一条规定情形的；</w:t>
      </w:r>
    </w:p>
    <w:p>
      <w:pPr>
        <w:spacing w:line="500" w:lineRule="exact"/>
        <w:ind w:firstLine="315" w:firstLineChars="150"/>
      </w:pPr>
      <w:r>
        <w:rPr>
          <w:rFonts w:hint="eastAsia"/>
        </w:rPr>
        <w:t>（</w:t>
      </w:r>
      <w:r>
        <w:rPr>
          <w:rFonts w:hint="eastAsia" w:ascii="宋体" w:hAnsi="宋体" w:cs="宋体"/>
        </w:rPr>
        <w:t>12</w:t>
      </w:r>
      <w:r>
        <w:rPr>
          <w:rFonts w:hint="eastAsia"/>
        </w:rPr>
        <w:t>）其他法律法规规定的。</w:t>
      </w:r>
    </w:p>
    <w:p>
      <w:pPr>
        <w:spacing w:line="500" w:lineRule="exact"/>
        <w:ind w:firstLine="420" w:firstLineChars="200"/>
        <w:rPr>
          <w:rFonts w:ascii="宋体" w:hAnsi="宋体" w:cs="宋体"/>
        </w:rPr>
      </w:pPr>
      <w:r>
        <w:rPr>
          <w:rFonts w:hint="eastAsia" w:ascii="宋体" w:hAnsi="宋体" w:cs="宋体"/>
        </w:rPr>
        <w:t>1.4.4 单位负责人为同一人或者存在控股、管理关系的不同单位，</w:t>
      </w:r>
      <w:r>
        <w:rPr>
          <w:rFonts w:hint="eastAsia"/>
          <w:szCs w:val="21"/>
        </w:rPr>
        <w:t>不得参加同一标段投标或者未划分标段的同一招标项目投标。</w:t>
      </w:r>
    </w:p>
    <w:p>
      <w:pPr>
        <w:pStyle w:val="6"/>
        <w:spacing w:line="500" w:lineRule="exact"/>
      </w:pPr>
      <w:bookmarkStart w:id="85" w:name="_Toc144974503"/>
      <w:bookmarkStart w:id="86" w:name="_Toc247513958"/>
      <w:bookmarkStart w:id="87" w:name="_Toc152042311"/>
      <w:bookmarkStart w:id="88" w:name="_Toc3997842"/>
      <w:bookmarkStart w:id="89" w:name="_Toc152045535"/>
      <w:bookmarkStart w:id="90" w:name="_Toc247527559"/>
      <w:r>
        <w:rPr>
          <w:rFonts w:hint="eastAsia" w:ascii="Times New Roman" w:hAnsi="Times New Roman"/>
        </w:rPr>
        <w:t>1.5</w:t>
      </w:r>
      <w:r>
        <w:rPr>
          <w:rFonts w:hint="eastAsia"/>
        </w:rPr>
        <w:t xml:space="preserve"> 费用</w:t>
      </w:r>
      <w:bookmarkEnd w:id="85"/>
      <w:bookmarkEnd w:id="86"/>
      <w:bookmarkEnd w:id="87"/>
      <w:bookmarkEnd w:id="88"/>
      <w:bookmarkEnd w:id="89"/>
      <w:bookmarkEnd w:id="90"/>
      <w:r>
        <w:rPr>
          <w:rFonts w:hint="eastAsia"/>
        </w:rPr>
        <w:t>承担</w:t>
      </w:r>
    </w:p>
    <w:p>
      <w:pPr>
        <w:spacing w:line="500" w:lineRule="exact"/>
        <w:ind w:firstLine="420" w:firstLineChars="200"/>
      </w:pPr>
      <w:r>
        <w:rPr>
          <w:rFonts w:hint="eastAsia"/>
        </w:rPr>
        <w:t>1.5.1 投标人准备和参加投标活动发生的费用自理。</w:t>
      </w:r>
    </w:p>
    <w:p>
      <w:pPr>
        <w:pStyle w:val="6"/>
        <w:spacing w:line="500" w:lineRule="exact"/>
      </w:pPr>
      <w:bookmarkStart w:id="91" w:name="_Toc152045536"/>
      <w:bookmarkStart w:id="92" w:name="_Toc152042312"/>
      <w:bookmarkStart w:id="93" w:name="_Toc247527560"/>
      <w:bookmarkStart w:id="94" w:name="_Toc3997843"/>
      <w:bookmarkStart w:id="95" w:name="_Toc144974504"/>
      <w:bookmarkStart w:id="96" w:name="_Toc247513959"/>
      <w:r>
        <w:rPr>
          <w:rFonts w:hint="eastAsia" w:ascii="Times New Roman" w:hAnsi="Times New Roman"/>
        </w:rPr>
        <w:t xml:space="preserve">1.6 </w:t>
      </w:r>
      <w:r>
        <w:rPr>
          <w:rFonts w:hint="eastAsia"/>
        </w:rPr>
        <w:t>保密</w:t>
      </w:r>
      <w:bookmarkEnd w:id="91"/>
      <w:bookmarkEnd w:id="92"/>
      <w:bookmarkEnd w:id="93"/>
      <w:bookmarkEnd w:id="94"/>
      <w:bookmarkEnd w:id="95"/>
      <w:bookmarkEnd w:id="96"/>
    </w:p>
    <w:p>
      <w:pPr>
        <w:spacing w:line="500" w:lineRule="exact"/>
        <w:ind w:firstLine="420" w:firstLineChars="200"/>
      </w:pPr>
      <w:r>
        <w:rPr>
          <w:rFonts w:hint="eastAsia"/>
        </w:rPr>
        <w:t xml:space="preserve">参与招标投标活动的各方应对招标文件和投标文件中的商业和技术等秘密保密，如因各方违反相应保密要求造成招标人损失的，应承担相应法律责任。 </w:t>
      </w:r>
    </w:p>
    <w:p>
      <w:pPr>
        <w:pStyle w:val="6"/>
        <w:spacing w:line="500" w:lineRule="exact"/>
      </w:pPr>
      <w:bookmarkStart w:id="97" w:name="_Toc144974505"/>
      <w:bookmarkStart w:id="98" w:name="_Toc247513960"/>
      <w:bookmarkStart w:id="99" w:name="_Toc152045537"/>
      <w:bookmarkStart w:id="100" w:name="_Toc247527561"/>
      <w:bookmarkStart w:id="101" w:name="_Toc152042313"/>
      <w:bookmarkStart w:id="102" w:name="_Toc3997844"/>
      <w:r>
        <w:rPr>
          <w:rFonts w:hint="eastAsia" w:ascii="Times New Roman" w:hAnsi="Times New Roman"/>
        </w:rPr>
        <w:t>1.7</w:t>
      </w:r>
      <w:r>
        <w:rPr>
          <w:rFonts w:hint="eastAsia"/>
        </w:rPr>
        <w:t xml:space="preserve"> 语言</w:t>
      </w:r>
      <w:bookmarkEnd w:id="97"/>
      <w:r>
        <w:rPr>
          <w:rFonts w:hint="eastAsia"/>
        </w:rPr>
        <w:t>文字</w:t>
      </w:r>
      <w:bookmarkEnd w:id="98"/>
      <w:bookmarkEnd w:id="99"/>
      <w:bookmarkEnd w:id="100"/>
      <w:bookmarkEnd w:id="101"/>
      <w:bookmarkEnd w:id="102"/>
    </w:p>
    <w:p>
      <w:pPr>
        <w:spacing w:line="500" w:lineRule="exact"/>
        <w:ind w:firstLine="420" w:firstLineChars="200"/>
      </w:pPr>
      <w:r>
        <w:rPr>
          <w:rFonts w:hint="eastAsia"/>
        </w:rPr>
        <w:t>招标投标文件使用的语言文字为中文。专用术语使用外文的，应附有中文注释。</w:t>
      </w:r>
    </w:p>
    <w:p>
      <w:pPr>
        <w:pStyle w:val="6"/>
        <w:spacing w:line="500" w:lineRule="exact"/>
      </w:pPr>
      <w:bookmarkStart w:id="103" w:name="_Toc144974506"/>
      <w:bookmarkStart w:id="104" w:name="_Toc247527562"/>
      <w:bookmarkStart w:id="105" w:name="_Toc152042314"/>
      <w:bookmarkStart w:id="106" w:name="_Toc152045538"/>
      <w:bookmarkStart w:id="107" w:name="_Toc3997845"/>
      <w:bookmarkStart w:id="108" w:name="_Toc247513961"/>
      <w:r>
        <w:rPr>
          <w:rFonts w:hint="eastAsia" w:ascii="Times New Roman" w:hAnsi="Times New Roman"/>
        </w:rPr>
        <w:t xml:space="preserve">1.8 </w:t>
      </w:r>
      <w:r>
        <w:rPr>
          <w:rFonts w:hint="eastAsia"/>
        </w:rPr>
        <w:t>计量单位</w:t>
      </w:r>
      <w:bookmarkEnd w:id="103"/>
      <w:bookmarkEnd w:id="104"/>
      <w:bookmarkEnd w:id="105"/>
      <w:bookmarkEnd w:id="106"/>
      <w:bookmarkEnd w:id="107"/>
      <w:bookmarkEnd w:id="108"/>
    </w:p>
    <w:p>
      <w:pPr>
        <w:spacing w:line="500" w:lineRule="exact"/>
        <w:ind w:firstLine="420" w:firstLineChars="200"/>
      </w:pPr>
      <w:r>
        <w:rPr>
          <w:rFonts w:hint="eastAsia"/>
        </w:rPr>
        <w:t>所有计量均采用中华人民共和国法定计量单位。</w:t>
      </w:r>
    </w:p>
    <w:p>
      <w:pPr>
        <w:pStyle w:val="6"/>
        <w:spacing w:line="500" w:lineRule="exact"/>
      </w:pPr>
      <w:bookmarkStart w:id="109" w:name="_Toc144974507"/>
      <w:bookmarkStart w:id="110" w:name="_Toc3997846"/>
      <w:bookmarkStart w:id="111" w:name="_Toc152045539"/>
      <w:bookmarkStart w:id="112" w:name="_Toc247513962"/>
      <w:bookmarkStart w:id="113" w:name="_Toc247527563"/>
      <w:bookmarkStart w:id="114" w:name="_Toc152042315"/>
      <w:r>
        <w:rPr>
          <w:rFonts w:hint="eastAsia" w:ascii="Times New Roman" w:hAnsi="Times New Roman"/>
        </w:rPr>
        <w:t>1.9</w:t>
      </w:r>
      <w:r>
        <w:rPr>
          <w:rFonts w:hint="eastAsia"/>
        </w:rPr>
        <w:t xml:space="preserve"> 踏勘现场</w:t>
      </w:r>
      <w:bookmarkEnd w:id="109"/>
      <w:bookmarkEnd w:id="110"/>
      <w:bookmarkEnd w:id="111"/>
      <w:bookmarkEnd w:id="112"/>
      <w:bookmarkEnd w:id="113"/>
      <w:bookmarkEnd w:id="114"/>
    </w:p>
    <w:p>
      <w:pPr>
        <w:spacing w:line="500" w:lineRule="exact"/>
        <w:ind w:firstLine="420" w:firstLineChars="200"/>
      </w:pPr>
      <w:r>
        <w:rPr>
          <w:rFonts w:hint="eastAsia"/>
        </w:rPr>
        <w:t xml:space="preserve">1.9.1 投标人须知前附表规定组织踏勘现场的，招标人按投标人须知前附表规定的时间、地点组织投标人踏勘项目现场。 </w:t>
      </w:r>
    </w:p>
    <w:p>
      <w:pPr>
        <w:spacing w:line="500" w:lineRule="exact"/>
        <w:ind w:firstLine="420" w:firstLineChars="200"/>
      </w:pPr>
      <w:r>
        <w:rPr>
          <w:rFonts w:hint="eastAsia"/>
        </w:rPr>
        <w:t>1.9.2 投标人踏勘现场发生的费用自理。</w:t>
      </w:r>
    </w:p>
    <w:p>
      <w:pPr>
        <w:spacing w:line="500" w:lineRule="exact"/>
        <w:ind w:firstLine="420" w:firstLineChars="200"/>
      </w:pPr>
      <w:r>
        <w:rPr>
          <w:rFonts w:hint="eastAsia"/>
        </w:rPr>
        <w:t>1.9.3 除招标人的原因外，投标人如在踏勘现场中发生的人员伤亡和财产损失，招标人概不承担任何责任。</w:t>
      </w:r>
    </w:p>
    <w:p>
      <w:pPr>
        <w:spacing w:line="500" w:lineRule="exact"/>
        <w:ind w:firstLine="420" w:firstLineChars="200"/>
      </w:pPr>
      <w:r>
        <w:rPr>
          <w:rFonts w:hint="eastAsia"/>
        </w:rPr>
        <w:t>1.9.4 招标人在踏勘现场中介绍的工程场地和相关的周边环境情况，供投标人在编制投标文件时参考，招标人不对投标人据此作出的判断和决策负责。</w:t>
      </w:r>
    </w:p>
    <w:p>
      <w:pPr>
        <w:pStyle w:val="6"/>
        <w:spacing w:line="500" w:lineRule="exact"/>
      </w:pPr>
      <w:bookmarkStart w:id="115" w:name="_Toc152042316"/>
      <w:bookmarkStart w:id="116" w:name="_Toc247527564"/>
      <w:bookmarkStart w:id="117" w:name="_Toc152045540"/>
      <w:bookmarkStart w:id="118" w:name="_Toc144974508"/>
      <w:bookmarkStart w:id="119" w:name="_Toc247513963"/>
      <w:bookmarkStart w:id="120" w:name="_Toc3997847"/>
      <w:r>
        <w:rPr>
          <w:rFonts w:hint="eastAsia" w:ascii="Times New Roman" w:hAnsi="Times New Roman"/>
        </w:rPr>
        <w:t>1.10</w:t>
      </w:r>
      <w:r>
        <w:rPr>
          <w:rFonts w:hint="eastAsia"/>
        </w:rPr>
        <w:t xml:space="preserve"> 投标预备会</w:t>
      </w:r>
      <w:bookmarkEnd w:id="115"/>
      <w:bookmarkEnd w:id="116"/>
      <w:bookmarkEnd w:id="117"/>
      <w:bookmarkEnd w:id="118"/>
      <w:bookmarkEnd w:id="119"/>
      <w:bookmarkEnd w:id="120"/>
    </w:p>
    <w:p>
      <w:pPr>
        <w:spacing w:line="500" w:lineRule="exact"/>
        <w:ind w:firstLine="420" w:firstLineChars="200"/>
      </w:pPr>
      <w:r>
        <w:rPr>
          <w:rFonts w:hint="eastAsia"/>
        </w:rPr>
        <w:t>1.10.1 投标人须知前附表规定召开投标预备会的，招标人按投标人须知前附表规定的时间和地点召开投标预备会，澄清投标人提出的问题。</w:t>
      </w:r>
    </w:p>
    <w:p>
      <w:pPr>
        <w:spacing w:line="500" w:lineRule="exact"/>
        <w:ind w:firstLine="420" w:firstLineChars="200"/>
      </w:pPr>
      <w:r>
        <w:rPr>
          <w:rFonts w:hint="eastAsia"/>
        </w:rPr>
        <w:t>1.10.2 投标人应按投标人须知前附表规定的时间和形式将提出的问题送达招标人，以便招标人在会议期间澄清。</w:t>
      </w:r>
    </w:p>
    <w:p>
      <w:pPr>
        <w:spacing w:line="500" w:lineRule="exact"/>
        <w:ind w:firstLine="420" w:firstLineChars="200"/>
      </w:pPr>
      <w:r>
        <w:rPr>
          <w:rFonts w:hint="eastAsia"/>
        </w:rPr>
        <w:t>1.10.3 投标预备会后，招标人在投标人须知前附表规定的时间内，将对投标人所提问题的澄清，以书面形式通知所有领取招标文件的投标人。该澄清内容为招标文件的组成部分。</w:t>
      </w:r>
    </w:p>
    <w:p>
      <w:pPr>
        <w:pStyle w:val="6"/>
        <w:spacing w:line="500" w:lineRule="exact"/>
      </w:pPr>
      <w:bookmarkStart w:id="121" w:name="_Toc152042317"/>
      <w:bookmarkStart w:id="122" w:name="_Toc3997848"/>
      <w:bookmarkStart w:id="123" w:name="_Toc144974509"/>
      <w:bookmarkStart w:id="124" w:name="_Toc152045541"/>
      <w:bookmarkStart w:id="125" w:name="_Toc247513964"/>
      <w:bookmarkStart w:id="126" w:name="_Toc247527565"/>
      <w:r>
        <w:rPr>
          <w:rFonts w:hint="eastAsia" w:ascii="Times New Roman" w:hAnsi="Times New Roman"/>
        </w:rPr>
        <w:t xml:space="preserve">1.11 </w:t>
      </w:r>
      <w:r>
        <w:rPr>
          <w:rFonts w:hint="eastAsia"/>
        </w:rPr>
        <w:t>分包</w:t>
      </w:r>
      <w:bookmarkEnd w:id="121"/>
      <w:bookmarkEnd w:id="122"/>
      <w:bookmarkEnd w:id="123"/>
      <w:bookmarkEnd w:id="124"/>
      <w:bookmarkEnd w:id="125"/>
      <w:bookmarkEnd w:id="126"/>
    </w:p>
    <w:p>
      <w:pPr>
        <w:spacing w:line="500" w:lineRule="exact"/>
        <w:ind w:firstLine="567" w:firstLineChars="270"/>
      </w:pPr>
      <w:r>
        <w:rPr>
          <w:rFonts w:hint="eastAsia"/>
        </w:rPr>
        <w:t>1.11.1 投标人须知前附表规定应当由分包人实施的非主体、非关键性工作，投标人应当按照第五章“发包人提供的资料及要求”的规定提供分包人候选名单及其相应资料。</w:t>
      </w:r>
    </w:p>
    <w:p>
      <w:pPr>
        <w:spacing w:line="500" w:lineRule="exact"/>
        <w:ind w:firstLine="567" w:firstLineChars="270"/>
      </w:pPr>
      <w:r>
        <w:rPr>
          <w:rFonts w:hint="eastAsia"/>
        </w:rPr>
        <w:t>1.11.2 投标人拟在中标后将中标项目的部分非主体、非关键性工作进行分包的，应符合投标人须知前附表规定的分包内容、分包金额和资质要求等限制性条件。</w:t>
      </w:r>
    </w:p>
    <w:p>
      <w:pPr>
        <w:pStyle w:val="6"/>
        <w:spacing w:line="500" w:lineRule="exact"/>
      </w:pPr>
      <w:bookmarkStart w:id="127" w:name="_Toc247527566"/>
      <w:bookmarkStart w:id="128" w:name="_Toc247513965"/>
      <w:bookmarkStart w:id="129" w:name="_Toc3997849"/>
      <w:r>
        <w:rPr>
          <w:rFonts w:hint="eastAsia" w:ascii="Times New Roman" w:hAnsi="Times New Roman"/>
        </w:rPr>
        <w:t>1.12</w:t>
      </w:r>
      <w:r>
        <w:rPr>
          <w:rFonts w:hint="eastAsia"/>
        </w:rPr>
        <w:t xml:space="preserve"> 偏离</w:t>
      </w:r>
      <w:bookmarkEnd w:id="127"/>
      <w:bookmarkEnd w:id="128"/>
      <w:bookmarkEnd w:id="129"/>
    </w:p>
    <w:p>
      <w:pPr>
        <w:spacing w:line="500" w:lineRule="exact"/>
        <w:ind w:firstLine="359" w:firstLineChars="171"/>
      </w:pPr>
      <w:r>
        <w:rPr>
          <w:rFonts w:hint="eastAsia"/>
        </w:rPr>
        <w:t>投标人须知前附表允许投标文件偏离招标文件某些要求的，偏离应当符合招标文件规定的偏离范围和幅度。</w:t>
      </w:r>
    </w:p>
    <w:p>
      <w:pPr>
        <w:pStyle w:val="5"/>
        <w:spacing w:line="500" w:lineRule="exact"/>
        <w:ind w:left="0" w:leftChars="0" w:firstLine="0" w:firstLineChars="0"/>
        <w:rPr>
          <w:b/>
          <w:bCs w:val="0"/>
          <w:sz w:val="30"/>
          <w:szCs w:val="30"/>
        </w:rPr>
      </w:pPr>
      <w:bookmarkStart w:id="130" w:name="_Toc247513966"/>
      <w:bookmarkStart w:id="131" w:name="_Toc2605"/>
      <w:bookmarkStart w:id="132" w:name="_Toc152045542"/>
      <w:bookmarkStart w:id="133" w:name="_Toc144974510"/>
      <w:bookmarkStart w:id="134" w:name="_Toc247527567"/>
      <w:bookmarkStart w:id="135" w:name="_Toc152042318"/>
      <w:bookmarkStart w:id="136" w:name="_Toc3997850"/>
      <w:r>
        <w:rPr>
          <w:rFonts w:hint="eastAsia"/>
          <w:b/>
          <w:bCs w:val="0"/>
          <w:sz w:val="30"/>
          <w:szCs w:val="30"/>
        </w:rPr>
        <w:t>2. 招标文件</w:t>
      </w:r>
      <w:bookmarkEnd w:id="130"/>
      <w:bookmarkEnd w:id="131"/>
      <w:bookmarkEnd w:id="132"/>
      <w:bookmarkEnd w:id="133"/>
      <w:bookmarkEnd w:id="134"/>
      <w:bookmarkEnd w:id="135"/>
      <w:bookmarkEnd w:id="136"/>
    </w:p>
    <w:p>
      <w:pPr>
        <w:pStyle w:val="6"/>
        <w:spacing w:line="500" w:lineRule="exact"/>
      </w:pPr>
      <w:bookmarkStart w:id="137" w:name="_Toc144974511"/>
      <w:bookmarkStart w:id="138" w:name="_Toc152045543"/>
      <w:bookmarkStart w:id="139" w:name="_Toc247527568"/>
      <w:bookmarkStart w:id="140" w:name="_Toc152042319"/>
      <w:bookmarkStart w:id="141" w:name="_Toc3997851"/>
      <w:bookmarkStart w:id="142" w:name="_Toc247513967"/>
      <w:r>
        <w:rPr>
          <w:rFonts w:hint="eastAsia" w:ascii="Times New Roman" w:hAnsi="Times New Roman"/>
        </w:rPr>
        <w:t>2.1</w:t>
      </w:r>
      <w:r>
        <w:rPr>
          <w:rFonts w:hint="eastAsia"/>
        </w:rPr>
        <w:t xml:space="preserve"> 招标文件的组成</w:t>
      </w:r>
      <w:bookmarkEnd w:id="137"/>
      <w:bookmarkEnd w:id="138"/>
      <w:bookmarkEnd w:id="139"/>
      <w:bookmarkEnd w:id="140"/>
      <w:bookmarkEnd w:id="141"/>
      <w:bookmarkEnd w:id="142"/>
    </w:p>
    <w:p>
      <w:pPr>
        <w:spacing w:line="500" w:lineRule="exact"/>
      </w:pPr>
      <w:r>
        <w:rPr>
          <w:rFonts w:hint="eastAsia"/>
        </w:rPr>
        <w:t>　　本招标文件包括：</w:t>
      </w:r>
    </w:p>
    <w:p>
      <w:pPr>
        <w:spacing w:line="500" w:lineRule="exact"/>
        <w:ind w:firstLine="359" w:firstLineChars="171"/>
      </w:pPr>
      <w:r>
        <w:rPr>
          <w:rFonts w:hint="eastAsia"/>
        </w:rPr>
        <w:t>（1）招标公告（投标邀请书）；</w:t>
      </w:r>
    </w:p>
    <w:p>
      <w:pPr>
        <w:spacing w:line="500" w:lineRule="exact"/>
        <w:ind w:firstLine="359" w:firstLineChars="171"/>
      </w:pPr>
      <w:r>
        <w:rPr>
          <w:rFonts w:hint="eastAsia"/>
        </w:rPr>
        <w:t>（2）投标人须知；</w:t>
      </w:r>
    </w:p>
    <w:p>
      <w:pPr>
        <w:spacing w:line="500" w:lineRule="exact"/>
        <w:ind w:firstLine="359" w:firstLineChars="171"/>
      </w:pPr>
      <w:r>
        <w:rPr>
          <w:rFonts w:hint="eastAsia"/>
        </w:rPr>
        <w:t>（3）评标办法；</w:t>
      </w:r>
    </w:p>
    <w:p>
      <w:pPr>
        <w:spacing w:line="500" w:lineRule="exact"/>
        <w:ind w:firstLine="359" w:firstLineChars="171"/>
      </w:pPr>
      <w:r>
        <w:rPr>
          <w:rFonts w:hint="eastAsia"/>
        </w:rPr>
        <w:t>（4）合同条款及格式；</w:t>
      </w:r>
    </w:p>
    <w:p>
      <w:pPr>
        <w:spacing w:line="500" w:lineRule="exact"/>
        <w:ind w:firstLine="359" w:firstLineChars="171"/>
      </w:pPr>
      <w:r>
        <w:rPr>
          <w:rFonts w:hint="eastAsia"/>
        </w:rPr>
        <w:t>（5）发包人提供的资料及要求；</w:t>
      </w:r>
    </w:p>
    <w:p>
      <w:pPr>
        <w:spacing w:line="500" w:lineRule="exact"/>
        <w:ind w:firstLine="359" w:firstLineChars="171"/>
      </w:pPr>
      <w:r>
        <w:rPr>
          <w:rFonts w:hint="eastAsia"/>
        </w:rPr>
        <w:t>（6）投标文件格式；</w:t>
      </w:r>
    </w:p>
    <w:p>
      <w:pPr>
        <w:spacing w:line="500" w:lineRule="exact"/>
        <w:ind w:firstLine="359" w:firstLineChars="171"/>
      </w:pPr>
      <w:r>
        <w:rPr>
          <w:rFonts w:hint="eastAsia"/>
        </w:rPr>
        <w:t>（7）投标人须知前附表规定的其他资料。</w:t>
      </w:r>
    </w:p>
    <w:p>
      <w:pPr>
        <w:spacing w:line="500" w:lineRule="exact"/>
        <w:ind w:firstLine="420" w:firstLineChars="200"/>
      </w:pPr>
      <w:r>
        <w:rPr>
          <w:rFonts w:hint="eastAsia"/>
        </w:rPr>
        <w:t>根据本章第1.10款、第2.2款和第2.3款对招标文件所作的澄清、修改，构成招标文件的组成部分。</w:t>
      </w:r>
    </w:p>
    <w:p>
      <w:pPr>
        <w:pStyle w:val="6"/>
        <w:spacing w:line="500" w:lineRule="exact"/>
      </w:pPr>
      <w:bookmarkStart w:id="143" w:name="_Toc152042320"/>
      <w:bookmarkStart w:id="144" w:name="_Toc144974512"/>
      <w:bookmarkStart w:id="145" w:name="_Toc247513968"/>
      <w:bookmarkStart w:id="146" w:name="_Toc247527569"/>
      <w:bookmarkStart w:id="147" w:name="_Toc3997852"/>
      <w:bookmarkStart w:id="148" w:name="_Toc152045544"/>
      <w:r>
        <w:rPr>
          <w:rFonts w:hint="eastAsia" w:ascii="Times New Roman" w:hAnsi="Times New Roman"/>
        </w:rPr>
        <w:t>2.2</w:t>
      </w:r>
      <w:r>
        <w:rPr>
          <w:rFonts w:hint="eastAsia"/>
        </w:rPr>
        <w:t xml:space="preserve"> 招标文件的澄清</w:t>
      </w:r>
      <w:bookmarkEnd w:id="143"/>
      <w:bookmarkEnd w:id="144"/>
      <w:bookmarkEnd w:id="145"/>
      <w:bookmarkEnd w:id="146"/>
      <w:bookmarkEnd w:id="147"/>
      <w:bookmarkEnd w:id="148"/>
    </w:p>
    <w:p>
      <w:pPr>
        <w:spacing w:line="500" w:lineRule="exact"/>
        <w:ind w:firstLine="420" w:firstLineChars="200"/>
        <w:rPr>
          <w:rFonts w:ascii="宋体" w:hAnsi="宋体" w:cs="宋体"/>
        </w:rPr>
      </w:pPr>
      <w:r>
        <w:rPr>
          <w:rFonts w:hint="eastAsia" w:ascii="宋体" w:hAnsi="宋体" w:cs="宋体"/>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500" w:lineRule="exact"/>
        <w:ind w:firstLine="420" w:firstLineChars="200"/>
        <w:rPr>
          <w:rFonts w:ascii="宋体" w:hAnsi="宋体" w:cs="宋体"/>
        </w:rPr>
      </w:pPr>
      <w:r>
        <w:rPr>
          <w:rFonts w:hint="eastAsia" w:ascii="宋体" w:hAnsi="宋体" w:cs="宋体"/>
        </w:rPr>
        <w:t>2.2.2招标文件的澄清以投标人须知前附表规定的形式发给所有</w:t>
      </w:r>
      <w:r>
        <w:rPr>
          <w:rFonts w:ascii="宋体" w:hAnsi="宋体" w:cs="宋体"/>
        </w:rPr>
        <w:t>投标人</w:t>
      </w:r>
      <w:r>
        <w:rPr>
          <w:rFonts w:hint="eastAsia" w:ascii="宋体" w:hAnsi="宋体" w:cs="宋体"/>
        </w:rPr>
        <w:t>，但不指明澄清问题的来源。澄清发出的时间距投标人须知前附表规定的投标截止时间不足15天的，并且澄清内容影响投标文件编制的，将相应延长投标截止时间。</w:t>
      </w:r>
    </w:p>
    <w:p>
      <w:pPr>
        <w:spacing w:line="500" w:lineRule="exact"/>
        <w:ind w:firstLine="420" w:firstLineChars="200"/>
        <w:rPr>
          <w:rFonts w:ascii="宋体" w:hAnsi="宋体" w:cs="宋体"/>
        </w:rPr>
      </w:pPr>
      <w:r>
        <w:rPr>
          <w:rFonts w:hint="eastAsia" w:ascii="宋体" w:hAnsi="宋体" w:cs="宋体"/>
        </w:rPr>
        <w:t>2.2.3 投标人在收到澄清后，应在投标人须知前附表规定的时间内以书面形式通知招标人，确认已收到该澄清。</w:t>
      </w:r>
    </w:p>
    <w:p>
      <w:pPr>
        <w:spacing w:line="500" w:lineRule="exact"/>
        <w:ind w:firstLine="420" w:firstLineChars="200"/>
        <w:rPr>
          <w:rFonts w:ascii="宋体" w:hAnsi="宋体" w:cs="宋体"/>
        </w:rPr>
      </w:pPr>
      <w:r>
        <w:rPr>
          <w:rFonts w:hint="eastAsia" w:ascii="宋体" w:hAnsi="宋体" w:cs="宋体"/>
        </w:rPr>
        <w:t>2.2.4 除非招标人认为确有必要答复，否则，招标人有权拒绝回复投标人在本章投标人须知前附表第 2.2.1 项规定的时间后的任何澄清要求。</w:t>
      </w:r>
    </w:p>
    <w:p>
      <w:pPr>
        <w:pStyle w:val="6"/>
        <w:spacing w:line="500" w:lineRule="exact"/>
      </w:pPr>
      <w:bookmarkStart w:id="149" w:name="_Toc3997853"/>
      <w:bookmarkStart w:id="150" w:name="_Toc247527570"/>
      <w:bookmarkStart w:id="151" w:name="_Toc247513969"/>
      <w:bookmarkStart w:id="152" w:name="_Toc152045545"/>
      <w:bookmarkStart w:id="153" w:name="_Toc144974513"/>
      <w:bookmarkStart w:id="154" w:name="_Toc152042321"/>
      <w:r>
        <w:rPr>
          <w:rFonts w:hint="eastAsia" w:ascii="Times New Roman" w:hAnsi="Times New Roman"/>
        </w:rPr>
        <w:t>2.3</w:t>
      </w:r>
      <w:r>
        <w:rPr>
          <w:rFonts w:hint="eastAsia"/>
        </w:rPr>
        <w:t xml:space="preserve"> 招标文件的修改</w:t>
      </w:r>
      <w:bookmarkEnd w:id="149"/>
      <w:bookmarkEnd w:id="150"/>
      <w:bookmarkEnd w:id="151"/>
      <w:bookmarkEnd w:id="152"/>
      <w:bookmarkEnd w:id="153"/>
      <w:bookmarkEnd w:id="154"/>
    </w:p>
    <w:p>
      <w:pPr>
        <w:spacing w:line="500" w:lineRule="exact"/>
        <w:ind w:firstLine="420" w:firstLineChars="200"/>
      </w:pPr>
      <w:bookmarkStart w:id="155" w:name="_Toc152042322"/>
      <w:bookmarkStart w:id="156" w:name="_Toc144974514"/>
      <w:bookmarkStart w:id="157" w:name="_Toc152045546"/>
      <w:bookmarkStart w:id="158" w:name="_Toc247513970"/>
      <w:bookmarkStart w:id="159" w:name="_Toc247527571"/>
      <w:r>
        <w:t>2.3.1</w:t>
      </w:r>
      <w:r>
        <w:rPr>
          <w:rFonts w:hint="eastAsia"/>
        </w:rPr>
        <w:t>招标人可以按照投标须知前附表规定修改招标文件，并通过投标人前附表形式发出，但如果修改招标文件的时间距投标截止时间不足</w:t>
      </w:r>
      <w:r>
        <w:t>15</w:t>
      </w:r>
      <w:r>
        <w:rPr>
          <w:rFonts w:hint="eastAsia"/>
        </w:rPr>
        <w:t>天，并且修改内容影响投标文件编制的，将相应延长投标截止时间。</w:t>
      </w:r>
    </w:p>
    <w:p>
      <w:pPr>
        <w:spacing w:line="500" w:lineRule="exact"/>
        <w:ind w:firstLine="420" w:firstLineChars="200"/>
      </w:pPr>
      <w:r>
        <w:rPr>
          <w:rFonts w:hint="eastAsia"/>
        </w:rPr>
        <w:t>2.3.2若采用电子招标投标时，投标人应及时登录“全国公共资源交易平台（陕西省）”查看本项目的招标变更信息，否则引起的一切后果由投标人自负。</w:t>
      </w:r>
    </w:p>
    <w:p>
      <w:pPr>
        <w:pStyle w:val="29"/>
        <w:tabs>
          <w:tab w:val="left" w:pos="1132"/>
        </w:tabs>
        <w:spacing w:line="500" w:lineRule="exact"/>
        <w:ind w:left="0" w:firstLineChars="200"/>
        <w:jc w:val="both"/>
        <w:rPr>
          <w:spacing w:val="-2"/>
          <w:sz w:val="21"/>
        </w:rPr>
      </w:pPr>
      <w:r>
        <w:rPr>
          <w:rFonts w:hint="eastAsia" w:ascii="Times New Roman" w:hAnsi="Times New Roman" w:cs="Times New Roman"/>
          <w:kern w:val="2"/>
          <w:sz w:val="21"/>
          <w:szCs w:val="24"/>
          <w:lang w:val="en-US" w:bidi="ar-SA"/>
        </w:rPr>
        <w:t>2.3.3 当招标文件、招标文件澄清（答疑）纪要、招标文件修改（补充）文件在同一内容</w:t>
      </w:r>
      <w:r>
        <w:rPr>
          <w:rFonts w:hint="eastAsia"/>
          <w:spacing w:val="-2"/>
          <w:sz w:val="21"/>
        </w:rPr>
        <w:t>的表述上不一致时，以时间在后的为准。</w:t>
      </w:r>
    </w:p>
    <w:p>
      <w:pPr>
        <w:pStyle w:val="5"/>
        <w:spacing w:line="500" w:lineRule="exact"/>
        <w:ind w:left="0" w:leftChars="0" w:firstLine="0" w:firstLineChars="0"/>
        <w:rPr>
          <w:rFonts w:hint="eastAsia"/>
          <w:b/>
          <w:bCs w:val="0"/>
          <w:sz w:val="30"/>
          <w:szCs w:val="30"/>
        </w:rPr>
      </w:pPr>
      <w:bookmarkStart w:id="160" w:name="_Toc3997854"/>
      <w:bookmarkStart w:id="161" w:name="_Toc14076"/>
      <w:r>
        <w:rPr>
          <w:rFonts w:hint="eastAsia"/>
          <w:b/>
          <w:bCs w:val="0"/>
          <w:sz w:val="30"/>
          <w:szCs w:val="30"/>
        </w:rPr>
        <w:t>3. 投标文件</w:t>
      </w:r>
      <w:bookmarkEnd w:id="155"/>
      <w:bookmarkEnd w:id="156"/>
      <w:bookmarkEnd w:id="157"/>
      <w:bookmarkEnd w:id="158"/>
      <w:bookmarkEnd w:id="159"/>
      <w:bookmarkEnd w:id="160"/>
      <w:bookmarkEnd w:id="161"/>
    </w:p>
    <w:p>
      <w:pPr>
        <w:pStyle w:val="6"/>
        <w:spacing w:line="500" w:lineRule="exact"/>
      </w:pPr>
      <w:bookmarkStart w:id="162" w:name="_Toc144974515"/>
      <w:bookmarkStart w:id="163" w:name="_Toc247513971"/>
      <w:bookmarkStart w:id="164" w:name="_Toc152042323"/>
      <w:bookmarkStart w:id="165" w:name="_Toc3997855"/>
      <w:bookmarkStart w:id="166" w:name="_Toc247527572"/>
      <w:bookmarkStart w:id="167" w:name="_Toc152045547"/>
      <w:r>
        <w:rPr>
          <w:rFonts w:hint="eastAsia" w:ascii="Times New Roman" w:hAnsi="Times New Roman"/>
        </w:rPr>
        <w:t>3.1</w:t>
      </w:r>
      <w:r>
        <w:rPr>
          <w:rFonts w:hint="eastAsia"/>
        </w:rPr>
        <w:t xml:space="preserve"> 投标文件的组成</w:t>
      </w:r>
      <w:bookmarkEnd w:id="162"/>
      <w:bookmarkEnd w:id="163"/>
      <w:bookmarkEnd w:id="164"/>
      <w:bookmarkEnd w:id="165"/>
      <w:bookmarkEnd w:id="166"/>
      <w:bookmarkEnd w:id="167"/>
    </w:p>
    <w:p>
      <w:pPr>
        <w:spacing w:line="500" w:lineRule="exact"/>
      </w:pPr>
      <w:r>
        <w:rPr>
          <w:rFonts w:hint="eastAsia"/>
        </w:rPr>
        <w:t>　　3.1.1 投标文件应包括下列内容：</w:t>
      </w:r>
    </w:p>
    <w:p>
      <w:pPr>
        <w:spacing w:line="500" w:lineRule="exact"/>
        <w:ind w:firstLine="672" w:firstLineChars="320"/>
      </w:pPr>
      <w:r>
        <w:rPr>
          <w:rFonts w:hint="eastAsia"/>
        </w:rPr>
        <w:t>（1）投标函及投标函附录</w:t>
      </w:r>
    </w:p>
    <w:p>
      <w:pPr>
        <w:spacing w:line="500" w:lineRule="exact"/>
        <w:ind w:firstLine="672" w:firstLineChars="320"/>
      </w:pPr>
      <w:r>
        <w:rPr>
          <w:rFonts w:hint="eastAsia"/>
        </w:rPr>
        <w:t>（2）法定代表人身份证明</w:t>
      </w:r>
    </w:p>
    <w:p>
      <w:pPr>
        <w:spacing w:line="500" w:lineRule="exact"/>
        <w:ind w:firstLine="672" w:firstLineChars="320"/>
      </w:pPr>
      <w:r>
        <w:rPr>
          <w:rFonts w:hint="eastAsia"/>
        </w:rPr>
        <w:t>（3）法定代表人授权委托书</w:t>
      </w:r>
    </w:p>
    <w:p>
      <w:pPr>
        <w:spacing w:line="500" w:lineRule="exact"/>
        <w:ind w:firstLine="672" w:firstLineChars="320"/>
      </w:pPr>
      <w:r>
        <w:rPr>
          <w:rFonts w:hint="eastAsia"/>
        </w:rPr>
        <w:t>（4）投标保证金</w:t>
      </w:r>
    </w:p>
    <w:p>
      <w:pPr>
        <w:spacing w:line="500" w:lineRule="exact"/>
        <w:ind w:firstLine="672" w:firstLineChars="320"/>
      </w:pPr>
      <w:r>
        <w:rPr>
          <w:rFonts w:hint="eastAsia"/>
        </w:rPr>
        <w:t>（5）投标报价书</w:t>
      </w:r>
    </w:p>
    <w:p>
      <w:pPr>
        <w:spacing w:line="500" w:lineRule="exact"/>
        <w:ind w:firstLine="672" w:firstLineChars="320"/>
      </w:pPr>
      <w:r>
        <w:rPr>
          <w:rFonts w:hint="eastAsia"/>
        </w:rPr>
        <w:t>（6）资格审查资料</w:t>
      </w:r>
    </w:p>
    <w:p>
      <w:pPr>
        <w:spacing w:line="500" w:lineRule="exact"/>
        <w:ind w:firstLine="672" w:firstLineChars="320"/>
      </w:pPr>
      <w:r>
        <w:rPr>
          <w:rFonts w:hint="eastAsia"/>
        </w:rPr>
        <w:t>（7）技术部分</w:t>
      </w:r>
    </w:p>
    <w:p>
      <w:pPr>
        <w:spacing w:line="500" w:lineRule="exact"/>
        <w:ind w:firstLine="672" w:firstLineChars="320"/>
      </w:pPr>
      <w:r>
        <w:rPr>
          <w:rFonts w:hint="eastAsia"/>
        </w:rPr>
        <w:t>（8）投标人须知前附表规定的其他资料</w:t>
      </w:r>
    </w:p>
    <w:p>
      <w:pPr>
        <w:pStyle w:val="6"/>
        <w:spacing w:line="500" w:lineRule="exact"/>
      </w:pPr>
      <w:bookmarkStart w:id="168" w:name="_Toc144974516"/>
      <w:bookmarkStart w:id="169" w:name="_Toc152042324"/>
      <w:bookmarkStart w:id="170" w:name="_Toc247513972"/>
      <w:bookmarkStart w:id="171" w:name="_Toc3997856"/>
      <w:bookmarkStart w:id="172" w:name="_Toc247527573"/>
      <w:bookmarkStart w:id="173" w:name="_Toc152045548"/>
      <w:r>
        <w:rPr>
          <w:rFonts w:hint="eastAsia" w:ascii="Times New Roman" w:hAnsi="Times New Roman"/>
        </w:rPr>
        <w:t>3.2</w:t>
      </w:r>
      <w:r>
        <w:rPr>
          <w:rFonts w:hint="eastAsia"/>
        </w:rPr>
        <w:t xml:space="preserve"> 投标报价</w:t>
      </w:r>
      <w:bookmarkEnd w:id="168"/>
      <w:bookmarkEnd w:id="169"/>
      <w:bookmarkEnd w:id="170"/>
      <w:bookmarkEnd w:id="171"/>
      <w:bookmarkEnd w:id="172"/>
      <w:bookmarkEnd w:id="173"/>
      <w:r>
        <w:rPr>
          <w:rFonts w:hint="eastAsia"/>
        </w:rPr>
        <w:t xml:space="preserve"> </w:t>
      </w:r>
    </w:p>
    <w:p>
      <w:pPr>
        <w:spacing w:line="500" w:lineRule="exact"/>
        <w:ind w:firstLine="420" w:firstLineChars="200"/>
      </w:pPr>
      <w:r>
        <w:rPr>
          <w:rFonts w:hint="eastAsia"/>
        </w:rPr>
        <w:t>3.2.1</w:t>
      </w:r>
      <w:r>
        <w:t xml:space="preserve"> </w:t>
      </w:r>
      <w:r>
        <w:rPr>
          <w:rFonts w:hint="eastAsia"/>
        </w:rPr>
        <w:t>投标人应按第六章“投标文件格式”的要求填写投标报价。</w:t>
      </w:r>
    </w:p>
    <w:p>
      <w:pPr>
        <w:spacing w:line="500" w:lineRule="exact"/>
        <w:ind w:firstLine="420" w:firstLineChars="200"/>
        <w:rPr>
          <w:szCs w:val="21"/>
        </w:rPr>
      </w:pPr>
      <w:r>
        <w:rPr>
          <w:rFonts w:hint="eastAsia"/>
        </w:rPr>
        <w:t xml:space="preserve">3.2.2 </w:t>
      </w:r>
      <w:r>
        <w:rPr>
          <w:rFonts w:ascii="宋体" w:hAnsi="宋体"/>
        </w:rPr>
        <w:t>投标人应充分了解该项目的总体情况以及影响投标报价的其他要素</w:t>
      </w:r>
      <w:r>
        <w:rPr>
          <w:rFonts w:hint="eastAsia"/>
          <w:szCs w:val="21"/>
        </w:rPr>
        <w:t>。投标人</w:t>
      </w:r>
      <w:r>
        <w:rPr>
          <w:szCs w:val="21"/>
        </w:rPr>
        <w:t>根据</w:t>
      </w:r>
      <w:r>
        <w:rPr>
          <w:rFonts w:hint="eastAsia"/>
          <w:szCs w:val="21"/>
        </w:rPr>
        <w:t>招标人提供的资料进行投标，并结合</w:t>
      </w:r>
      <w:r>
        <w:rPr>
          <w:szCs w:val="21"/>
        </w:rPr>
        <w:t>市场情况进行投标报价。</w:t>
      </w:r>
    </w:p>
    <w:p>
      <w:pPr>
        <w:spacing w:line="500" w:lineRule="exact"/>
        <w:ind w:firstLine="420" w:firstLineChars="200"/>
      </w:pPr>
      <w:r>
        <w:rPr>
          <w:rFonts w:hint="eastAsia"/>
        </w:rPr>
        <w:t>3.2.3 投标人在投标截止时间前修改投标函中的投标报价总额，应同时修改投标文件“投标报价书”中的相应报价，投标报价总额为各分项金额之和。此修改须符合本章第4.3款的有关要求。</w:t>
      </w:r>
    </w:p>
    <w:p>
      <w:pPr>
        <w:spacing w:line="500" w:lineRule="exact"/>
        <w:ind w:firstLine="420" w:firstLineChars="200"/>
      </w:pPr>
      <w:r>
        <w:rPr>
          <w:rFonts w:hint="eastAsia"/>
        </w:rPr>
        <w:t>3.2.4 招标人设有最高投标限价的，投标人的投标报价不得超过最高投标限价，最高投标限价或其依据在投标人须知前附表中载明。</w:t>
      </w:r>
    </w:p>
    <w:p>
      <w:pPr>
        <w:spacing w:line="500" w:lineRule="exact"/>
        <w:ind w:firstLine="420" w:firstLineChars="200"/>
      </w:pPr>
      <w:r>
        <w:rPr>
          <w:rFonts w:hint="eastAsia"/>
        </w:rPr>
        <w:t>3.2.5 投标报价的其他要求见投标人须知前附表。</w:t>
      </w:r>
    </w:p>
    <w:p>
      <w:pPr>
        <w:pStyle w:val="6"/>
        <w:spacing w:line="500" w:lineRule="exact"/>
      </w:pPr>
      <w:bookmarkStart w:id="174" w:name="_Toc144974517"/>
      <w:bookmarkStart w:id="175" w:name="_Toc247513973"/>
      <w:bookmarkStart w:id="176" w:name="_Toc3997857"/>
      <w:bookmarkStart w:id="177" w:name="_Toc152045549"/>
      <w:bookmarkStart w:id="178" w:name="_Toc247527574"/>
      <w:bookmarkStart w:id="179" w:name="_Toc152042325"/>
      <w:r>
        <w:rPr>
          <w:rFonts w:hint="eastAsia" w:ascii="Times New Roman" w:hAnsi="Times New Roman"/>
        </w:rPr>
        <w:t>3.3</w:t>
      </w:r>
      <w:r>
        <w:rPr>
          <w:rFonts w:hint="eastAsia"/>
        </w:rPr>
        <w:t xml:space="preserve"> 投标有效期</w:t>
      </w:r>
      <w:bookmarkEnd w:id="174"/>
      <w:bookmarkEnd w:id="175"/>
      <w:bookmarkEnd w:id="176"/>
      <w:bookmarkEnd w:id="177"/>
      <w:bookmarkEnd w:id="178"/>
      <w:bookmarkEnd w:id="179"/>
    </w:p>
    <w:p>
      <w:pPr>
        <w:spacing w:line="500" w:lineRule="exact"/>
        <w:ind w:firstLine="420" w:firstLineChars="200"/>
      </w:pPr>
      <w:r>
        <w:rPr>
          <w:rFonts w:hint="eastAsia"/>
        </w:rPr>
        <w:t>3.3.1</w:t>
      </w:r>
      <w:r>
        <w:t xml:space="preserve"> </w:t>
      </w:r>
      <w:r>
        <w:rPr>
          <w:rFonts w:hint="eastAsia"/>
        </w:rPr>
        <w:t>投标有效期为90天。</w:t>
      </w:r>
    </w:p>
    <w:p>
      <w:pPr>
        <w:spacing w:line="500" w:lineRule="exact"/>
        <w:ind w:firstLine="420" w:firstLineChars="200"/>
      </w:pPr>
      <w:r>
        <w:rPr>
          <w:rFonts w:hint="eastAsia"/>
        </w:rPr>
        <w:t>3.3.2 在投标有效期内，投标人撤销或修改其投标文件的，应承担招标文件和法律规定的责任。</w:t>
      </w:r>
    </w:p>
    <w:p>
      <w:pPr>
        <w:spacing w:line="500" w:lineRule="exact"/>
        <w:ind w:firstLine="420" w:firstLineChars="200"/>
      </w:pPr>
      <w:r>
        <w:rPr>
          <w:rFonts w:hint="eastAsia"/>
        </w:rPr>
        <w:t xml:space="preserve">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6"/>
        <w:spacing w:line="500" w:lineRule="exact"/>
      </w:pPr>
      <w:bookmarkStart w:id="180" w:name="_Toc3997858"/>
      <w:bookmarkStart w:id="181" w:name="_Toc247527575"/>
      <w:bookmarkStart w:id="182" w:name="_Toc152045550"/>
      <w:bookmarkStart w:id="183" w:name="_Toc144974518"/>
      <w:bookmarkStart w:id="184" w:name="_Toc247513974"/>
      <w:bookmarkStart w:id="185" w:name="_Toc152042326"/>
      <w:r>
        <w:rPr>
          <w:rFonts w:hint="eastAsia" w:ascii="Times New Roman" w:hAnsi="Times New Roman"/>
        </w:rPr>
        <w:t>3.4</w:t>
      </w:r>
      <w:r>
        <w:rPr>
          <w:rFonts w:hint="eastAsia"/>
        </w:rPr>
        <w:t xml:space="preserve"> 投标保证金</w:t>
      </w:r>
      <w:bookmarkEnd w:id="180"/>
      <w:bookmarkEnd w:id="181"/>
      <w:bookmarkEnd w:id="182"/>
      <w:bookmarkEnd w:id="183"/>
      <w:bookmarkEnd w:id="184"/>
      <w:bookmarkEnd w:id="185"/>
    </w:p>
    <w:p>
      <w:pPr>
        <w:spacing w:line="500" w:lineRule="exact"/>
        <w:ind w:firstLine="420" w:firstLineChars="200"/>
      </w:pPr>
      <w:r>
        <w:rPr>
          <w:rFonts w:hint="eastAsia"/>
        </w:rPr>
        <w:t>3.4.1 投标人在递交投标文件的同时，应按投标人须知前附表规定的金额、担保形式和第六章“投标文件格式”规定的投标保证金格式递交投标保证金，并作为其投标文件的组成部分。</w:t>
      </w:r>
    </w:p>
    <w:p>
      <w:pPr>
        <w:spacing w:line="500" w:lineRule="exact"/>
        <w:ind w:firstLine="420" w:firstLineChars="200"/>
      </w:pPr>
      <w:r>
        <w:rPr>
          <w:rFonts w:hint="eastAsia"/>
        </w:rPr>
        <w:t>3.4.2 投标人不按本章第3.4.1项要求提交投标保证金的，评标委员会将否决其投标。</w:t>
      </w:r>
    </w:p>
    <w:p>
      <w:pPr>
        <w:spacing w:line="500" w:lineRule="exact"/>
        <w:ind w:firstLine="420" w:firstLineChars="200"/>
      </w:pPr>
      <w:r>
        <w:rPr>
          <w:rFonts w:hint="eastAsia"/>
        </w:rPr>
        <w:t>3.4.3 招标人与中标人签订合同后5日内，向未中标的投标人和中标人退还投标保证金及同期银行存款利息。</w:t>
      </w:r>
    </w:p>
    <w:p>
      <w:pPr>
        <w:spacing w:line="500" w:lineRule="exact"/>
        <w:ind w:firstLine="420" w:firstLineChars="200"/>
      </w:pPr>
      <w:r>
        <w:rPr>
          <w:rFonts w:hint="eastAsia"/>
        </w:rPr>
        <w:t xml:space="preserve">3.4.4 有下列情形之一的，投标保证金将不予退还： </w:t>
      </w:r>
    </w:p>
    <w:p>
      <w:pPr>
        <w:spacing w:line="500" w:lineRule="exact"/>
        <w:ind w:firstLine="315" w:firstLineChars="150"/>
      </w:pPr>
      <w:r>
        <w:rPr>
          <w:rFonts w:hint="eastAsia"/>
        </w:rPr>
        <w:t>（1）投标人在规定的投标有效期内撤销或修改其投标文件；</w:t>
      </w:r>
    </w:p>
    <w:p>
      <w:pPr>
        <w:spacing w:line="500" w:lineRule="exact"/>
        <w:ind w:firstLine="315" w:firstLineChars="150"/>
      </w:pPr>
      <w:r>
        <w:rPr>
          <w:rFonts w:hint="eastAsia"/>
        </w:rPr>
        <w:t>（2）中标人在收到中标通知书后，无正当理由拒签合同或未按招标文件规定提交履约担保。</w:t>
      </w:r>
    </w:p>
    <w:p>
      <w:pPr>
        <w:pStyle w:val="6"/>
        <w:spacing w:line="500" w:lineRule="exact"/>
      </w:pPr>
      <w:bookmarkStart w:id="186" w:name="_Toc247527576"/>
      <w:bookmarkStart w:id="187" w:name="_Toc144974519"/>
      <w:bookmarkStart w:id="188" w:name="_Toc152042327"/>
      <w:bookmarkStart w:id="189" w:name="_Toc152045551"/>
      <w:bookmarkStart w:id="190" w:name="_Toc247513975"/>
      <w:bookmarkStart w:id="191" w:name="_Toc3997859"/>
      <w:r>
        <w:rPr>
          <w:rFonts w:hint="eastAsia" w:ascii="Times New Roman" w:hAnsi="Times New Roman"/>
        </w:rPr>
        <w:t>3.5</w:t>
      </w:r>
      <w:r>
        <w:rPr>
          <w:rFonts w:hint="eastAsia"/>
        </w:rPr>
        <w:t xml:space="preserve"> </w:t>
      </w:r>
      <w:bookmarkEnd w:id="186"/>
      <w:bookmarkEnd w:id="187"/>
      <w:bookmarkEnd w:id="188"/>
      <w:bookmarkEnd w:id="189"/>
      <w:bookmarkEnd w:id="190"/>
      <w:bookmarkStart w:id="192" w:name="_Toc247527577"/>
      <w:bookmarkStart w:id="193" w:name="_Toc144974520"/>
      <w:bookmarkStart w:id="194" w:name="_Toc152042328"/>
      <w:bookmarkStart w:id="195" w:name="_Toc247513976"/>
      <w:bookmarkStart w:id="196" w:name="_Toc152045552"/>
      <w:r>
        <w:rPr>
          <w:rFonts w:hint="eastAsia"/>
        </w:rPr>
        <w:t>资格审查资料</w:t>
      </w:r>
      <w:bookmarkEnd w:id="191"/>
      <w:bookmarkEnd w:id="192"/>
      <w:bookmarkEnd w:id="193"/>
      <w:bookmarkEnd w:id="194"/>
      <w:bookmarkEnd w:id="195"/>
      <w:bookmarkEnd w:id="196"/>
    </w:p>
    <w:p>
      <w:pPr>
        <w:spacing w:line="500" w:lineRule="exact"/>
        <w:ind w:firstLine="420" w:firstLineChars="200"/>
      </w:pPr>
      <w:r>
        <w:rPr>
          <w:rFonts w:hint="eastAsia"/>
        </w:rPr>
        <w:t>3.5.1 “投标人基本情况表”应附投标人营业执照或事业单位法人证书、资质证书副本等材料的复印件。</w:t>
      </w:r>
    </w:p>
    <w:p>
      <w:pPr>
        <w:spacing w:line="500" w:lineRule="exact"/>
        <w:ind w:firstLine="420" w:firstLineChars="200"/>
      </w:pPr>
      <w:r>
        <w:rPr>
          <w:rFonts w:hint="eastAsia"/>
        </w:rPr>
        <w:t>3.5.2  拟派代建项目经理及专业负责人资格证明材料。</w:t>
      </w:r>
    </w:p>
    <w:p>
      <w:pPr>
        <w:spacing w:line="500" w:lineRule="exact"/>
        <w:ind w:firstLine="420" w:firstLineChars="200"/>
      </w:pPr>
      <w:r>
        <w:rPr>
          <w:rFonts w:hint="eastAsia"/>
        </w:rPr>
        <w:t>3.5.3  其他资料。</w:t>
      </w:r>
    </w:p>
    <w:p>
      <w:pPr>
        <w:pStyle w:val="6"/>
        <w:spacing w:line="500" w:lineRule="exact"/>
      </w:pPr>
      <w:bookmarkStart w:id="197" w:name="_Toc152042329"/>
      <w:bookmarkStart w:id="198" w:name="_Toc247513977"/>
      <w:bookmarkStart w:id="199" w:name="_Toc247527578"/>
      <w:bookmarkStart w:id="200" w:name="_Toc144974521"/>
      <w:bookmarkStart w:id="201" w:name="_Toc3997860"/>
      <w:bookmarkStart w:id="202" w:name="_Toc152045553"/>
      <w:r>
        <w:rPr>
          <w:rFonts w:hint="eastAsia" w:ascii="Times New Roman" w:hAnsi="Times New Roman"/>
        </w:rPr>
        <w:t>3.6</w:t>
      </w:r>
      <w:r>
        <w:rPr>
          <w:rFonts w:hint="eastAsia"/>
        </w:rPr>
        <w:t xml:space="preserve"> 备选投标方案</w:t>
      </w:r>
      <w:bookmarkEnd w:id="197"/>
      <w:bookmarkEnd w:id="198"/>
      <w:bookmarkEnd w:id="199"/>
      <w:bookmarkEnd w:id="200"/>
      <w:bookmarkEnd w:id="201"/>
      <w:bookmarkEnd w:id="202"/>
    </w:p>
    <w:p>
      <w:pPr>
        <w:spacing w:line="500" w:lineRule="exact"/>
        <w:ind w:firstLine="420" w:firstLineChars="200"/>
      </w:pPr>
      <w:r>
        <w:rPr>
          <w:rFonts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spacing w:line="500" w:lineRule="exact"/>
      </w:pPr>
      <w:bookmarkStart w:id="203" w:name="_Toc247527579"/>
      <w:bookmarkStart w:id="204" w:name="_Toc152042330"/>
      <w:bookmarkStart w:id="205" w:name="_Toc152045554"/>
      <w:bookmarkStart w:id="206" w:name="_Toc247513978"/>
      <w:bookmarkStart w:id="207" w:name="_Toc3997861"/>
      <w:bookmarkStart w:id="208" w:name="_Toc144974522"/>
      <w:r>
        <w:rPr>
          <w:rFonts w:hint="eastAsia" w:ascii="Times New Roman" w:hAnsi="Times New Roman"/>
        </w:rPr>
        <w:t>3.7</w:t>
      </w:r>
      <w:r>
        <w:rPr>
          <w:rFonts w:hint="eastAsia"/>
        </w:rPr>
        <w:t xml:space="preserve"> 投标文件的编制</w:t>
      </w:r>
      <w:bookmarkEnd w:id="203"/>
      <w:bookmarkEnd w:id="204"/>
      <w:bookmarkEnd w:id="205"/>
      <w:bookmarkEnd w:id="206"/>
      <w:bookmarkEnd w:id="207"/>
      <w:bookmarkEnd w:id="208"/>
    </w:p>
    <w:p>
      <w:pPr>
        <w:spacing w:line="500" w:lineRule="exact"/>
        <w:ind w:firstLine="420" w:firstLineChars="200"/>
      </w:pPr>
      <w:r>
        <w:rPr>
          <w:rFonts w:hint="eastAsia"/>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500" w:lineRule="exact"/>
        <w:ind w:firstLine="420" w:firstLineChars="200"/>
      </w:pPr>
      <w:r>
        <w:rPr>
          <w:rFonts w:hint="eastAsia"/>
        </w:rPr>
        <w:t>3.7.2 投标文件应当对招标文件有关招标范围、投标有效期、服务周期、质量标准、发包人要求等实质性内容作出响应。</w:t>
      </w:r>
    </w:p>
    <w:p>
      <w:pPr>
        <w:spacing w:line="500" w:lineRule="exact"/>
        <w:ind w:firstLine="210" w:firstLineChars="100"/>
      </w:pPr>
      <w:r>
        <w:rPr>
          <w:rFonts w:hint="eastAsia"/>
          <w:szCs w:val="21"/>
        </w:rPr>
        <w:t>□</w:t>
      </w:r>
      <w:r>
        <w:rPr>
          <w:rFonts w:hint="eastAsia"/>
        </w:rPr>
        <w:t>3.7.3</w:t>
      </w:r>
      <w:r>
        <w:rPr>
          <w:rFonts w:ascii="宋体" w:hAnsi="宋体"/>
        </w:rPr>
        <w:t>（</w:t>
      </w:r>
      <w:r>
        <w:rPr>
          <w:rFonts w:eastAsia="Times New Roman"/>
        </w:rPr>
        <w:t>A</w:t>
      </w:r>
      <w:r>
        <w:rPr>
          <w:rFonts w:ascii="宋体" w:hAnsi="宋体"/>
        </w:rPr>
        <w:t>）</w:t>
      </w:r>
      <w:r>
        <w:rPr>
          <w:rFonts w:hint="eastAsia"/>
        </w:rPr>
        <w:t>（1）投标文件应用不褪色的材料书写或打印，投标函、投标函附录及对投标文件的澄清、说明和补正应由投标人的法定代表人或其授权的代理人签字（盖章）或盖单位章。由投标人的法定代表人签字或盖章的，应附法定代表人身份证明，由代理人签字或盖章的，应附授权委托书，身份证明或授权委托书应符合第六章“投标文件格式”的要求。投标文件应尽量避免涂改、行间插字或删除。如果出现上述情况，改动之处应由投标人的法定代表人或其授权的代理人签字（盖章）或盖单位章。</w:t>
      </w:r>
    </w:p>
    <w:p>
      <w:pPr>
        <w:spacing w:line="500" w:lineRule="exact"/>
        <w:ind w:firstLine="420" w:firstLineChars="200"/>
      </w:pPr>
      <w:r>
        <w:rPr>
          <w:rFonts w:hint="eastAsia"/>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spacing w:line="500" w:lineRule="exact"/>
        <w:ind w:firstLine="420" w:firstLineChars="200"/>
      </w:pPr>
      <w:r>
        <w:rPr>
          <w:rFonts w:hint="eastAsia"/>
        </w:rPr>
        <w:t>（3）投标文件的正本与副本应分别装订，并编制目录，投标文件需分册装订的，具体分册装订要求见投标人须知前附表规定。</w:t>
      </w:r>
    </w:p>
    <w:p>
      <w:pPr>
        <w:spacing w:line="500" w:lineRule="exact"/>
        <w:ind w:firstLine="210" w:firstLineChars="100"/>
      </w:pPr>
      <w:r>
        <w:rPr>
          <w:rFonts w:hint="eastAsia"/>
          <w:szCs w:val="21"/>
        </w:rPr>
        <w:t>□</w:t>
      </w:r>
      <w:r>
        <w:rPr>
          <w:rFonts w:hint="eastAsia"/>
        </w:rPr>
        <w:t>3.7.3</w:t>
      </w:r>
      <w:r>
        <w:rPr>
          <w:rFonts w:ascii="宋体" w:hAnsi="宋体"/>
        </w:rPr>
        <w:t>（</w:t>
      </w:r>
      <w:r>
        <w:rPr>
          <w:rFonts w:hint="eastAsia"/>
        </w:rPr>
        <w:t>B</w:t>
      </w:r>
      <w:r>
        <w:rPr>
          <w:rFonts w:ascii="宋体" w:hAnsi="宋体"/>
        </w:rPr>
        <w:t>）</w:t>
      </w:r>
      <w:r>
        <w:rPr>
          <w:rFonts w:hint="eastAsia"/>
        </w:rPr>
        <w:t xml:space="preserve">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 </w:t>
      </w:r>
    </w:p>
    <w:p>
      <w:pPr>
        <w:pStyle w:val="5"/>
        <w:spacing w:line="500" w:lineRule="exact"/>
        <w:ind w:left="0" w:leftChars="0" w:firstLine="0" w:firstLineChars="0"/>
        <w:rPr>
          <w:rFonts w:hint="eastAsia"/>
          <w:b/>
          <w:bCs w:val="0"/>
          <w:sz w:val="30"/>
          <w:szCs w:val="30"/>
        </w:rPr>
      </w:pPr>
      <w:bookmarkStart w:id="209" w:name="_Toc18364"/>
      <w:bookmarkStart w:id="210" w:name="_Toc3997862"/>
      <w:bookmarkStart w:id="211" w:name="_Toc144974523"/>
      <w:bookmarkStart w:id="212" w:name="_Toc152042331"/>
      <w:bookmarkStart w:id="213" w:name="_Toc152045555"/>
      <w:bookmarkStart w:id="214" w:name="_Toc247513979"/>
      <w:bookmarkStart w:id="215" w:name="_Toc247527580"/>
      <w:r>
        <w:rPr>
          <w:rFonts w:hint="eastAsia"/>
          <w:b/>
          <w:bCs w:val="0"/>
          <w:sz w:val="30"/>
          <w:szCs w:val="30"/>
        </w:rPr>
        <w:t>4. 投标</w:t>
      </w:r>
      <w:bookmarkEnd w:id="209"/>
      <w:bookmarkEnd w:id="210"/>
      <w:bookmarkEnd w:id="211"/>
      <w:bookmarkEnd w:id="212"/>
      <w:bookmarkEnd w:id="213"/>
      <w:bookmarkEnd w:id="214"/>
      <w:bookmarkEnd w:id="215"/>
    </w:p>
    <w:p>
      <w:pPr>
        <w:pStyle w:val="6"/>
        <w:spacing w:line="500" w:lineRule="exact"/>
      </w:pPr>
      <w:bookmarkStart w:id="216" w:name="_Toc152045556"/>
      <w:bookmarkStart w:id="217" w:name="_Toc152042332"/>
      <w:bookmarkStart w:id="218" w:name="_Toc3997863"/>
      <w:bookmarkStart w:id="219" w:name="_Toc247527581"/>
      <w:bookmarkStart w:id="220" w:name="_Toc144974524"/>
      <w:bookmarkStart w:id="221" w:name="_Toc247513980"/>
      <w:r>
        <w:rPr>
          <w:rFonts w:hint="eastAsia" w:ascii="Times New Roman" w:hAnsi="Times New Roman"/>
        </w:rPr>
        <w:t>4.1</w:t>
      </w:r>
      <w:r>
        <w:rPr>
          <w:rFonts w:hint="eastAsia"/>
        </w:rPr>
        <w:t xml:space="preserve"> 投标文件的密封和标记</w:t>
      </w:r>
      <w:bookmarkEnd w:id="216"/>
      <w:bookmarkEnd w:id="217"/>
      <w:bookmarkEnd w:id="218"/>
      <w:bookmarkEnd w:id="219"/>
      <w:bookmarkEnd w:id="220"/>
      <w:bookmarkEnd w:id="221"/>
    </w:p>
    <w:p>
      <w:pPr>
        <w:spacing w:line="500" w:lineRule="exact"/>
        <w:ind w:firstLine="420" w:firstLineChars="200"/>
      </w:pPr>
      <w:r>
        <w:rPr>
          <w:rFonts w:hint="eastAsia"/>
        </w:rPr>
        <w:t>4.</w:t>
      </w:r>
      <w:r>
        <w:t xml:space="preserve">1.1 </w:t>
      </w:r>
      <w:r>
        <w:rPr>
          <w:rFonts w:hint="eastAsia"/>
        </w:rPr>
        <w:t>投标文件包装应加贴封条，并在封套的封口处加盖投标人单位章。</w:t>
      </w:r>
    </w:p>
    <w:p>
      <w:pPr>
        <w:spacing w:line="500" w:lineRule="exact"/>
        <w:ind w:firstLine="420" w:firstLineChars="200"/>
      </w:pPr>
      <w:r>
        <w:rPr>
          <w:rFonts w:hint="eastAsia"/>
        </w:rPr>
        <w:t>4.1.2 投标文件封套上应写明的内容见投标人须知前附表。</w:t>
      </w:r>
    </w:p>
    <w:p>
      <w:pPr>
        <w:spacing w:line="500" w:lineRule="exact"/>
        <w:ind w:firstLine="420" w:firstLineChars="200"/>
      </w:pPr>
      <w:r>
        <w:rPr>
          <w:rFonts w:hint="eastAsia"/>
        </w:rPr>
        <w:t>4.1.3 未按本章第4.1.1项或第4.1.2项要求密封和加写标记的投标文件，招标人不予受理。</w:t>
      </w:r>
    </w:p>
    <w:p>
      <w:pPr>
        <w:pStyle w:val="6"/>
        <w:spacing w:line="500" w:lineRule="exact"/>
      </w:pPr>
      <w:bookmarkStart w:id="222" w:name="_Toc247527582"/>
      <w:bookmarkStart w:id="223" w:name="_Toc144974525"/>
      <w:bookmarkStart w:id="224" w:name="_Toc152045557"/>
      <w:bookmarkStart w:id="225" w:name="_Toc3997864"/>
      <w:bookmarkStart w:id="226" w:name="_Toc152042333"/>
      <w:bookmarkStart w:id="227" w:name="_Toc247513981"/>
      <w:r>
        <w:rPr>
          <w:rFonts w:hint="eastAsia" w:ascii="Times New Roman" w:hAnsi="Times New Roman"/>
        </w:rPr>
        <w:t>4.2</w:t>
      </w:r>
      <w:r>
        <w:rPr>
          <w:rFonts w:hint="eastAsia"/>
        </w:rPr>
        <w:t xml:space="preserve"> 投标文件的递交</w:t>
      </w:r>
      <w:bookmarkEnd w:id="222"/>
      <w:bookmarkEnd w:id="223"/>
      <w:bookmarkEnd w:id="224"/>
      <w:bookmarkEnd w:id="225"/>
      <w:bookmarkEnd w:id="226"/>
      <w:bookmarkEnd w:id="227"/>
    </w:p>
    <w:p>
      <w:pPr>
        <w:spacing w:line="500" w:lineRule="exact"/>
        <w:ind w:firstLine="420" w:firstLineChars="200"/>
      </w:pPr>
      <w:bookmarkStart w:id="228" w:name="_Toc3997865"/>
      <w:bookmarkStart w:id="229" w:name="_Toc247527583"/>
      <w:bookmarkStart w:id="230" w:name="_Toc144974526"/>
      <w:bookmarkStart w:id="231" w:name="_Toc152042334"/>
      <w:bookmarkStart w:id="232" w:name="_Toc152045558"/>
      <w:bookmarkStart w:id="233" w:name="_Toc247513982"/>
      <w:r>
        <w:rPr>
          <w:rFonts w:hint="eastAsia"/>
        </w:rPr>
        <w:t>4.2.1 投标人应在投标人须知前附表规定的投标截止时间前递交投标文件。</w:t>
      </w:r>
    </w:p>
    <w:p>
      <w:pPr>
        <w:spacing w:line="500" w:lineRule="exact"/>
        <w:ind w:firstLine="210" w:firstLineChars="100"/>
      </w:pPr>
      <w:r>
        <w:rPr>
          <w:rFonts w:hint="eastAsia"/>
          <w:szCs w:val="21"/>
        </w:rPr>
        <w:t>□</w:t>
      </w:r>
      <w:r>
        <w:rPr>
          <w:rFonts w:hint="eastAsia"/>
        </w:rPr>
        <w:t>4.2.2 （A）投标人递交投标文件的地点：见投标人须知前附表。</w:t>
      </w:r>
    </w:p>
    <w:p>
      <w:pPr>
        <w:spacing w:line="500" w:lineRule="exact"/>
        <w:ind w:firstLine="210" w:firstLineChars="100"/>
      </w:pPr>
      <w:r>
        <w:rPr>
          <w:rFonts w:hint="eastAsia"/>
          <w:szCs w:val="21"/>
        </w:rPr>
        <w:t>□</w:t>
      </w:r>
      <w:r>
        <w:rPr>
          <w:rFonts w:hint="eastAsia"/>
        </w:rPr>
        <w:t>4.2.2 （B）投标人通过下载招标文件的电子招标投标交易平台递交电子投标文件。</w:t>
      </w:r>
    </w:p>
    <w:p>
      <w:pPr>
        <w:spacing w:line="500" w:lineRule="exact"/>
        <w:ind w:firstLine="420" w:firstLineChars="200"/>
      </w:pPr>
      <w:r>
        <w:rPr>
          <w:rFonts w:hint="eastAsia"/>
        </w:rPr>
        <w:t>4.2.3 除投标人须知前附表另有规定外，投标人所递交的投标文件不予退还。</w:t>
      </w:r>
    </w:p>
    <w:p>
      <w:pPr>
        <w:spacing w:line="500" w:lineRule="exact"/>
        <w:ind w:firstLine="210" w:firstLineChars="100"/>
      </w:pPr>
      <w:r>
        <w:rPr>
          <w:rFonts w:hint="eastAsia"/>
          <w:szCs w:val="21"/>
        </w:rPr>
        <w:t>□</w:t>
      </w:r>
      <w:r>
        <w:rPr>
          <w:rFonts w:hint="eastAsia"/>
        </w:rPr>
        <w:t>4.2.4 （A）招标人收到投标文件后，向投标人出具签收凭证。</w:t>
      </w:r>
    </w:p>
    <w:p>
      <w:pPr>
        <w:spacing w:line="500" w:lineRule="exact"/>
        <w:ind w:firstLine="210" w:firstLineChars="100"/>
      </w:pPr>
      <w:r>
        <w:rPr>
          <w:rFonts w:hint="eastAsia"/>
          <w:szCs w:val="21"/>
        </w:rPr>
        <w:t>□</w:t>
      </w:r>
      <w:r>
        <w:rPr>
          <w:rFonts w:hint="eastAsia"/>
        </w:rPr>
        <w:t>4.2.4 （B）投标人完成电子投标文件上传后，电子招标投标交易平台即时向投标人发出递交回执通知。递交时间以递交回执通知载明的传输完成时间为准。</w:t>
      </w:r>
    </w:p>
    <w:p>
      <w:pPr>
        <w:spacing w:line="500" w:lineRule="exact"/>
        <w:ind w:firstLine="210" w:firstLineChars="100"/>
      </w:pPr>
      <w:r>
        <w:rPr>
          <w:rFonts w:hint="eastAsia"/>
          <w:szCs w:val="21"/>
        </w:rPr>
        <w:t>□</w:t>
      </w:r>
      <w:r>
        <w:rPr>
          <w:rFonts w:hint="eastAsia"/>
        </w:rPr>
        <w:t>4.2.5 （A）逾期送达的投标文件，招标人将予以拒收。</w:t>
      </w:r>
    </w:p>
    <w:p>
      <w:pPr>
        <w:spacing w:line="500" w:lineRule="exact"/>
        <w:ind w:firstLine="210" w:firstLineChars="100"/>
        <w:rPr>
          <w:rFonts w:ascii="宋体" w:hAnsi="宋体"/>
        </w:rPr>
      </w:pPr>
      <w:r>
        <w:rPr>
          <w:rFonts w:hint="eastAsia"/>
          <w:szCs w:val="21"/>
        </w:rPr>
        <w:t>□</w:t>
      </w:r>
      <w:r>
        <w:rPr>
          <w:rFonts w:hint="eastAsia"/>
        </w:rPr>
        <w:t>4.2.5 （B）逾期送达的投标文件，电子招标投标交易平台将予以拒</w:t>
      </w:r>
      <w:r>
        <w:rPr>
          <w:rFonts w:ascii="宋体" w:hAnsi="宋体"/>
        </w:rPr>
        <w:t>收。</w:t>
      </w:r>
    </w:p>
    <w:p>
      <w:pPr>
        <w:pStyle w:val="6"/>
        <w:spacing w:line="500" w:lineRule="exact"/>
      </w:pPr>
      <w:r>
        <w:rPr>
          <w:rFonts w:hint="eastAsia" w:ascii="Times New Roman" w:hAnsi="Times New Roman"/>
        </w:rPr>
        <w:t>4.3</w:t>
      </w:r>
      <w:r>
        <w:rPr>
          <w:rFonts w:hint="eastAsia"/>
        </w:rPr>
        <w:t xml:space="preserve"> 投标文件的修改与撤回</w:t>
      </w:r>
      <w:bookmarkEnd w:id="228"/>
      <w:bookmarkEnd w:id="229"/>
      <w:bookmarkEnd w:id="230"/>
      <w:bookmarkEnd w:id="231"/>
      <w:bookmarkEnd w:id="232"/>
      <w:bookmarkEnd w:id="233"/>
    </w:p>
    <w:p>
      <w:pPr>
        <w:spacing w:line="500" w:lineRule="exact"/>
        <w:ind w:firstLine="420" w:firstLineChars="200"/>
      </w:pPr>
      <w:bookmarkStart w:id="234" w:name="_Toc152045559"/>
      <w:bookmarkStart w:id="235" w:name="_Toc247527584"/>
      <w:bookmarkStart w:id="236" w:name="_Toc144974527"/>
      <w:bookmarkStart w:id="237" w:name="_Toc247513983"/>
      <w:bookmarkStart w:id="238" w:name="_Toc152042335"/>
      <w:bookmarkStart w:id="239" w:name="_Toc3997866"/>
      <w:r>
        <w:rPr>
          <w:rFonts w:hint="eastAsia"/>
        </w:rPr>
        <w:t>4.3.1 在本章第 4.2.1 项规定的投标截止时间前，投标人可以修改或撤回已递交的投标文件，但应以书面形式通知招标人。</w:t>
      </w:r>
    </w:p>
    <w:p>
      <w:pPr>
        <w:spacing w:line="500" w:lineRule="exact"/>
        <w:ind w:firstLine="210" w:firstLineChars="100"/>
      </w:pPr>
      <w:r>
        <w:rPr>
          <w:rFonts w:hint="eastAsia"/>
          <w:szCs w:val="21"/>
        </w:rPr>
        <w:t>□</w:t>
      </w:r>
      <w:r>
        <w:rPr>
          <w:rFonts w:hint="eastAsia"/>
        </w:rPr>
        <w:t>4.3.2 （A）投标人修改或撤回已递交投标文件的书面通知应按照本章第 3.7.3（A）项的要求签字或盖章。招标人收到书面通知后，向投标人出具签收凭证。</w:t>
      </w:r>
    </w:p>
    <w:p>
      <w:pPr>
        <w:spacing w:line="500" w:lineRule="exact"/>
        <w:ind w:firstLine="210" w:firstLineChars="100"/>
      </w:pPr>
      <w:r>
        <w:rPr>
          <w:rFonts w:hint="eastAsia"/>
          <w:szCs w:val="21"/>
        </w:rPr>
        <w:t>□</w:t>
      </w:r>
      <w:r>
        <w:rPr>
          <w:rFonts w:hint="eastAsia"/>
        </w:rPr>
        <w:t>4.3.2 （B）投标人修改或撤回已递交投标文件的通知，应按照本章第 3.7.3（B）项的要求加盖电子印章。电子招标投标交易平台收到通知后，即时向投标人发出确认回执通知。</w:t>
      </w:r>
    </w:p>
    <w:p>
      <w:pPr>
        <w:spacing w:line="500" w:lineRule="exact"/>
        <w:ind w:firstLine="420" w:firstLineChars="200"/>
      </w:pPr>
      <w:r>
        <w:rPr>
          <w:rFonts w:hint="eastAsia"/>
        </w:rPr>
        <w:t>4.3.3 投标人撤回投标文件的，招标人自收到投标人书面撤回通知之日起 5 日内退还已收取的投标保证金。</w:t>
      </w:r>
    </w:p>
    <w:p>
      <w:pPr>
        <w:spacing w:line="500" w:lineRule="exact"/>
        <w:ind w:firstLine="420" w:firstLineChars="200"/>
      </w:pPr>
      <w:r>
        <w:rPr>
          <w:rFonts w:hint="eastAsia"/>
        </w:rPr>
        <w:t>4.3.4 修改的内容为投标文件的组成部分。修改的投标文件应按照本章第 3 条、第 4 条的规定进行编制、密封、标记和递交，并标明“修改”字样。</w:t>
      </w:r>
    </w:p>
    <w:p>
      <w:pPr>
        <w:pStyle w:val="5"/>
        <w:spacing w:line="500" w:lineRule="exact"/>
        <w:ind w:left="0" w:leftChars="0" w:firstLine="0" w:firstLineChars="0"/>
        <w:rPr>
          <w:rFonts w:hint="eastAsia"/>
          <w:b/>
          <w:bCs w:val="0"/>
          <w:sz w:val="30"/>
          <w:szCs w:val="30"/>
        </w:rPr>
      </w:pPr>
      <w:bookmarkStart w:id="240" w:name="_Toc16740"/>
      <w:r>
        <w:rPr>
          <w:rFonts w:hint="eastAsia"/>
          <w:b/>
          <w:bCs w:val="0"/>
          <w:sz w:val="30"/>
          <w:szCs w:val="30"/>
        </w:rPr>
        <w:t>5. 开标</w:t>
      </w:r>
      <w:bookmarkEnd w:id="234"/>
      <w:bookmarkEnd w:id="235"/>
      <w:bookmarkEnd w:id="236"/>
      <w:bookmarkEnd w:id="237"/>
      <w:bookmarkEnd w:id="238"/>
      <w:bookmarkEnd w:id="239"/>
      <w:bookmarkEnd w:id="240"/>
    </w:p>
    <w:p>
      <w:pPr>
        <w:pStyle w:val="6"/>
        <w:spacing w:line="500" w:lineRule="exact"/>
        <w:ind w:firstLine="157"/>
        <w:rPr>
          <w:rFonts w:ascii="Times New Roman" w:hAnsi="Times New Roman"/>
        </w:rPr>
      </w:pPr>
      <w:bookmarkStart w:id="241" w:name="_Toc144974529"/>
      <w:bookmarkStart w:id="242" w:name="_Toc247527586"/>
      <w:bookmarkStart w:id="243" w:name="_Toc3997868"/>
      <w:bookmarkStart w:id="244" w:name="_Toc247513985"/>
      <w:bookmarkStart w:id="245" w:name="_Toc152042337"/>
      <w:bookmarkStart w:id="246" w:name="_Toc152045561"/>
      <w:r>
        <w:rPr>
          <w:sz w:val="32"/>
          <w:szCs w:val="32"/>
        </w:rPr>
        <w:t>□</w:t>
      </w:r>
      <w:r>
        <w:rPr>
          <w:rFonts w:hint="eastAsia" w:ascii="Times New Roman" w:hAnsi="Times New Roman"/>
        </w:rPr>
        <w:t>5.1 开标时间和地点（A）</w:t>
      </w:r>
    </w:p>
    <w:p>
      <w:pPr>
        <w:spacing w:line="500" w:lineRule="exact"/>
        <w:ind w:firstLine="420" w:firstLineChars="200"/>
      </w:pPr>
      <w:r>
        <w:rPr>
          <w:rFonts w:hint="eastAsia"/>
        </w:rPr>
        <w:t>招标人在本章第 4.2.1 项规定的投标截止时间（开标时间）和投标人须知前附表规定的地点公开开标，并邀请所有投标人的法定代表人或其委托代理人准时参加。</w:t>
      </w:r>
    </w:p>
    <w:p>
      <w:pPr>
        <w:spacing w:line="500" w:lineRule="exact"/>
        <w:ind w:firstLine="420" w:firstLineChars="200"/>
      </w:pPr>
    </w:p>
    <w:p>
      <w:pPr>
        <w:pStyle w:val="6"/>
        <w:spacing w:line="500" w:lineRule="exact"/>
        <w:ind w:firstLine="157"/>
        <w:rPr>
          <w:rFonts w:ascii="Times New Roman" w:hAnsi="Times New Roman"/>
        </w:rPr>
      </w:pPr>
      <w:r>
        <w:rPr>
          <w:sz w:val="32"/>
          <w:szCs w:val="32"/>
        </w:rPr>
        <w:t>□</w:t>
      </w:r>
      <w:r>
        <w:rPr>
          <w:rFonts w:hint="eastAsia" w:ascii="Times New Roman" w:hAnsi="Times New Roman"/>
        </w:rPr>
        <w:t>5.1 开标时间和地点（B）</w:t>
      </w:r>
    </w:p>
    <w:p>
      <w:pPr>
        <w:spacing w:line="500" w:lineRule="exact"/>
        <w:ind w:firstLine="420" w:firstLineChars="200"/>
        <w:rPr>
          <w:rFonts w:ascii="宋体" w:hAnsi="宋体"/>
        </w:rPr>
      </w:pPr>
      <w:r>
        <w:rPr>
          <w:rFonts w:hint="eastAsia"/>
        </w:rPr>
        <w:t>招标人在本章第 4.2.1 项规定的投标截止时间（开标时间），通过电子招标投标交易平台公开开标，所有投标人的</w:t>
      </w:r>
      <w:r>
        <w:rPr>
          <w:rFonts w:ascii="宋体" w:hAnsi="宋体"/>
        </w:rPr>
        <w:t>法定代表人或其委托代理人应当准时参加。</w:t>
      </w:r>
    </w:p>
    <w:p>
      <w:pPr>
        <w:pStyle w:val="6"/>
        <w:spacing w:line="500" w:lineRule="exact"/>
      </w:pPr>
      <w:r>
        <w:rPr>
          <w:rFonts w:hint="eastAsia" w:ascii="Times New Roman" w:hAnsi="Times New Roman"/>
        </w:rPr>
        <w:t>5.2</w:t>
      </w:r>
      <w:r>
        <w:rPr>
          <w:rFonts w:hint="eastAsia"/>
        </w:rPr>
        <w:t xml:space="preserve"> 开标程序</w:t>
      </w:r>
      <w:bookmarkEnd w:id="241"/>
      <w:bookmarkEnd w:id="242"/>
      <w:bookmarkEnd w:id="243"/>
      <w:bookmarkEnd w:id="244"/>
      <w:bookmarkEnd w:id="245"/>
      <w:bookmarkEnd w:id="246"/>
    </w:p>
    <w:p>
      <w:pPr>
        <w:spacing w:line="500" w:lineRule="exact"/>
        <w:ind w:firstLine="359" w:firstLineChars="171"/>
      </w:pPr>
      <w:r>
        <w:rPr>
          <w:rFonts w:hint="eastAsia"/>
        </w:rPr>
        <w:t>主持人按下列程序进行开标：</w:t>
      </w:r>
    </w:p>
    <w:p>
      <w:pPr>
        <w:spacing w:line="500" w:lineRule="exact"/>
        <w:ind w:firstLine="359" w:firstLineChars="171"/>
      </w:pPr>
      <w:r>
        <w:rPr>
          <w:rFonts w:hint="eastAsia"/>
        </w:rPr>
        <w:t>（1）宣布开标纪律；</w:t>
      </w:r>
    </w:p>
    <w:p>
      <w:pPr>
        <w:spacing w:line="500" w:lineRule="exact"/>
        <w:ind w:firstLine="359" w:firstLineChars="171"/>
      </w:pPr>
      <w:r>
        <w:rPr>
          <w:rFonts w:hint="eastAsia"/>
        </w:rPr>
        <w:t>（2）公布在投标截止时间前递交投标文件的投标人名称；</w:t>
      </w:r>
    </w:p>
    <w:p>
      <w:pPr>
        <w:spacing w:line="500" w:lineRule="exact"/>
        <w:ind w:firstLine="359" w:firstLineChars="171"/>
      </w:pPr>
      <w:r>
        <w:rPr>
          <w:rFonts w:hint="eastAsia"/>
        </w:rPr>
        <w:t>（3）宣布开标人、唱标人、记录人、监标人等有关人员姓名；</w:t>
      </w:r>
    </w:p>
    <w:p>
      <w:pPr>
        <w:spacing w:line="500" w:lineRule="exact"/>
        <w:ind w:firstLine="359" w:firstLineChars="171"/>
      </w:pPr>
      <w:r>
        <w:rPr>
          <w:rFonts w:hint="eastAsia"/>
          <w:szCs w:val="21"/>
        </w:rPr>
        <w:t>□</w:t>
      </w:r>
      <w:r>
        <w:rPr>
          <w:rFonts w:hint="eastAsia"/>
        </w:rPr>
        <w:t>（4）（A）检查投标文件的密封情况，按照投标人须知前附表规定的开标顺序当众开标，公布招标项目名称、投标人名称、投标保证金的递交情况、投标报价、服务周期及其他内容，并记录在案；</w:t>
      </w:r>
    </w:p>
    <w:p>
      <w:pPr>
        <w:spacing w:line="500" w:lineRule="exact"/>
        <w:ind w:firstLine="359" w:firstLineChars="171"/>
      </w:pPr>
      <w:r>
        <w:rPr>
          <w:rFonts w:hint="eastAsia"/>
          <w:szCs w:val="21"/>
        </w:rPr>
        <w:t>□</w:t>
      </w:r>
      <w:r>
        <w:rPr>
          <w:rFonts w:hint="eastAsia"/>
        </w:rPr>
        <w:t>（4）（B）投标人通过电子招标投标交易平台对已递交的电子投标文件进行解密，公布招标项目名称、投标人名称、投标保证金的递交情况、投标报价、服务周期及其他内容，并记录在案；</w:t>
      </w:r>
    </w:p>
    <w:p>
      <w:pPr>
        <w:spacing w:line="500" w:lineRule="exact"/>
        <w:ind w:firstLine="359" w:firstLineChars="171"/>
      </w:pPr>
      <w:r>
        <w:rPr>
          <w:rFonts w:hint="eastAsia"/>
          <w:szCs w:val="21"/>
        </w:rPr>
        <w:t>□</w:t>
      </w:r>
      <w:r>
        <w:rPr>
          <w:rFonts w:hint="eastAsia"/>
        </w:rPr>
        <w:t>（5）（A）投标人代表、招标人代表、监标人、记录人等有关人员在开标记录上签字确认；</w:t>
      </w:r>
    </w:p>
    <w:p>
      <w:pPr>
        <w:spacing w:line="500" w:lineRule="exact"/>
        <w:ind w:firstLine="359" w:firstLineChars="171"/>
      </w:pPr>
      <w:r>
        <w:rPr>
          <w:rFonts w:hint="eastAsia"/>
          <w:szCs w:val="21"/>
        </w:rPr>
        <w:t>□</w:t>
      </w:r>
      <w:r>
        <w:rPr>
          <w:rFonts w:hint="eastAsia"/>
        </w:rPr>
        <w:t>（5）（B）投标人代表、招标人代表、监标人、记录人等有关人员使用本人的电子印章在开标记录上签字确认；</w:t>
      </w:r>
    </w:p>
    <w:p>
      <w:pPr>
        <w:spacing w:line="500" w:lineRule="exact"/>
        <w:ind w:firstLine="359" w:firstLineChars="171"/>
      </w:pPr>
      <w:r>
        <w:rPr>
          <w:rFonts w:hint="eastAsia"/>
        </w:rPr>
        <w:t>（6）开标结束。</w:t>
      </w:r>
    </w:p>
    <w:p>
      <w:pPr>
        <w:pStyle w:val="6"/>
        <w:spacing w:line="500" w:lineRule="exact"/>
      </w:pPr>
      <w:bookmarkStart w:id="247" w:name="_Toc3997869"/>
      <w:r>
        <w:rPr>
          <w:rFonts w:hint="eastAsia" w:ascii="Times New Roman" w:hAnsi="Times New Roman"/>
        </w:rPr>
        <w:t>5.3</w:t>
      </w:r>
      <w:r>
        <w:rPr>
          <w:rFonts w:hint="eastAsia"/>
        </w:rPr>
        <w:t xml:space="preserve"> 开标异议</w:t>
      </w:r>
      <w:bookmarkEnd w:id="247"/>
    </w:p>
    <w:p>
      <w:pPr>
        <w:spacing w:line="500" w:lineRule="exact"/>
        <w:ind w:firstLine="359" w:firstLineChars="171"/>
      </w:pPr>
      <w:r>
        <w:rPr>
          <w:rFonts w:hint="eastAsia"/>
        </w:rPr>
        <w:t>投标人对开标有异议的，应当在开标现场提出，招标人当场作出答复，并制作记录。</w:t>
      </w:r>
    </w:p>
    <w:p>
      <w:pPr>
        <w:pStyle w:val="5"/>
        <w:spacing w:line="500" w:lineRule="exact"/>
        <w:ind w:left="0" w:leftChars="0" w:firstLine="0" w:firstLineChars="0"/>
        <w:rPr>
          <w:rFonts w:hint="eastAsia"/>
          <w:b/>
          <w:bCs w:val="0"/>
          <w:sz w:val="30"/>
          <w:szCs w:val="30"/>
        </w:rPr>
      </w:pPr>
      <w:bookmarkStart w:id="248" w:name="_Toc247513986"/>
      <w:bookmarkStart w:id="249" w:name="_Toc247527587"/>
      <w:bookmarkStart w:id="250" w:name="_Toc15461"/>
      <w:bookmarkStart w:id="251" w:name="_Toc152042338"/>
      <w:bookmarkStart w:id="252" w:name="_Toc144974530"/>
      <w:bookmarkStart w:id="253" w:name="_Toc3997870"/>
      <w:bookmarkStart w:id="254" w:name="_Toc152045562"/>
      <w:r>
        <w:rPr>
          <w:rFonts w:hint="eastAsia"/>
          <w:b/>
          <w:bCs w:val="0"/>
          <w:sz w:val="30"/>
          <w:szCs w:val="30"/>
        </w:rPr>
        <w:t>6. 评标</w:t>
      </w:r>
      <w:bookmarkEnd w:id="248"/>
      <w:bookmarkEnd w:id="249"/>
      <w:bookmarkEnd w:id="250"/>
      <w:bookmarkEnd w:id="251"/>
      <w:bookmarkEnd w:id="252"/>
      <w:bookmarkEnd w:id="253"/>
      <w:bookmarkEnd w:id="254"/>
    </w:p>
    <w:p>
      <w:pPr>
        <w:pStyle w:val="6"/>
        <w:spacing w:line="500" w:lineRule="exact"/>
      </w:pPr>
      <w:bookmarkStart w:id="255" w:name="_Toc3997871"/>
      <w:bookmarkStart w:id="256" w:name="_Toc247513987"/>
      <w:bookmarkStart w:id="257" w:name="_Toc152045563"/>
      <w:bookmarkStart w:id="258" w:name="_Toc152042339"/>
      <w:bookmarkStart w:id="259" w:name="_Toc247527588"/>
      <w:bookmarkStart w:id="260" w:name="_Toc144974531"/>
      <w:r>
        <w:rPr>
          <w:rFonts w:hint="eastAsia" w:ascii="Times New Roman" w:hAnsi="Times New Roman"/>
        </w:rPr>
        <w:t>6.1</w:t>
      </w:r>
      <w:r>
        <w:rPr>
          <w:rFonts w:hint="eastAsia"/>
        </w:rPr>
        <w:t xml:space="preserve"> 评标委员会</w:t>
      </w:r>
      <w:bookmarkEnd w:id="255"/>
      <w:bookmarkEnd w:id="256"/>
      <w:bookmarkEnd w:id="257"/>
      <w:bookmarkEnd w:id="258"/>
      <w:bookmarkEnd w:id="259"/>
      <w:bookmarkEnd w:id="260"/>
    </w:p>
    <w:p>
      <w:pPr>
        <w:spacing w:line="500" w:lineRule="exact"/>
        <w:ind w:firstLine="420" w:firstLineChars="200"/>
      </w:pPr>
      <w:r>
        <w:rPr>
          <w:rFonts w:hint="eastAsia"/>
        </w:rPr>
        <w:t>6.1.1 评标由招标人依法组建的评标委员会负责。评标委员会由招标人代表，以及有关技术、经济等方面的专家组成。评标委员会成员人数以及技术、经济等方面专家的确定方式见投标人须知前附表。</w:t>
      </w:r>
    </w:p>
    <w:p>
      <w:pPr>
        <w:spacing w:line="500" w:lineRule="exact"/>
        <w:ind w:firstLine="420" w:firstLineChars="200"/>
      </w:pPr>
      <w:r>
        <w:rPr>
          <w:rFonts w:hint="eastAsia"/>
        </w:rPr>
        <w:t>6.1.2 评标委员会成员有下列情形之一的，应当回避：</w:t>
      </w:r>
    </w:p>
    <w:p>
      <w:pPr>
        <w:spacing w:line="500" w:lineRule="exact"/>
        <w:ind w:firstLine="718" w:firstLineChars="342"/>
      </w:pPr>
      <w:r>
        <w:rPr>
          <w:rFonts w:hint="eastAsia"/>
        </w:rPr>
        <w:t>（1）投标人或投标人主要负责人的近亲属；</w:t>
      </w:r>
    </w:p>
    <w:p>
      <w:pPr>
        <w:spacing w:line="500" w:lineRule="exact"/>
        <w:ind w:firstLine="718" w:firstLineChars="342"/>
      </w:pPr>
      <w:r>
        <w:rPr>
          <w:rFonts w:hint="eastAsia"/>
        </w:rPr>
        <w:t>（2）项目主管部门或者行政监督部门的人员；</w:t>
      </w:r>
    </w:p>
    <w:p>
      <w:pPr>
        <w:spacing w:line="500" w:lineRule="exact"/>
        <w:ind w:firstLine="718" w:firstLineChars="342"/>
      </w:pPr>
      <w:r>
        <w:rPr>
          <w:rFonts w:hint="eastAsia"/>
        </w:rPr>
        <w:t>（3）与投标人有经济利益关系，可能影响对投标公正评审的；</w:t>
      </w:r>
    </w:p>
    <w:p>
      <w:pPr>
        <w:spacing w:line="500" w:lineRule="exact"/>
        <w:ind w:left="420" w:leftChars="200" w:firstLine="298" w:firstLineChars="142"/>
      </w:pPr>
      <w:r>
        <w:rPr>
          <w:rFonts w:hint="eastAsia"/>
        </w:rPr>
        <w:t>（4）曾因在招标、评标以及其他与招标投标有关活动中从事违法行为而受过行政处罚或刑事处罚的；</w:t>
      </w:r>
    </w:p>
    <w:p>
      <w:pPr>
        <w:spacing w:line="500" w:lineRule="exact"/>
        <w:ind w:firstLine="718" w:firstLineChars="342"/>
      </w:pPr>
      <w:r>
        <w:rPr>
          <w:rFonts w:hint="eastAsia"/>
        </w:rPr>
        <w:t>（5）与投标人有其他利害关系。</w:t>
      </w:r>
    </w:p>
    <w:p>
      <w:pPr>
        <w:pStyle w:val="6"/>
        <w:spacing w:line="500" w:lineRule="exact"/>
      </w:pPr>
      <w:bookmarkStart w:id="261" w:name="_Toc152045564"/>
      <w:bookmarkStart w:id="262" w:name="_Toc247527589"/>
      <w:bookmarkStart w:id="263" w:name="_Toc144974532"/>
      <w:bookmarkStart w:id="264" w:name="_Toc152042340"/>
      <w:bookmarkStart w:id="265" w:name="_Toc3997872"/>
      <w:bookmarkStart w:id="266" w:name="_Toc247513988"/>
      <w:r>
        <w:rPr>
          <w:rFonts w:hint="eastAsia" w:ascii="Times New Roman" w:hAnsi="Times New Roman"/>
        </w:rPr>
        <w:t>6.2</w:t>
      </w:r>
      <w:r>
        <w:rPr>
          <w:rFonts w:hint="eastAsia"/>
        </w:rPr>
        <w:t xml:space="preserve"> 评标原则</w:t>
      </w:r>
      <w:bookmarkEnd w:id="261"/>
      <w:bookmarkEnd w:id="262"/>
      <w:bookmarkEnd w:id="263"/>
      <w:bookmarkEnd w:id="264"/>
      <w:bookmarkEnd w:id="265"/>
      <w:bookmarkEnd w:id="266"/>
      <w:r>
        <w:tab/>
      </w:r>
    </w:p>
    <w:p>
      <w:pPr>
        <w:spacing w:line="500" w:lineRule="exact"/>
        <w:ind w:firstLine="420" w:firstLineChars="200"/>
      </w:pPr>
      <w:r>
        <w:rPr>
          <w:rFonts w:hint="eastAsia"/>
        </w:rPr>
        <w:t>评标活动遵循公平、公正、科学和择优的原则。</w:t>
      </w:r>
    </w:p>
    <w:p>
      <w:pPr>
        <w:pStyle w:val="6"/>
        <w:spacing w:line="500" w:lineRule="exact"/>
      </w:pPr>
      <w:bookmarkStart w:id="267" w:name="_Toc3997873"/>
      <w:bookmarkStart w:id="268" w:name="_Toc247513989"/>
      <w:bookmarkStart w:id="269" w:name="_Toc152042341"/>
      <w:bookmarkStart w:id="270" w:name="_Toc144974533"/>
      <w:bookmarkStart w:id="271" w:name="_Toc152045565"/>
      <w:bookmarkStart w:id="272" w:name="_Toc247527590"/>
      <w:r>
        <w:rPr>
          <w:rFonts w:hint="eastAsia" w:ascii="Times New Roman" w:hAnsi="Times New Roman"/>
        </w:rPr>
        <w:t>6.3</w:t>
      </w:r>
      <w:r>
        <w:rPr>
          <w:rFonts w:hint="eastAsia"/>
        </w:rPr>
        <w:t xml:space="preserve"> 评标</w:t>
      </w:r>
      <w:bookmarkEnd w:id="267"/>
      <w:bookmarkEnd w:id="268"/>
      <w:bookmarkEnd w:id="269"/>
      <w:bookmarkEnd w:id="270"/>
      <w:bookmarkEnd w:id="271"/>
      <w:bookmarkEnd w:id="272"/>
    </w:p>
    <w:p>
      <w:pPr>
        <w:spacing w:line="500" w:lineRule="exact"/>
        <w:ind w:firstLine="420" w:firstLineChars="200"/>
      </w:pPr>
      <w:r>
        <w:rPr>
          <w:rFonts w:hint="eastAsia"/>
        </w:rPr>
        <w:t>评标委员会按照第三章“评标办法”规定的方法、评审因素、标准和程序对投标文件进行评审。第三章“评标办法”没有规定的方法、评审因素和标准，不作为评标依据。</w:t>
      </w:r>
    </w:p>
    <w:p>
      <w:pPr>
        <w:pStyle w:val="5"/>
        <w:spacing w:line="500" w:lineRule="exact"/>
        <w:ind w:left="0" w:leftChars="0" w:firstLine="0" w:firstLineChars="0"/>
        <w:rPr>
          <w:rFonts w:hint="eastAsia"/>
          <w:b/>
          <w:bCs w:val="0"/>
          <w:sz w:val="30"/>
          <w:szCs w:val="30"/>
        </w:rPr>
      </w:pPr>
      <w:bookmarkStart w:id="273" w:name="_Toc152045566"/>
      <w:bookmarkStart w:id="274" w:name="_Toc4194"/>
      <w:bookmarkStart w:id="275" w:name="_Toc3997874"/>
      <w:bookmarkStart w:id="276" w:name="_Toc247527591"/>
      <w:bookmarkStart w:id="277" w:name="_Toc144974534"/>
      <w:bookmarkStart w:id="278" w:name="_Toc247513990"/>
      <w:bookmarkStart w:id="279" w:name="_Toc152042342"/>
      <w:r>
        <w:rPr>
          <w:rFonts w:hint="eastAsia"/>
          <w:b/>
          <w:bCs w:val="0"/>
          <w:sz w:val="30"/>
          <w:szCs w:val="30"/>
        </w:rPr>
        <w:t>7. 合同授予</w:t>
      </w:r>
      <w:bookmarkEnd w:id="273"/>
      <w:bookmarkEnd w:id="274"/>
      <w:bookmarkEnd w:id="275"/>
      <w:bookmarkEnd w:id="276"/>
      <w:bookmarkEnd w:id="277"/>
      <w:bookmarkEnd w:id="278"/>
      <w:bookmarkEnd w:id="279"/>
    </w:p>
    <w:p>
      <w:pPr>
        <w:pStyle w:val="6"/>
        <w:spacing w:line="500" w:lineRule="exact"/>
      </w:pPr>
      <w:bookmarkStart w:id="280" w:name="_Toc144974535"/>
      <w:bookmarkStart w:id="281" w:name="_Toc152042343"/>
      <w:bookmarkStart w:id="282" w:name="_Toc152045567"/>
      <w:bookmarkStart w:id="283" w:name="_Toc247513991"/>
      <w:bookmarkStart w:id="284" w:name="_Toc3997875"/>
      <w:bookmarkStart w:id="285" w:name="_Toc247527592"/>
      <w:r>
        <w:rPr>
          <w:rFonts w:hint="eastAsia" w:ascii="Times New Roman" w:hAnsi="Times New Roman"/>
        </w:rPr>
        <w:t>7.1</w:t>
      </w:r>
      <w:r>
        <w:rPr>
          <w:rFonts w:hint="eastAsia"/>
        </w:rPr>
        <w:t xml:space="preserve"> 定标方式</w:t>
      </w:r>
      <w:bookmarkEnd w:id="280"/>
      <w:bookmarkEnd w:id="281"/>
      <w:bookmarkEnd w:id="282"/>
      <w:bookmarkEnd w:id="283"/>
      <w:bookmarkEnd w:id="284"/>
      <w:bookmarkEnd w:id="285"/>
    </w:p>
    <w:p>
      <w:pPr>
        <w:spacing w:line="500" w:lineRule="exact"/>
        <w:ind w:firstLine="420" w:firstLineChars="200"/>
      </w:pPr>
      <w:r>
        <w:rPr>
          <w:rFonts w:hint="eastAsia"/>
        </w:rPr>
        <w:t>除投标人须知前附表规定评标委员会直接确定中标人外，招标人依据评标委员会推荐的中标候选人确定中标人，评标委员会推荐中标候选人的人数见投标人须知前附表。</w:t>
      </w:r>
    </w:p>
    <w:p>
      <w:pPr>
        <w:pStyle w:val="6"/>
        <w:spacing w:line="500" w:lineRule="exact"/>
      </w:pPr>
      <w:bookmarkStart w:id="286" w:name="_Toc3997876"/>
      <w:r>
        <w:rPr>
          <w:rFonts w:hint="eastAsia" w:ascii="Times New Roman" w:hAnsi="Times New Roman"/>
        </w:rPr>
        <w:t>7.2</w:t>
      </w:r>
      <w:r>
        <w:rPr>
          <w:rFonts w:hint="eastAsia"/>
        </w:rPr>
        <w:t xml:space="preserve"> 中标候选人公示</w:t>
      </w:r>
      <w:bookmarkEnd w:id="286"/>
    </w:p>
    <w:p>
      <w:pPr>
        <w:spacing w:line="500" w:lineRule="exact"/>
        <w:ind w:firstLine="420" w:firstLineChars="200"/>
      </w:pPr>
      <w:r>
        <w:rPr>
          <w:rFonts w:hint="eastAsia"/>
        </w:rPr>
        <w:t>招标人在投标人须知前附表规定的媒介公示中标候选人，公示时间不少于3日。</w:t>
      </w:r>
    </w:p>
    <w:p>
      <w:pPr>
        <w:pStyle w:val="6"/>
        <w:spacing w:line="500" w:lineRule="exact"/>
      </w:pPr>
      <w:bookmarkStart w:id="287" w:name="_Toc247513992"/>
      <w:bookmarkStart w:id="288" w:name="_Toc152045568"/>
      <w:bookmarkStart w:id="289" w:name="_Toc152042344"/>
      <w:bookmarkStart w:id="290" w:name="_Toc144974536"/>
      <w:bookmarkStart w:id="291" w:name="_Toc247527593"/>
      <w:bookmarkStart w:id="292" w:name="_Toc3997877"/>
      <w:r>
        <w:rPr>
          <w:rFonts w:hint="eastAsia" w:ascii="Times New Roman" w:hAnsi="Times New Roman"/>
        </w:rPr>
        <w:t>7.3</w:t>
      </w:r>
      <w:r>
        <w:rPr>
          <w:rFonts w:hint="eastAsia"/>
        </w:rPr>
        <w:t xml:space="preserve"> 中标通知</w:t>
      </w:r>
      <w:bookmarkEnd w:id="287"/>
      <w:bookmarkEnd w:id="288"/>
      <w:bookmarkEnd w:id="289"/>
      <w:bookmarkEnd w:id="290"/>
      <w:bookmarkEnd w:id="291"/>
      <w:bookmarkEnd w:id="292"/>
    </w:p>
    <w:p>
      <w:pPr>
        <w:spacing w:line="500" w:lineRule="exact"/>
        <w:ind w:firstLine="420" w:firstLineChars="200"/>
      </w:pPr>
      <w:r>
        <w:rPr>
          <w:rFonts w:hint="eastAsia"/>
        </w:rPr>
        <w:t>在本章第3.3款规定的投标有效期内，招标人以书面形式向中标人发出中标通知书，同时将中标结果通知未中标的投标人。中标通知书按本章附表2</w:t>
      </w:r>
      <w:r>
        <w:t>-4</w:t>
      </w:r>
      <w:r>
        <w:rPr>
          <w:rFonts w:hint="eastAsia"/>
        </w:rPr>
        <w:t>格式填写。</w:t>
      </w:r>
    </w:p>
    <w:p>
      <w:pPr>
        <w:pStyle w:val="6"/>
        <w:spacing w:line="500" w:lineRule="exact"/>
      </w:pPr>
      <w:bookmarkStart w:id="293" w:name="_Toc144974537"/>
      <w:bookmarkStart w:id="294" w:name="_Toc152045569"/>
      <w:bookmarkStart w:id="295" w:name="_Toc152042345"/>
      <w:bookmarkStart w:id="296" w:name="_Toc247513993"/>
      <w:bookmarkStart w:id="297" w:name="_Toc3997878"/>
      <w:bookmarkStart w:id="298" w:name="_Toc247527594"/>
      <w:r>
        <w:rPr>
          <w:rFonts w:hint="eastAsia" w:ascii="Times New Roman" w:hAnsi="Times New Roman"/>
        </w:rPr>
        <w:t>7.4</w:t>
      </w:r>
      <w:r>
        <w:rPr>
          <w:rFonts w:hint="eastAsia"/>
        </w:rPr>
        <w:t xml:space="preserve"> 履约担保</w:t>
      </w:r>
      <w:bookmarkEnd w:id="293"/>
      <w:bookmarkEnd w:id="294"/>
      <w:bookmarkEnd w:id="295"/>
      <w:bookmarkEnd w:id="296"/>
      <w:bookmarkEnd w:id="297"/>
      <w:bookmarkEnd w:id="298"/>
    </w:p>
    <w:p>
      <w:pPr>
        <w:spacing w:line="500" w:lineRule="exact"/>
        <w:ind w:firstLine="420" w:firstLineChars="200"/>
      </w:pPr>
      <w:r>
        <w:rPr>
          <w:rFonts w:hint="eastAsia"/>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中牵头人的名义提交。</w:t>
      </w:r>
    </w:p>
    <w:p>
      <w:pPr>
        <w:spacing w:line="500" w:lineRule="exact"/>
        <w:ind w:firstLine="420" w:firstLineChars="200"/>
      </w:pPr>
      <w:r>
        <w:rPr>
          <w:rFonts w:hint="eastAsia"/>
        </w:rPr>
        <w:t>7.4.2 中标人不能按本章第7.4.1项要求提交履约担保的，视为放弃中标，其投标保证金不予退还，给招标人造成的损失超过投标保证金数额的，中标人还应当对超过部分予以赔偿。</w:t>
      </w:r>
    </w:p>
    <w:p>
      <w:pPr>
        <w:pStyle w:val="6"/>
        <w:spacing w:line="500" w:lineRule="exact"/>
      </w:pPr>
      <w:bookmarkStart w:id="299" w:name="_Toc152045570"/>
      <w:bookmarkStart w:id="300" w:name="_Toc247513994"/>
      <w:bookmarkStart w:id="301" w:name="_Toc3997879"/>
      <w:bookmarkStart w:id="302" w:name="_Toc247527595"/>
      <w:bookmarkStart w:id="303" w:name="_Toc152042346"/>
      <w:bookmarkStart w:id="304" w:name="_Toc144974538"/>
      <w:r>
        <w:rPr>
          <w:rFonts w:hint="eastAsia" w:ascii="Times New Roman" w:hAnsi="Times New Roman"/>
        </w:rPr>
        <w:t>7.5</w:t>
      </w:r>
      <w:r>
        <w:rPr>
          <w:rFonts w:hint="eastAsia"/>
        </w:rPr>
        <w:t xml:space="preserve"> 签订合同</w:t>
      </w:r>
      <w:bookmarkEnd w:id="299"/>
      <w:bookmarkEnd w:id="300"/>
      <w:bookmarkEnd w:id="301"/>
      <w:bookmarkEnd w:id="302"/>
      <w:bookmarkEnd w:id="303"/>
      <w:bookmarkEnd w:id="304"/>
    </w:p>
    <w:p>
      <w:pPr>
        <w:spacing w:line="500" w:lineRule="exact"/>
        <w:ind w:firstLine="420" w:firstLineChars="200"/>
      </w:pPr>
      <w:r>
        <w:rPr>
          <w:rFonts w:hint="eastAsia"/>
        </w:rPr>
        <w:t xml:space="preserve">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500" w:lineRule="exact"/>
        <w:ind w:firstLine="420" w:firstLineChars="200"/>
      </w:pPr>
      <w:r>
        <w:rPr>
          <w:rFonts w:hint="eastAsia"/>
        </w:rPr>
        <w:t xml:space="preserve">7.5.2 发出中标通知书后，招标人无正当理由拒签合同的，招标人向中标人退还投标保证金；给中标人造成损失的，还应当赔偿损失。 </w:t>
      </w:r>
    </w:p>
    <w:p>
      <w:pPr>
        <w:pStyle w:val="5"/>
        <w:spacing w:line="500" w:lineRule="exact"/>
        <w:ind w:left="0" w:leftChars="0" w:firstLine="0" w:firstLineChars="0"/>
        <w:rPr>
          <w:rFonts w:hint="eastAsia"/>
          <w:b/>
          <w:bCs w:val="0"/>
          <w:sz w:val="30"/>
          <w:szCs w:val="30"/>
        </w:rPr>
      </w:pPr>
      <w:bookmarkStart w:id="305" w:name="_Toc152045571"/>
      <w:bookmarkStart w:id="306" w:name="_Toc247527596"/>
      <w:bookmarkStart w:id="307" w:name="_Toc247513995"/>
      <w:bookmarkStart w:id="308" w:name="_Toc144974539"/>
      <w:bookmarkStart w:id="309" w:name="_Toc152042347"/>
      <w:bookmarkStart w:id="310" w:name="_Toc3739"/>
      <w:bookmarkStart w:id="311" w:name="_Toc3997880"/>
      <w:r>
        <w:rPr>
          <w:rFonts w:hint="eastAsia"/>
          <w:b/>
          <w:bCs w:val="0"/>
          <w:sz w:val="30"/>
          <w:szCs w:val="30"/>
        </w:rPr>
        <w:t>8.</w:t>
      </w:r>
      <w:bookmarkEnd w:id="305"/>
      <w:bookmarkEnd w:id="306"/>
      <w:bookmarkEnd w:id="307"/>
      <w:bookmarkEnd w:id="308"/>
      <w:bookmarkEnd w:id="309"/>
      <w:bookmarkStart w:id="312" w:name="_Toc247513998"/>
      <w:bookmarkStart w:id="313" w:name="_Toc247527599"/>
      <w:bookmarkStart w:id="314" w:name="_Toc152042350"/>
      <w:bookmarkStart w:id="315" w:name="_Toc152045574"/>
      <w:bookmarkStart w:id="316" w:name="_Toc144974542"/>
      <w:r>
        <w:rPr>
          <w:rFonts w:hint="eastAsia"/>
          <w:b/>
          <w:bCs w:val="0"/>
          <w:sz w:val="30"/>
          <w:szCs w:val="30"/>
        </w:rPr>
        <w:t xml:space="preserve"> 纪律和监督</w:t>
      </w:r>
      <w:bookmarkEnd w:id="310"/>
      <w:bookmarkEnd w:id="311"/>
      <w:bookmarkEnd w:id="312"/>
      <w:bookmarkEnd w:id="313"/>
      <w:bookmarkEnd w:id="314"/>
      <w:bookmarkEnd w:id="315"/>
      <w:bookmarkEnd w:id="316"/>
    </w:p>
    <w:p>
      <w:pPr>
        <w:pStyle w:val="6"/>
        <w:spacing w:line="500" w:lineRule="exact"/>
      </w:pPr>
      <w:bookmarkStart w:id="317" w:name="_Toc247527600"/>
      <w:bookmarkStart w:id="318" w:name="_Toc144974543"/>
      <w:bookmarkStart w:id="319" w:name="_Toc3997881"/>
      <w:bookmarkStart w:id="320" w:name="_Toc247513999"/>
      <w:bookmarkStart w:id="321" w:name="_Toc152042351"/>
      <w:bookmarkStart w:id="322" w:name="_Toc152045575"/>
      <w:r>
        <w:rPr>
          <w:rFonts w:hint="eastAsia" w:ascii="Times New Roman" w:hAnsi="Times New Roman"/>
        </w:rPr>
        <w:t>8.1</w:t>
      </w:r>
      <w:r>
        <w:rPr>
          <w:rFonts w:hint="eastAsia"/>
        </w:rPr>
        <w:t xml:space="preserve"> 对招标人的纪律要求</w:t>
      </w:r>
      <w:bookmarkEnd w:id="317"/>
      <w:bookmarkEnd w:id="318"/>
      <w:bookmarkEnd w:id="319"/>
      <w:bookmarkEnd w:id="320"/>
      <w:bookmarkEnd w:id="321"/>
      <w:bookmarkEnd w:id="322"/>
    </w:p>
    <w:p>
      <w:pPr>
        <w:spacing w:line="500" w:lineRule="exact"/>
        <w:ind w:firstLine="420" w:firstLineChars="200"/>
      </w:pPr>
      <w:r>
        <w:rPr>
          <w:rFonts w:hint="eastAsia"/>
        </w:rPr>
        <w:t>招标人不得泄漏招标投标活动中应当保密的情况和资料，不得与投标人串通损害国家利益、社会公共利益或者他人合法权益。</w:t>
      </w:r>
    </w:p>
    <w:p>
      <w:pPr>
        <w:pStyle w:val="6"/>
        <w:spacing w:line="500" w:lineRule="exact"/>
      </w:pPr>
      <w:bookmarkStart w:id="323" w:name="_Toc152042352"/>
      <w:bookmarkStart w:id="324" w:name="_Toc247527601"/>
      <w:bookmarkStart w:id="325" w:name="_Toc247514000"/>
      <w:bookmarkStart w:id="326" w:name="_Toc152045576"/>
      <w:bookmarkStart w:id="327" w:name="_Toc3997882"/>
      <w:bookmarkStart w:id="328" w:name="_Toc144974544"/>
      <w:r>
        <w:rPr>
          <w:rFonts w:hint="eastAsia" w:ascii="Times New Roman" w:hAnsi="Times New Roman"/>
        </w:rPr>
        <w:t>8.2</w:t>
      </w:r>
      <w:r>
        <w:rPr>
          <w:rFonts w:hint="eastAsia"/>
        </w:rPr>
        <w:t xml:space="preserve"> 对投标人的纪律要求</w:t>
      </w:r>
      <w:bookmarkEnd w:id="323"/>
      <w:bookmarkEnd w:id="324"/>
      <w:bookmarkEnd w:id="325"/>
      <w:bookmarkEnd w:id="326"/>
      <w:bookmarkEnd w:id="327"/>
      <w:bookmarkEnd w:id="328"/>
    </w:p>
    <w:p>
      <w:pPr>
        <w:spacing w:line="500" w:lineRule="exact"/>
        <w:ind w:firstLine="420" w:firstLineChars="20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spacing w:line="500" w:lineRule="exact"/>
      </w:pPr>
      <w:bookmarkStart w:id="329" w:name="_Toc152042353"/>
      <w:bookmarkStart w:id="330" w:name="_Toc247514001"/>
      <w:bookmarkStart w:id="331" w:name="_Toc152045577"/>
      <w:bookmarkStart w:id="332" w:name="_Toc3997883"/>
      <w:bookmarkStart w:id="333" w:name="_Toc144974545"/>
      <w:bookmarkStart w:id="334" w:name="_Toc247527602"/>
      <w:r>
        <w:rPr>
          <w:rFonts w:hint="eastAsia" w:ascii="Times New Roman" w:hAnsi="Times New Roman"/>
        </w:rPr>
        <w:t>8.3</w:t>
      </w:r>
      <w:r>
        <w:rPr>
          <w:rFonts w:hint="eastAsia"/>
        </w:rPr>
        <w:t xml:space="preserve"> 对评标委员会成员的纪律要求</w:t>
      </w:r>
      <w:bookmarkEnd w:id="329"/>
      <w:bookmarkEnd w:id="330"/>
      <w:bookmarkEnd w:id="331"/>
      <w:bookmarkEnd w:id="332"/>
      <w:bookmarkEnd w:id="333"/>
      <w:bookmarkEnd w:id="334"/>
    </w:p>
    <w:p>
      <w:pPr>
        <w:spacing w:line="500" w:lineRule="exact"/>
        <w:ind w:firstLine="420" w:firstLineChars="200"/>
      </w:pPr>
      <w:r>
        <w:rPr>
          <w:rFonts w:hint="eastAsi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6"/>
        <w:spacing w:line="500" w:lineRule="exact"/>
      </w:pPr>
      <w:bookmarkStart w:id="335" w:name="_Toc247514002"/>
      <w:bookmarkStart w:id="336" w:name="_Toc152045578"/>
      <w:bookmarkStart w:id="337" w:name="_Toc3997884"/>
      <w:bookmarkStart w:id="338" w:name="_Toc247527603"/>
      <w:bookmarkStart w:id="339" w:name="_Toc152042354"/>
      <w:bookmarkStart w:id="340" w:name="_Toc144974546"/>
      <w:r>
        <w:rPr>
          <w:rFonts w:hint="eastAsia" w:ascii="Times New Roman" w:hAnsi="Times New Roman"/>
        </w:rPr>
        <w:t>8.4</w:t>
      </w:r>
      <w:r>
        <w:rPr>
          <w:rFonts w:hint="eastAsia"/>
        </w:rPr>
        <w:t xml:space="preserve"> 对与评标活动有关的工作人员的纪律要求</w:t>
      </w:r>
      <w:bookmarkEnd w:id="335"/>
      <w:bookmarkEnd w:id="336"/>
      <w:bookmarkEnd w:id="337"/>
      <w:bookmarkEnd w:id="338"/>
      <w:bookmarkEnd w:id="339"/>
    </w:p>
    <w:p>
      <w:pPr>
        <w:spacing w:line="500" w:lineRule="exact"/>
        <w:ind w:firstLine="420" w:firstLineChars="200"/>
      </w:pPr>
      <w:bookmarkStart w:id="341" w:name="_Toc152042355"/>
      <w:r>
        <w:rPr>
          <w:rFonts w:hint="eastAsi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341"/>
    </w:p>
    <w:p>
      <w:pPr>
        <w:pStyle w:val="6"/>
        <w:spacing w:line="500" w:lineRule="exact"/>
      </w:pPr>
      <w:bookmarkStart w:id="342" w:name="_Toc3997885"/>
      <w:bookmarkStart w:id="343" w:name="_Toc247527604"/>
      <w:bookmarkStart w:id="344" w:name="_Toc152042356"/>
      <w:bookmarkStart w:id="345" w:name="_Toc152045579"/>
      <w:bookmarkStart w:id="346" w:name="_Toc247514003"/>
      <w:r>
        <w:rPr>
          <w:rFonts w:hint="eastAsia" w:ascii="Times New Roman" w:hAnsi="Times New Roman"/>
        </w:rPr>
        <w:t>8.5</w:t>
      </w:r>
      <w:r>
        <w:rPr>
          <w:rFonts w:hint="eastAsia"/>
        </w:rPr>
        <w:t xml:space="preserve"> 投诉</w:t>
      </w:r>
      <w:bookmarkEnd w:id="340"/>
      <w:bookmarkEnd w:id="342"/>
      <w:bookmarkEnd w:id="343"/>
      <w:bookmarkEnd w:id="344"/>
      <w:bookmarkEnd w:id="345"/>
      <w:bookmarkEnd w:id="346"/>
    </w:p>
    <w:p>
      <w:pPr>
        <w:spacing w:line="500" w:lineRule="exact"/>
        <w:ind w:firstLine="420" w:firstLineChars="200"/>
      </w:pPr>
      <w:r>
        <w:rPr>
          <w:rFonts w:hint="eastAsia"/>
        </w:rPr>
        <w:t>投标人和其他利害关系人认为本次招标活动违反法律、法规和规章规定的，有权向有关行政监督部门投诉。</w:t>
      </w:r>
    </w:p>
    <w:p>
      <w:pPr>
        <w:pStyle w:val="5"/>
        <w:spacing w:line="500" w:lineRule="exact"/>
        <w:ind w:left="0" w:leftChars="0" w:firstLine="0" w:firstLineChars="0"/>
        <w:rPr>
          <w:rFonts w:hint="eastAsia"/>
          <w:b/>
          <w:bCs w:val="0"/>
          <w:sz w:val="30"/>
          <w:szCs w:val="30"/>
        </w:rPr>
      </w:pPr>
      <w:bookmarkStart w:id="347" w:name="_Toc247527605"/>
      <w:bookmarkStart w:id="348" w:name="_Toc152045580"/>
      <w:bookmarkStart w:id="349" w:name="_Toc2518"/>
      <w:bookmarkStart w:id="350" w:name="_Toc144974547"/>
      <w:bookmarkStart w:id="351" w:name="_Toc152042357"/>
      <w:bookmarkStart w:id="352" w:name="_Toc3997886"/>
      <w:bookmarkStart w:id="353" w:name="_Toc247514004"/>
      <w:r>
        <w:rPr>
          <w:rFonts w:hint="eastAsia"/>
          <w:b/>
          <w:bCs w:val="0"/>
          <w:sz w:val="30"/>
          <w:szCs w:val="30"/>
        </w:rPr>
        <w:t>9. 需要补充的其他内容</w:t>
      </w:r>
      <w:bookmarkEnd w:id="347"/>
      <w:bookmarkEnd w:id="348"/>
      <w:bookmarkEnd w:id="349"/>
      <w:bookmarkEnd w:id="350"/>
      <w:bookmarkEnd w:id="351"/>
      <w:bookmarkEnd w:id="352"/>
      <w:bookmarkEnd w:id="353"/>
    </w:p>
    <w:p>
      <w:pPr>
        <w:spacing w:line="500" w:lineRule="exact"/>
        <w:ind w:firstLine="420" w:firstLineChars="200"/>
      </w:pPr>
      <w:r>
        <w:rPr>
          <w:rFonts w:hint="eastAsia"/>
        </w:rPr>
        <w:t>需要补充的其他内容：见投标人须知前附表。</w:t>
      </w:r>
    </w:p>
    <w:p>
      <w:pPr>
        <w:pStyle w:val="5"/>
        <w:spacing w:line="500" w:lineRule="exact"/>
        <w:ind w:left="0" w:leftChars="0" w:firstLine="0" w:firstLineChars="0"/>
        <w:rPr>
          <w:rFonts w:hint="eastAsia"/>
          <w:b/>
          <w:bCs w:val="0"/>
          <w:sz w:val="30"/>
          <w:szCs w:val="30"/>
        </w:rPr>
      </w:pPr>
      <w:bookmarkStart w:id="354" w:name="_Toc18725"/>
      <w:bookmarkStart w:id="355" w:name="_Toc3997887"/>
      <w:r>
        <w:rPr>
          <w:rFonts w:hint="eastAsia"/>
          <w:b/>
          <w:bCs w:val="0"/>
          <w:sz w:val="30"/>
          <w:szCs w:val="30"/>
        </w:rPr>
        <w:t>10. 电子招标投标</w:t>
      </w:r>
      <w:bookmarkEnd w:id="354"/>
      <w:bookmarkEnd w:id="355"/>
    </w:p>
    <w:p>
      <w:pPr>
        <w:spacing w:line="500" w:lineRule="exact"/>
        <w:ind w:firstLine="420" w:firstLineChars="200"/>
      </w:pPr>
      <w:r>
        <w:rPr>
          <w:rFonts w:hint="eastAsia"/>
        </w:rPr>
        <w:t xml:space="preserve">若采用电子招标投标，对投标文件的编制、密封和标记、递交、开标、评标等具体要求，见投标人须知前附表。 </w:t>
      </w:r>
    </w:p>
    <w:p>
      <w:pPr>
        <w:pStyle w:val="6"/>
        <w:sectPr>
          <w:headerReference r:id="rId13" w:type="default"/>
          <w:footerReference r:id="rId14" w:type="default"/>
          <w:pgSz w:w="11906" w:h="16838"/>
          <w:pgMar w:top="1440" w:right="1800" w:bottom="1440" w:left="1800" w:header="851" w:footer="992" w:gutter="0"/>
          <w:pgNumType w:fmt="numberInDash"/>
          <w:cols w:space="720" w:num="1"/>
          <w:docGrid w:type="linesAndChars" w:linePitch="312" w:charSpace="0"/>
        </w:sectPr>
      </w:pPr>
      <w:bookmarkStart w:id="356" w:name="_Toc247527606"/>
      <w:bookmarkStart w:id="357" w:name="_Toc3997888"/>
      <w:bookmarkStart w:id="358" w:name="_Toc144974548"/>
      <w:bookmarkStart w:id="359" w:name="_Toc152042358"/>
      <w:bookmarkStart w:id="360" w:name="_Toc152045581"/>
      <w:bookmarkStart w:id="361" w:name="_Toc247514005"/>
    </w:p>
    <w:p>
      <w:pPr>
        <w:pStyle w:val="6"/>
        <w:spacing w:line="600" w:lineRule="exact"/>
      </w:pPr>
      <w:r>
        <w:rPr>
          <w:rFonts w:hint="eastAsia"/>
        </w:rPr>
        <w:t>附件2-1-1：开标记录表</w:t>
      </w:r>
      <w:bookmarkEnd w:id="356"/>
      <w:bookmarkEnd w:id="357"/>
      <w:bookmarkEnd w:id="358"/>
      <w:bookmarkEnd w:id="359"/>
      <w:bookmarkEnd w:id="360"/>
      <w:bookmarkEnd w:id="361"/>
    </w:p>
    <w:p>
      <w:pPr>
        <w:spacing w:line="500" w:lineRule="exact"/>
        <w:jc w:val="center"/>
        <w:rPr>
          <w:rFonts w:ascii="仿宋" w:hAnsi="仿宋" w:eastAsia="仿宋" w:cs="仿宋"/>
          <w:b/>
          <w:bCs/>
          <w:position w:val="6"/>
          <w:sz w:val="36"/>
          <w:szCs w:val="36"/>
        </w:rPr>
      </w:pPr>
      <w:r>
        <w:rPr>
          <w:rFonts w:hint="eastAsia"/>
          <w:sz w:val="24"/>
          <w:u w:val="single"/>
        </w:rPr>
        <w:t xml:space="preserve">                      </w:t>
      </w:r>
      <w:r>
        <w:rPr>
          <w:rFonts w:hint="eastAsia"/>
          <w:sz w:val="24"/>
        </w:rPr>
        <w:t xml:space="preserve"> </w:t>
      </w:r>
      <w:r>
        <w:rPr>
          <w:rFonts w:hint="eastAsia" w:ascii="仿宋" w:hAnsi="仿宋" w:eastAsia="仿宋" w:cs="仿宋"/>
          <w:b/>
          <w:bCs/>
          <w:position w:val="6"/>
          <w:sz w:val="36"/>
          <w:szCs w:val="36"/>
        </w:rPr>
        <w:t>代建单位招标</w:t>
      </w:r>
    </w:p>
    <w:p>
      <w:pPr>
        <w:spacing w:line="400" w:lineRule="exact"/>
        <w:jc w:val="center"/>
      </w:pPr>
      <w:r>
        <w:rPr>
          <w:rFonts w:hint="eastAsia" w:ascii="黑体" w:eastAsia="黑体"/>
          <w:sz w:val="28"/>
          <w:szCs w:val="28"/>
        </w:rPr>
        <w:t>开标记录表</w:t>
      </w:r>
    </w:p>
    <w:p>
      <w:pPr>
        <w:spacing w:line="400" w:lineRule="exact"/>
        <w:ind w:right="420"/>
      </w:pPr>
      <w:r>
        <w:rPr>
          <w:rFonts w:hint="eastAsia"/>
        </w:rPr>
        <w:t>开标时间：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w:t>
      </w:r>
      <w:r>
        <w:rPr>
          <w:rFonts w:hint="eastAsia"/>
          <w:u w:val="single"/>
        </w:rPr>
        <w:t xml:space="preserve">      </w:t>
      </w:r>
      <w:r>
        <w:rPr>
          <w:rFonts w:hint="eastAsia"/>
        </w:rPr>
        <w:t>分</w:t>
      </w:r>
    </w:p>
    <w:p>
      <w:pPr>
        <w:spacing w:line="400" w:lineRule="exact"/>
        <w:ind w:right="420"/>
      </w:pPr>
      <w:r>
        <w:rPr>
          <w:rFonts w:hint="eastAsia"/>
        </w:rPr>
        <w:t>（一）开标记录</w:t>
      </w:r>
    </w:p>
    <w:tbl>
      <w:tblPr>
        <w:tblStyle w:val="22"/>
        <w:tblW w:w="13287" w:type="dxa"/>
        <w:tblInd w:w="0" w:type="dxa"/>
        <w:tblLayout w:type="fixed"/>
        <w:tblCellMar>
          <w:top w:w="0" w:type="dxa"/>
          <w:left w:w="108" w:type="dxa"/>
          <w:bottom w:w="0" w:type="dxa"/>
          <w:right w:w="108" w:type="dxa"/>
        </w:tblCellMar>
      </w:tblPr>
      <w:tblGrid>
        <w:gridCol w:w="644"/>
        <w:gridCol w:w="1848"/>
        <w:gridCol w:w="1269"/>
        <w:gridCol w:w="1408"/>
        <w:gridCol w:w="1339"/>
        <w:gridCol w:w="1315"/>
        <w:gridCol w:w="1869"/>
        <w:gridCol w:w="1268"/>
        <w:gridCol w:w="1152"/>
        <w:gridCol w:w="1175"/>
      </w:tblGrid>
      <w:tr>
        <w:tblPrEx>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rPr>
            </w:pPr>
            <w:r>
              <w:rPr>
                <w:sz w:val="18"/>
                <w:szCs w:val="18"/>
              </w:rPr>
              <w:t>序号</w:t>
            </w:r>
          </w:p>
        </w:tc>
        <w:tc>
          <w:tcPr>
            <w:tcW w:w="18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rPr>
            </w:pPr>
            <w:r>
              <w:rPr>
                <w:sz w:val="18"/>
                <w:szCs w:val="18"/>
              </w:rPr>
              <w:t>投标人</w:t>
            </w:r>
          </w:p>
        </w:tc>
        <w:tc>
          <w:tcPr>
            <w:tcW w:w="12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rPr>
            </w:pPr>
            <w:r>
              <w:rPr>
                <w:rFonts w:hint="eastAsia"/>
                <w:sz w:val="18"/>
                <w:szCs w:val="18"/>
              </w:rPr>
              <w:t>项目管理</w:t>
            </w:r>
          </w:p>
          <w:p>
            <w:pPr>
              <w:spacing w:line="500" w:lineRule="exact"/>
              <w:jc w:val="center"/>
              <w:rPr>
                <w:rFonts w:eastAsia="Calibri"/>
                <w:sz w:val="18"/>
                <w:szCs w:val="18"/>
              </w:rPr>
            </w:pPr>
            <w:r>
              <w:rPr>
                <w:rFonts w:hint="eastAsia"/>
                <w:sz w:val="18"/>
                <w:szCs w:val="18"/>
              </w:rPr>
              <w:t>（下浮率%）</w:t>
            </w:r>
          </w:p>
        </w:tc>
        <w:tc>
          <w:tcPr>
            <w:tcW w:w="14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rPr>
            </w:pPr>
            <w:r>
              <w:rPr>
                <w:rFonts w:hint="eastAsia"/>
                <w:sz w:val="18"/>
                <w:szCs w:val="18"/>
              </w:rPr>
              <w:t>可研编制</w:t>
            </w:r>
          </w:p>
          <w:p>
            <w:pPr>
              <w:spacing w:line="500" w:lineRule="exact"/>
              <w:jc w:val="center"/>
              <w:rPr>
                <w:sz w:val="18"/>
                <w:szCs w:val="18"/>
              </w:rPr>
            </w:pPr>
            <w:r>
              <w:rPr>
                <w:rFonts w:hint="eastAsia"/>
                <w:sz w:val="18"/>
                <w:szCs w:val="18"/>
              </w:rPr>
              <w:t>（下浮率%）</w:t>
            </w:r>
          </w:p>
        </w:tc>
        <w:tc>
          <w:tcPr>
            <w:tcW w:w="133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rPr>
            </w:pPr>
            <w:r>
              <w:rPr>
                <w:rFonts w:hint="eastAsia"/>
                <w:sz w:val="18"/>
                <w:szCs w:val="18"/>
              </w:rPr>
              <w:t>勘察报价</w:t>
            </w:r>
          </w:p>
          <w:p>
            <w:pPr>
              <w:spacing w:line="500" w:lineRule="exact"/>
              <w:jc w:val="center"/>
              <w:rPr>
                <w:sz w:val="18"/>
                <w:szCs w:val="18"/>
              </w:rPr>
            </w:pPr>
            <w:r>
              <w:rPr>
                <w:rFonts w:hint="eastAsia"/>
                <w:sz w:val="18"/>
                <w:szCs w:val="18"/>
              </w:rPr>
              <w:t>（下浮率%）</w:t>
            </w:r>
          </w:p>
        </w:tc>
        <w:tc>
          <w:tcPr>
            <w:tcW w:w="13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rPr>
            </w:pPr>
            <w:r>
              <w:rPr>
                <w:rFonts w:hint="eastAsia"/>
                <w:sz w:val="18"/>
                <w:szCs w:val="18"/>
              </w:rPr>
              <w:t>招标代理报价（下浮率%）</w:t>
            </w:r>
          </w:p>
        </w:tc>
        <w:tc>
          <w:tcPr>
            <w:tcW w:w="1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rPr>
            </w:pPr>
            <w:r>
              <w:rPr>
                <w:rFonts w:hint="eastAsia"/>
                <w:sz w:val="18"/>
                <w:szCs w:val="18"/>
              </w:rPr>
              <w:t>造价咨询报价</w:t>
            </w:r>
          </w:p>
          <w:p>
            <w:pPr>
              <w:spacing w:line="500" w:lineRule="exact"/>
              <w:jc w:val="center"/>
              <w:rPr>
                <w:sz w:val="18"/>
                <w:szCs w:val="18"/>
              </w:rPr>
            </w:pPr>
            <w:r>
              <w:rPr>
                <w:rFonts w:hint="eastAsia"/>
                <w:sz w:val="18"/>
                <w:szCs w:val="18"/>
              </w:rPr>
              <w:t>（下浮率%）</w:t>
            </w:r>
          </w:p>
        </w:tc>
        <w:tc>
          <w:tcPr>
            <w:tcW w:w="12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rPr>
            </w:pPr>
            <w:r>
              <w:rPr>
                <w:rFonts w:hint="eastAsia"/>
                <w:sz w:val="18"/>
                <w:szCs w:val="18"/>
              </w:rPr>
              <w:t>服务周期</w:t>
            </w:r>
          </w:p>
        </w:tc>
        <w:tc>
          <w:tcPr>
            <w:tcW w:w="115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Calibri"/>
                <w:sz w:val="18"/>
                <w:szCs w:val="18"/>
              </w:rPr>
            </w:pPr>
            <w:r>
              <w:rPr>
                <w:sz w:val="18"/>
                <w:szCs w:val="18"/>
              </w:rPr>
              <w:t>签名</w:t>
            </w:r>
          </w:p>
        </w:tc>
        <w:tc>
          <w:tcPr>
            <w:tcW w:w="11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rPr>
            </w:pPr>
            <w:r>
              <w:rPr>
                <w:rFonts w:hint="eastAsia"/>
                <w:sz w:val="18"/>
                <w:szCs w:val="18"/>
              </w:rPr>
              <w:t>备注</w:t>
            </w:r>
          </w:p>
        </w:tc>
      </w:tr>
      <w:tr>
        <w:tblPrEx>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4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40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3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1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52"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7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r>
      <w:tr>
        <w:tblPrEx>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4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40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3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1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52"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7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r>
      <w:tr>
        <w:tblPrEx>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4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40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3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1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52"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7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r>
      <w:tr>
        <w:tblPrEx>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4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40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3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1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52"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7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r>
      <w:tr>
        <w:tblPrEx>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4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40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3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1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52"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7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r>
      <w:tr>
        <w:tblPrEx>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4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40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3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1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52"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7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r>
    </w:tbl>
    <w:p>
      <w:pPr>
        <w:numPr>
          <w:ilvl w:val="0"/>
          <w:numId w:val="6"/>
        </w:numPr>
        <w:spacing w:line="440" w:lineRule="exact"/>
      </w:pPr>
      <w:r>
        <w:rPr>
          <w:rFonts w:hint="eastAsia"/>
        </w:rPr>
        <w:t>开标过程中其他事项记录　　</w:t>
      </w:r>
    </w:p>
    <w:p>
      <w:pPr>
        <w:numPr>
          <w:ilvl w:val="0"/>
          <w:numId w:val="6"/>
        </w:numPr>
        <w:spacing w:line="440" w:lineRule="exact"/>
        <w:rPr>
          <w:szCs w:val="21"/>
        </w:rPr>
      </w:pPr>
      <w:r>
        <w:rPr>
          <w:rFonts w:hint="eastAsia"/>
          <w:szCs w:val="21"/>
        </w:rPr>
        <w:t>出席开标会的单位和人员（附签到表）　</w:t>
      </w:r>
    </w:p>
    <w:p>
      <w:pPr>
        <w:spacing w:line="620" w:lineRule="exact"/>
        <w:jc w:val="right"/>
        <w:rPr>
          <w:szCs w:val="21"/>
        </w:rPr>
        <w:sectPr>
          <w:pgSz w:w="16838" w:h="11906" w:orient="landscape"/>
          <w:pgMar w:top="1440" w:right="1800" w:bottom="1440" w:left="1800" w:header="851" w:footer="992" w:gutter="0"/>
          <w:pgNumType w:fmt="numberInDash"/>
          <w:cols w:space="720" w:num="1"/>
          <w:docGrid w:type="linesAndChars" w:linePitch="319" w:charSpace="0"/>
        </w:sectPr>
      </w:pPr>
      <w:r>
        <w:rPr>
          <w:szCs w:val="21"/>
        </w:rPr>
        <w:t>招标人代表：</w:t>
      </w:r>
      <w:r>
        <w:rPr>
          <w:szCs w:val="21"/>
          <w:u w:val="single"/>
        </w:rPr>
        <w:t xml:space="preserve">            </w:t>
      </w:r>
      <w:r>
        <w:rPr>
          <w:szCs w:val="21"/>
        </w:rPr>
        <w:t xml:space="preserve"> 记录人：</w:t>
      </w:r>
      <w:r>
        <w:rPr>
          <w:szCs w:val="21"/>
          <w:u w:val="single"/>
        </w:rPr>
        <w:t xml:space="preserve">            </w:t>
      </w:r>
      <w:r>
        <w:rPr>
          <w:szCs w:val="21"/>
        </w:rPr>
        <w:t xml:space="preserve"> 监标人：</w:t>
      </w:r>
      <w:r>
        <w:rPr>
          <w:szCs w:val="21"/>
          <w:u w:val="single"/>
        </w:rPr>
        <w:t xml:space="preserve">            </w:t>
      </w:r>
      <w:r>
        <w:rPr>
          <w:szCs w:val="21"/>
        </w:rPr>
        <w:t xml:space="preserve"> </w:t>
      </w:r>
      <w:r>
        <w:rPr>
          <w:rFonts w:hint="eastAsia"/>
          <w:szCs w:val="21"/>
        </w:rPr>
        <w:t xml:space="preserve">                                  </w:t>
      </w:r>
      <w:r>
        <w:rPr>
          <w:szCs w:val="21"/>
          <w:u w:val="single"/>
        </w:rPr>
        <w:t xml:space="preserve"> </w:t>
      </w:r>
      <w:r>
        <w:rPr>
          <w:rFonts w:hint="eastAsia"/>
          <w:u w:val="single"/>
        </w:rPr>
        <w:t xml:space="preserve">      </w:t>
      </w:r>
      <w:r>
        <w:rPr>
          <w:szCs w:val="21"/>
        </w:rPr>
        <w:t>年</w:t>
      </w:r>
      <w:r>
        <w:rPr>
          <w:rFonts w:hint="eastAsia"/>
          <w:u w:val="single"/>
        </w:rPr>
        <w:t xml:space="preserve">      </w:t>
      </w:r>
      <w:r>
        <w:rPr>
          <w:szCs w:val="21"/>
        </w:rPr>
        <w:t>月</w:t>
      </w:r>
      <w:r>
        <w:rPr>
          <w:rFonts w:hint="eastAsia"/>
          <w:u w:val="single"/>
        </w:rPr>
        <w:t xml:space="preserve">      </w:t>
      </w:r>
      <w:r>
        <w:rPr>
          <w:szCs w:val="21"/>
        </w:rPr>
        <w:t xml:space="preserve">日  </w:t>
      </w:r>
    </w:p>
    <w:p>
      <w:pPr>
        <w:pStyle w:val="6"/>
        <w:spacing w:line="600" w:lineRule="exact"/>
        <w:rPr>
          <w:bCs w:val="0"/>
        </w:rPr>
      </w:pPr>
      <w:r>
        <w:rPr>
          <w:rFonts w:hint="eastAsia"/>
          <w:bCs w:val="0"/>
        </w:rPr>
        <w:t>附件2-1-2：投标文件递交时间和密封及标记检查记录表</w:t>
      </w:r>
    </w:p>
    <w:p>
      <w:pPr>
        <w:spacing w:line="360" w:lineRule="auto"/>
        <w:jc w:val="center"/>
        <w:rPr>
          <w:rFonts w:ascii="仿宋" w:hAnsi="仿宋" w:eastAsia="仿宋" w:cs="仿宋"/>
          <w:b/>
          <w:bCs/>
          <w:position w:val="6"/>
          <w:sz w:val="36"/>
          <w:szCs w:val="36"/>
        </w:rPr>
      </w:pPr>
      <w:r>
        <w:rPr>
          <w:rFonts w:hint="eastAsia"/>
          <w:sz w:val="24"/>
          <w:u w:val="single"/>
        </w:rPr>
        <w:t xml:space="preserve">                      </w:t>
      </w:r>
      <w:r>
        <w:rPr>
          <w:rFonts w:hint="eastAsia"/>
          <w:sz w:val="24"/>
        </w:rPr>
        <w:t xml:space="preserve"> </w:t>
      </w:r>
      <w:r>
        <w:rPr>
          <w:rFonts w:hint="eastAsia" w:ascii="仿宋" w:hAnsi="仿宋" w:eastAsia="仿宋" w:cs="仿宋"/>
          <w:b/>
          <w:bCs/>
          <w:position w:val="6"/>
          <w:sz w:val="36"/>
          <w:szCs w:val="36"/>
        </w:rPr>
        <w:t>代建单位招标</w:t>
      </w:r>
    </w:p>
    <w:p>
      <w:pPr>
        <w:spacing w:line="360" w:lineRule="auto"/>
        <w:jc w:val="center"/>
        <w:rPr>
          <w:rFonts w:ascii="黑体" w:hAnsi="黑体" w:eastAsia="黑体" w:cs="黑体"/>
          <w:b/>
          <w:sz w:val="28"/>
          <w:szCs w:val="28"/>
        </w:rPr>
      </w:pPr>
      <w:r>
        <w:rPr>
          <w:rFonts w:hint="eastAsia" w:ascii="黑体" w:hAnsi="黑体" w:eastAsia="黑体" w:cs="黑体"/>
          <w:b/>
          <w:sz w:val="28"/>
          <w:szCs w:val="28"/>
        </w:rPr>
        <w:t>投标文件递交时间和密封及标记检查记录表</w:t>
      </w:r>
    </w:p>
    <w:p>
      <w:pPr>
        <w:rPr>
          <w:szCs w:val="21"/>
        </w:rPr>
      </w:pPr>
      <w:r>
        <w:rPr>
          <w:rFonts w:hint="eastAsia"/>
          <w:szCs w:val="21"/>
        </w:rPr>
        <w:t>招标人：</w:t>
      </w:r>
    </w:p>
    <w:tbl>
      <w:tblPr>
        <w:tblStyle w:val="22"/>
        <w:tblpPr w:leftFromText="180" w:rightFromText="180" w:vertAnchor="text" w:horzAnchor="page" w:tblpX="1697" w:tblpY="314"/>
        <w:tblOverlap w:val="never"/>
        <w:tblW w:w="8521" w:type="dxa"/>
        <w:tblInd w:w="0" w:type="dxa"/>
        <w:tblLayout w:type="autofit"/>
        <w:tblCellMar>
          <w:top w:w="0" w:type="dxa"/>
          <w:left w:w="108" w:type="dxa"/>
          <w:bottom w:w="0" w:type="dxa"/>
          <w:right w:w="108" w:type="dxa"/>
        </w:tblCellMar>
      </w:tblPr>
      <w:tblGrid>
        <w:gridCol w:w="622"/>
        <w:gridCol w:w="1855"/>
        <w:gridCol w:w="1663"/>
        <w:gridCol w:w="1619"/>
        <w:gridCol w:w="2000"/>
        <w:gridCol w:w="762"/>
      </w:tblGrid>
      <w:tr>
        <w:tblPrEx>
          <w:tblCellMar>
            <w:top w:w="0" w:type="dxa"/>
            <w:left w:w="108" w:type="dxa"/>
            <w:bottom w:w="0" w:type="dxa"/>
            <w:right w:w="108" w:type="dxa"/>
          </w:tblCellMar>
        </w:tblPrEx>
        <w:trPr>
          <w:trHeight w:val="90" w:hRule="atLeast"/>
        </w:trPr>
        <w:tc>
          <w:tcPr>
            <w:tcW w:w="6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8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16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投标文件递交时间</w:t>
            </w:r>
          </w:p>
        </w:tc>
        <w:tc>
          <w:tcPr>
            <w:tcW w:w="16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投标文件密封</w:t>
            </w:r>
          </w:p>
          <w:p>
            <w:pPr>
              <w:widowControl/>
              <w:jc w:val="center"/>
              <w:rPr>
                <w:rFonts w:ascii="宋体" w:hAnsi="宋体" w:cs="宋体"/>
                <w:kern w:val="0"/>
                <w:szCs w:val="21"/>
              </w:rPr>
            </w:pPr>
            <w:r>
              <w:rPr>
                <w:rFonts w:hint="eastAsia" w:ascii="宋体" w:hAnsi="宋体" w:cs="宋体"/>
                <w:kern w:val="0"/>
                <w:szCs w:val="21"/>
              </w:rPr>
              <w:t>情况</w:t>
            </w:r>
          </w:p>
        </w:tc>
        <w:tc>
          <w:tcPr>
            <w:tcW w:w="20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全部投标文件密封完好状况检查记录</w:t>
            </w:r>
          </w:p>
        </w:tc>
        <w:tc>
          <w:tcPr>
            <w:tcW w:w="7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签字确认</w:t>
            </w:r>
          </w:p>
        </w:tc>
      </w:tr>
      <w:tr>
        <w:tblPrEx>
          <w:tblCellMar>
            <w:top w:w="0" w:type="dxa"/>
            <w:left w:w="108" w:type="dxa"/>
            <w:bottom w:w="0" w:type="dxa"/>
            <w:right w:w="108" w:type="dxa"/>
          </w:tblCellMar>
        </w:tblPrEx>
        <w:trPr>
          <w:trHeight w:val="885" w:hRule="atLeast"/>
        </w:trPr>
        <w:tc>
          <w:tcPr>
            <w:tcW w:w="62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66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□密封完好             □未密封完好</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□标记完整              □未标记完整</w:t>
            </w:r>
          </w:p>
        </w:tc>
        <w:tc>
          <w:tcPr>
            <w:tcW w:w="762"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trPr>
        <w:tc>
          <w:tcPr>
            <w:tcW w:w="62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66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□密封完好               □未密封完好</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□标记完整              □未标记完整</w:t>
            </w:r>
          </w:p>
        </w:tc>
        <w:tc>
          <w:tcPr>
            <w:tcW w:w="762"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90" w:hRule="atLeast"/>
        </w:trPr>
        <w:tc>
          <w:tcPr>
            <w:tcW w:w="62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66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□密封完好               □未密封完好</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□标记完整              □未标记完整</w:t>
            </w:r>
          </w:p>
        </w:tc>
        <w:tc>
          <w:tcPr>
            <w:tcW w:w="762"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90" w:hRule="atLeast"/>
        </w:trPr>
        <w:tc>
          <w:tcPr>
            <w:tcW w:w="62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66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□密封完好               □未密封完好</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□标记完整              □未标记完整</w:t>
            </w:r>
          </w:p>
        </w:tc>
        <w:tc>
          <w:tcPr>
            <w:tcW w:w="762"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90" w:hRule="atLeast"/>
        </w:trPr>
        <w:tc>
          <w:tcPr>
            <w:tcW w:w="62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66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□密封完好               □未密封完好</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□标记完整              □未标记完整</w:t>
            </w:r>
          </w:p>
        </w:tc>
        <w:tc>
          <w:tcPr>
            <w:tcW w:w="762"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50" w:hRule="atLeast"/>
        </w:trPr>
        <w:tc>
          <w:tcPr>
            <w:tcW w:w="8521" w:type="dxa"/>
            <w:gridSpan w:val="6"/>
            <w:tcBorders>
              <w:top w:val="single" w:color="auto" w:sz="4" w:space="0"/>
              <w:left w:val="single" w:color="auto" w:sz="4" w:space="0"/>
              <w:bottom w:val="nil"/>
              <w:right w:val="single" w:color="000000" w:sz="4" w:space="0"/>
            </w:tcBorders>
          </w:tcPr>
          <w:p>
            <w:pPr>
              <w:widowControl/>
              <w:jc w:val="left"/>
              <w:rPr>
                <w:rFonts w:ascii="宋体" w:hAnsi="宋体" w:cs="宋体"/>
                <w:kern w:val="0"/>
                <w:szCs w:val="21"/>
              </w:rPr>
            </w:pPr>
            <w:r>
              <w:rPr>
                <w:rFonts w:hint="eastAsia" w:ascii="宋体" w:hAnsi="宋体" w:cs="宋体"/>
                <w:kern w:val="0"/>
                <w:szCs w:val="21"/>
              </w:rPr>
              <w:t>如对以上投标人递交的投标文件的密封及标记情况记录无异议，请法人授权代表签字确认。如对以上投标人递交的投标文件的密封及标记情况记录有异议，请法人授权代表提出，并说明理由：</w:t>
            </w:r>
          </w:p>
        </w:tc>
      </w:tr>
      <w:tr>
        <w:tblPrEx>
          <w:tblCellMar>
            <w:top w:w="0" w:type="dxa"/>
            <w:left w:w="108" w:type="dxa"/>
            <w:bottom w:w="0" w:type="dxa"/>
            <w:right w:w="108" w:type="dxa"/>
          </w:tblCellMar>
        </w:tblPrEx>
        <w:trPr>
          <w:trHeight w:val="780" w:hRule="atLeast"/>
        </w:trPr>
        <w:tc>
          <w:tcPr>
            <w:tcW w:w="8521" w:type="dxa"/>
            <w:gridSpan w:val="6"/>
            <w:tcBorders>
              <w:top w:val="nil"/>
              <w:left w:val="single" w:color="auto" w:sz="4" w:space="0"/>
              <w:bottom w:val="single" w:color="auto" w:sz="4" w:space="0"/>
              <w:right w:val="single" w:color="000000" w:sz="4" w:space="0"/>
            </w:tcBorders>
          </w:tcPr>
          <w:p>
            <w:pPr>
              <w:widowControl/>
              <w:jc w:val="left"/>
              <w:rPr>
                <w:rFonts w:ascii="宋体" w:hAnsi="宋体" w:cs="宋体"/>
                <w:kern w:val="0"/>
                <w:szCs w:val="21"/>
              </w:rPr>
            </w:pPr>
          </w:p>
        </w:tc>
      </w:tr>
    </w:tbl>
    <w:p>
      <w:pPr>
        <w:spacing w:line="360" w:lineRule="auto"/>
        <w:rPr>
          <w:szCs w:val="21"/>
        </w:rPr>
      </w:pPr>
    </w:p>
    <w:p>
      <w:pPr>
        <w:spacing w:line="360" w:lineRule="auto"/>
        <w:rPr>
          <w:szCs w:val="21"/>
        </w:rPr>
      </w:pPr>
      <w:r>
        <w:rPr>
          <w:rFonts w:hint="eastAsia"/>
          <w:szCs w:val="21"/>
        </w:rPr>
        <w:t xml:space="preserve">招标人代表：               </w:t>
      </w:r>
    </w:p>
    <w:p>
      <w:pPr>
        <w:spacing w:line="360" w:lineRule="auto"/>
        <w:rPr>
          <w:szCs w:val="21"/>
        </w:rPr>
      </w:pPr>
      <w:r>
        <w:rPr>
          <w:rFonts w:hint="eastAsia"/>
          <w:szCs w:val="21"/>
        </w:rPr>
        <w:t xml:space="preserve">记录人：               </w:t>
      </w:r>
    </w:p>
    <w:p>
      <w:pPr>
        <w:spacing w:line="360" w:lineRule="auto"/>
        <w:rPr>
          <w:szCs w:val="21"/>
        </w:rPr>
      </w:pPr>
      <w:r>
        <w:rPr>
          <w:rFonts w:hint="eastAsia"/>
          <w:szCs w:val="21"/>
        </w:rPr>
        <w:t>监标人：</w:t>
      </w:r>
    </w:p>
    <w:p>
      <w:pPr>
        <w:spacing w:line="360" w:lineRule="auto"/>
        <w:ind w:firstLine="6510" w:firstLineChars="3100"/>
        <w:rPr>
          <w:szCs w:val="21"/>
        </w:rPr>
      </w:pPr>
      <w:r>
        <w:rPr>
          <w:rFonts w:hint="eastAsia"/>
          <w:szCs w:val="21"/>
        </w:rPr>
        <w:t xml:space="preserve"> 年    月    日</w:t>
      </w:r>
    </w:p>
    <w:p/>
    <w:p/>
    <w:p/>
    <w:p/>
    <w:p/>
    <w:p/>
    <w:p/>
    <w:p/>
    <w:p/>
    <w:p/>
    <w:p>
      <w:pPr>
        <w:pStyle w:val="6"/>
        <w:spacing w:line="600" w:lineRule="exact"/>
        <w:rPr>
          <w:rFonts w:hint="eastAsia" w:ascii="Arial" w:hAnsi="Arial"/>
        </w:rPr>
      </w:pPr>
      <w:r>
        <w:rPr>
          <w:rFonts w:hint="eastAsia" w:ascii="Arial" w:hAnsi="Arial"/>
        </w:rPr>
        <w:t>附件2-1-3：投标人身份证明验证表</w:t>
      </w:r>
    </w:p>
    <w:p>
      <w:pPr>
        <w:pStyle w:val="7"/>
      </w:pPr>
    </w:p>
    <w:p>
      <w:pPr>
        <w:jc w:val="center"/>
        <w:rPr>
          <w:rFonts w:ascii="仿宋" w:hAnsi="仿宋" w:eastAsia="仿宋" w:cs="仿宋"/>
          <w:b/>
          <w:bCs/>
          <w:position w:val="6"/>
          <w:sz w:val="36"/>
          <w:szCs w:val="36"/>
        </w:rPr>
      </w:pPr>
      <w:r>
        <w:rPr>
          <w:rFonts w:hint="eastAsia"/>
          <w:sz w:val="24"/>
          <w:u w:val="single"/>
        </w:rPr>
        <w:t xml:space="preserve">                      </w:t>
      </w:r>
      <w:r>
        <w:rPr>
          <w:rFonts w:hint="eastAsia"/>
          <w:sz w:val="24"/>
        </w:rPr>
        <w:t xml:space="preserve"> </w:t>
      </w:r>
      <w:r>
        <w:rPr>
          <w:rFonts w:hint="eastAsia" w:ascii="仿宋" w:hAnsi="仿宋" w:eastAsia="仿宋" w:cs="仿宋"/>
          <w:b/>
          <w:bCs/>
          <w:position w:val="6"/>
          <w:sz w:val="36"/>
          <w:szCs w:val="36"/>
        </w:rPr>
        <w:t>代建单位招标</w:t>
      </w:r>
    </w:p>
    <w:p>
      <w:pPr>
        <w:jc w:val="center"/>
        <w:rPr>
          <w:rFonts w:ascii="仿宋" w:hAnsi="仿宋" w:eastAsia="仿宋" w:cs="仿宋"/>
          <w:b/>
          <w:bCs/>
          <w:position w:val="6"/>
          <w:sz w:val="36"/>
          <w:szCs w:val="36"/>
        </w:rPr>
      </w:pPr>
    </w:p>
    <w:p>
      <w:pPr>
        <w:spacing w:line="360" w:lineRule="auto"/>
        <w:jc w:val="center"/>
        <w:rPr>
          <w:rFonts w:ascii="黑体" w:hAnsi="黑体" w:eastAsia="黑体" w:cs="黑体"/>
          <w:b/>
          <w:sz w:val="28"/>
          <w:szCs w:val="28"/>
        </w:rPr>
      </w:pPr>
      <w:r>
        <w:rPr>
          <w:rFonts w:hint="eastAsia" w:ascii="黑体" w:hAnsi="黑体" w:eastAsia="黑体" w:cs="黑体"/>
          <w:b/>
          <w:sz w:val="28"/>
          <w:szCs w:val="28"/>
        </w:rPr>
        <w:t>投标人身份证明验证表</w:t>
      </w:r>
    </w:p>
    <w:tbl>
      <w:tblPr>
        <w:tblStyle w:val="22"/>
        <w:tblpPr w:leftFromText="180" w:rightFromText="180" w:vertAnchor="text" w:horzAnchor="page" w:tblpX="1718" w:tblpY="286"/>
        <w:tblOverlap w:val="never"/>
        <w:tblW w:w="8538" w:type="dxa"/>
        <w:tblInd w:w="0" w:type="dxa"/>
        <w:tblLayout w:type="fixed"/>
        <w:tblCellMar>
          <w:top w:w="0" w:type="dxa"/>
          <w:left w:w="108" w:type="dxa"/>
          <w:bottom w:w="0" w:type="dxa"/>
          <w:right w:w="108" w:type="dxa"/>
        </w:tblCellMar>
      </w:tblPr>
      <w:tblGrid>
        <w:gridCol w:w="725"/>
        <w:gridCol w:w="1664"/>
        <w:gridCol w:w="1842"/>
        <w:gridCol w:w="1718"/>
        <w:gridCol w:w="1114"/>
        <w:gridCol w:w="1475"/>
      </w:tblGrid>
      <w:tr>
        <w:tblPrEx>
          <w:tblCellMar>
            <w:top w:w="0" w:type="dxa"/>
            <w:left w:w="108" w:type="dxa"/>
            <w:bottom w:w="0" w:type="dxa"/>
            <w:right w:w="108" w:type="dxa"/>
          </w:tblCellMar>
        </w:tblPrEx>
        <w:trPr>
          <w:trHeight w:val="825" w:hRule="atLeast"/>
        </w:trPr>
        <w:tc>
          <w:tcPr>
            <w:tcW w:w="725"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664" w:type="dxa"/>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1842" w:type="dxa"/>
            <w:tcBorders>
              <w:top w:val="single" w:color="auto" w:sz="4" w:space="0"/>
              <w:left w:val="nil"/>
              <w:bottom w:val="single" w:color="auto" w:sz="4" w:space="0"/>
              <w:right w:val="nil"/>
            </w:tcBorders>
            <w:vAlign w:val="center"/>
          </w:tcPr>
          <w:p>
            <w:pPr>
              <w:widowControl/>
              <w:jc w:val="center"/>
              <w:rPr>
                <w:rFonts w:ascii="宋体" w:hAnsi="宋体" w:cs="宋体"/>
                <w:kern w:val="0"/>
                <w:szCs w:val="21"/>
              </w:rPr>
            </w:pPr>
            <w:r>
              <w:rPr>
                <w:rFonts w:hint="eastAsia" w:ascii="宋体" w:hAnsi="宋体" w:cs="宋体"/>
                <w:kern w:val="0"/>
                <w:szCs w:val="21"/>
              </w:rPr>
              <w:t>是否按要求提供法人授权委托书和本人实名有效证件</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法人授权代表身份证号码</w:t>
            </w:r>
          </w:p>
        </w:tc>
        <w:tc>
          <w:tcPr>
            <w:tcW w:w="111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是否受理</w:t>
            </w:r>
          </w:p>
          <w:p>
            <w:pPr>
              <w:widowControl/>
              <w:jc w:val="center"/>
              <w:rPr>
                <w:rFonts w:ascii="宋体" w:hAnsi="宋体" w:cs="宋体"/>
                <w:kern w:val="0"/>
                <w:szCs w:val="21"/>
              </w:rPr>
            </w:pPr>
            <w:r>
              <w:rPr>
                <w:rFonts w:hint="eastAsia" w:ascii="宋体" w:hAnsi="宋体" w:cs="宋体"/>
                <w:kern w:val="0"/>
                <w:szCs w:val="21"/>
              </w:rPr>
              <w:t>投标文件</w:t>
            </w:r>
          </w:p>
        </w:tc>
        <w:tc>
          <w:tcPr>
            <w:tcW w:w="1475" w:type="dxa"/>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法人授权代表签名</w:t>
            </w:r>
          </w:p>
        </w:tc>
      </w:tr>
      <w:tr>
        <w:tblPrEx>
          <w:tblCellMar>
            <w:top w:w="0" w:type="dxa"/>
            <w:left w:w="108" w:type="dxa"/>
            <w:bottom w:w="0" w:type="dxa"/>
            <w:right w:w="108" w:type="dxa"/>
          </w:tblCellMar>
        </w:tblPrEx>
        <w:trPr>
          <w:trHeight w:val="93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6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0"/>
                <w:szCs w:val="20"/>
              </w:rPr>
            </w:pPr>
          </w:p>
        </w:tc>
        <w:tc>
          <w:tcPr>
            <w:tcW w:w="184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1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7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930" w:hRule="atLeast"/>
        </w:trPr>
        <w:tc>
          <w:tcPr>
            <w:tcW w:w="7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6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p>
        </w:tc>
        <w:tc>
          <w:tcPr>
            <w:tcW w:w="184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1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75" w:type="dxa"/>
            <w:tcBorders>
              <w:top w:val="nil"/>
              <w:left w:val="nil"/>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930" w:hRule="atLeast"/>
        </w:trPr>
        <w:tc>
          <w:tcPr>
            <w:tcW w:w="7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6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p>
        </w:tc>
        <w:tc>
          <w:tcPr>
            <w:tcW w:w="184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1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75" w:type="dxa"/>
            <w:tcBorders>
              <w:top w:val="nil"/>
              <w:left w:val="nil"/>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930" w:hRule="atLeast"/>
        </w:trPr>
        <w:tc>
          <w:tcPr>
            <w:tcW w:w="7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6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p>
        </w:tc>
        <w:tc>
          <w:tcPr>
            <w:tcW w:w="184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1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75" w:type="dxa"/>
            <w:tcBorders>
              <w:top w:val="nil"/>
              <w:left w:val="nil"/>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930" w:hRule="atLeast"/>
        </w:trPr>
        <w:tc>
          <w:tcPr>
            <w:tcW w:w="7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6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p>
        </w:tc>
        <w:tc>
          <w:tcPr>
            <w:tcW w:w="184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1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75" w:type="dxa"/>
            <w:tcBorders>
              <w:top w:val="nil"/>
              <w:left w:val="nil"/>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　</w:t>
            </w:r>
          </w:p>
        </w:tc>
      </w:tr>
    </w:tbl>
    <w:p>
      <w:pPr>
        <w:rPr>
          <w:sz w:val="20"/>
          <w:szCs w:val="20"/>
        </w:rPr>
      </w:pPr>
    </w:p>
    <w:p>
      <w:pPr>
        <w:rPr>
          <w:sz w:val="24"/>
        </w:rPr>
      </w:pPr>
    </w:p>
    <w:p>
      <w:pPr>
        <w:spacing w:line="360" w:lineRule="auto"/>
        <w:rPr>
          <w:szCs w:val="21"/>
        </w:rPr>
      </w:pPr>
      <w:r>
        <w:rPr>
          <w:rFonts w:hint="eastAsia"/>
          <w:szCs w:val="21"/>
        </w:rPr>
        <w:t xml:space="preserve">招标人代表：               </w:t>
      </w:r>
    </w:p>
    <w:p>
      <w:pPr>
        <w:spacing w:line="360" w:lineRule="auto"/>
        <w:rPr>
          <w:szCs w:val="21"/>
        </w:rPr>
      </w:pPr>
      <w:r>
        <w:rPr>
          <w:rFonts w:hint="eastAsia"/>
          <w:szCs w:val="21"/>
        </w:rPr>
        <w:t xml:space="preserve">记录人：               </w:t>
      </w:r>
    </w:p>
    <w:p>
      <w:pPr>
        <w:spacing w:line="360" w:lineRule="auto"/>
        <w:rPr>
          <w:szCs w:val="21"/>
        </w:rPr>
      </w:pPr>
      <w:r>
        <w:rPr>
          <w:rFonts w:hint="eastAsia"/>
          <w:szCs w:val="21"/>
        </w:rPr>
        <w:t>监标人：</w:t>
      </w:r>
    </w:p>
    <w:p>
      <w:pPr>
        <w:spacing w:line="360" w:lineRule="auto"/>
        <w:rPr>
          <w:szCs w:val="21"/>
        </w:rPr>
      </w:pPr>
      <w:r>
        <w:rPr>
          <w:rFonts w:hint="eastAsia"/>
          <w:szCs w:val="21"/>
        </w:rPr>
        <w:t xml:space="preserve">      </w:t>
      </w:r>
      <w:r>
        <w:rPr>
          <w:rFonts w:hint="eastAsia"/>
          <w:szCs w:val="21"/>
          <w:lang w:val="en-US" w:eastAsia="zh-CN"/>
        </w:rPr>
        <w:t xml:space="preserve">                                                       </w:t>
      </w:r>
      <w:r>
        <w:rPr>
          <w:rFonts w:hint="eastAsia"/>
          <w:szCs w:val="21"/>
        </w:rPr>
        <w:t xml:space="preserve">  年    月    日</w:t>
      </w:r>
    </w:p>
    <w:p>
      <w:pPr>
        <w:pStyle w:val="7"/>
        <w:rPr>
          <w:rFonts w:ascii="黑体" w:hAnsi="宋体" w:eastAsia="黑体"/>
          <w:bCs/>
          <w:sz w:val="28"/>
          <w:szCs w:val="28"/>
        </w:rPr>
      </w:pPr>
    </w:p>
    <w:p>
      <w:pPr>
        <w:rPr>
          <w:rFonts w:ascii="黑体" w:hAnsi="宋体" w:eastAsia="黑体"/>
          <w:bCs/>
          <w:sz w:val="28"/>
          <w:szCs w:val="28"/>
        </w:rPr>
      </w:pPr>
    </w:p>
    <w:p>
      <w:pPr>
        <w:pStyle w:val="7"/>
        <w:rPr>
          <w:rFonts w:ascii="黑体" w:hAnsi="宋体" w:eastAsia="黑体"/>
          <w:bCs/>
          <w:sz w:val="28"/>
          <w:szCs w:val="28"/>
        </w:rPr>
      </w:pPr>
    </w:p>
    <w:p>
      <w:pPr>
        <w:pStyle w:val="6"/>
        <w:spacing w:line="500" w:lineRule="exact"/>
      </w:pPr>
      <w:bookmarkStart w:id="362" w:name="_Toc144974549"/>
      <w:bookmarkStart w:id="363" w:name="_Toc247527607"/>
      <w:bookmarkStart w:id="364" w:name="_Toc152045582"/>
      <w:bookmarkStart w:id="365" w:name="_Toc3997889"/>
      <w:bookmarkStart w:id="366" w:name="_Toc152042359"/>
      <w:bookmarkStart w:id="367" w:name="_Toc247514006"/>
      <w:r>
        <w:t>附</w:t>
      </w:r>
      <w:r>
        <w:rPr>
          <w:rFonts w:hint="eastAsia"/>
        </w:rPr>
        <w:t>件2-2</w:t>
      </w:r>
      <w:r>
        <w:t>：问题澄清通知</w:t>
      </w:r>
      <w:bookmarkEnd w:id="362"/>
      <w:bookmarkEnd w:id="363"/>
      <w:bookmarkEnd w:id="364"/>
      <w:bookmarkEnd w:id="365"/>
      <w:bookmarkEnd w:id="366"/>
      <w:bookmarkEnd w:id="367"/>
    </w:p>
    <w:p>
      <w:pPr>
        <w:spacing w:line="500" w:lineRule="exact"/>
        <w:jc w:val="center"/>
        <w:rPr>
          <w:szCs w:val="21"/>
        </w:rPr>
      </w:pPr>
    </w:p>
    <w:p>
      <w:pPr>
        <w:spacing w:line="500" w:lineRule="exact"/>
        <w:jc w:val="center"/>
        <w:rPr>
          <w:rFonts w:eastAsia="黑体"/>
          <w:sz w:val="28"/>
          <w:szCs w:val="28"/>
        </w:rPr>
      </w:pPr>
      <w:r>
        <w:rPr>
          <w:rFonts w:eastAsia="黑体"/>
          <w:sz w:val="28"/>
          <w:szCs w:val="28"/>
        </w:rPr>
        <w:t>问题澄清通知</w:t>
      </w:r>
    </w:p>
    <w:p>
      <w:pPr>
        <w:spacing w:line="500" w:lineRule="exact"/>
        <w:rPr>
          <w:szCs w:val="21"/>
        </w:rPr>
      </w:pPr>
      <w:r>
        <w:rPr>
          <w:szCs w:val="21"/>
        </w:rPr>
        <w:t xml:space="preserve">                               编号：</w:t>
      </w:r>
    </w:p>
    <w:p>
      <w:pPr>
        <w:spacing w:line="500" w:lineRule="exact"/>
        <w:rPr>
          <w:szCs w:val="21"/>
        </w:rPr>
      </w:pPr>
    </w:p>
    <w:p>
      <w:pPr>
        <w:spacing w:line="500" w:lineRule="exact"/>
        <w:rPr>
          <w:szCs w:val="21"/>
        </w:rPr>
      </w:pPr>
      <w:r>
        <w:rPr>
          <w:szCs w:val="21"/>
        </w:rPr>
        <w:t xml:space="preserve">  </w:t>
      </w:r>
      <w:r>
        <w:rPr>
          <w:szCs w:val="21"/>
          <w:u w:val="single"/>
        </w:rPr>
        <w:t xml:space="preserve">            </w:t>
      </w:r>
      <w:r>
        <w:rPr>
          <w:i/>
          <w:szCs w:val="21"/>
        </w:rPr>
        <w:t>（投标人名称）</w:t>
      </w:r>
      <w:r>
        <w:rPr>
          <w:szCs w:val="21"/>
        </w:rPr>
        <w:t>：</w:t>
      </w:r>
    </w:p>
    <w:p>
      <w:pPr>
        <w:spacing w:line="500" w:lineRule="exact"/>
        <w:rPr>
          <w:szCs w:val="21"/>
        </w:rPr>
      </w:pPr>
    </w:p>
    <w:p>
      <w:pPr>
        <w:spacing w:line="500" w:lineRule="exact"/>
        <w:rPr>
          <w:szCs w:val="21"/>
        </w:rPr>
      </w:pPr>
      <w:r>
        <w:rPr>
          <w:szCs w:val="21"/>
        </w:rPr>
        <w:t xml:space="preserve">　　  </w:t>
      </w:r>
      <w:r>
        <w:rPr>
          <w:szCs w:val="21"/>
          <w:u w:val="single"/>
        </w:rPr>
        <w:t xml:space="preserve">　             </w:t>
      </w:r>
      <w:r>
        <w:rPr>
          <w:i/>
          <w:szCs w:val="21"/>
        </w:rPr>
        <w:t>（项目名称）</w:t>
      </w:r>
      <w:r>
        <w:rPr>
          <w:szCs w:val="21"/>
        </w:rPr>
        <w:t>的评标委员会，对你方的投标文件进行了仔细的审查，现需你方对下列问题以书面形式予以澄清：</w:t>
      </w:r>
    </w:p>
    <w:p>
      <w:pPr>
        <w:spacing w:line="500" w:lineRule="exact"/>
        <w:rPr>
          <w:szCs w:val="21"/>
        </w:rPr>
      </w:pPr>
      <w:r>
        <w:rPr>
          <w:szCs w:val="21"/>
        </w:rPr>
        <w:t>　　</w:t>
      </w:r>
    </w:p>
    <w:p>
      <w:pPr>
        <w:spacing w:line="500" w:lineRule="exact"/>
        <w:rPr>
          <w:szCs w:val="21"/>
        </w:rPr>
      </w:pPr>
      <w:r>
        <w:rPr>
          <w:szCs w:val="21"/>
        </w:rPr>
        <w:t xml:space="preserve">    1.</w:t>
      </w:r>
    </w:p>
    <w:p>
      <w:pPr>
        <w:spacing w:line="500" w:lineRule="exact"/>
        <w:rPr>
          <w:szCs w:val="21"/>
        </w:rPr>
      </w:pPr>
      <w:r>
        <w:rPr>
          <w:szCs w:val="21"/>
        </w:rPr>
        <w:t xml:space="preserve">    2.</w:t>
      </w:r>
    </w:p>
    <w:p>
      <w:pPr>
        <w:spacing w:line="500" w:lineRule="exact"/>
        <w:rPr>
          <w:szCs w:val="21"/>
        </w:rPr>
      </w:pPr>
      <w:r>
        <w:rPr>
          <w:szCs w:val="21"/>
        </w:rPr>
        <w:t xml:space="preserve">     </w:t>
      </w:r>
      <w:r>
        <w:rPr>
          <w:rFonts w:hint="eastAsia"/>
          <w:szCs w:val="21"/>
        </w:rPr>
        <w:t>……</w:t>
      </w:r>
      <w:r>
        <w:rPr>
          <w:szCs w:val="21"/>
        </w:rPr>
        <w:t xml:space="preserve">   </w:t>
      </w:r>
    </w:p>
    <w:p>
      <w:pPr>
        <w:spacing w:line="500" w:lineRule="exact"/>
        <w:rPr>
          <w:szCs w:val="21"/>
        </w:rPr>
      </w:pPr>
      <w:r>
        <w:rPr>
          <w:szCs w:val="21"/>
        </w:rPr>
        <w:t>　　　</w:t>
      </w:r>
    </w:p>
    <w:p>
      <w:pPr>
        <w:spacing w:line="500" w:lineRule="exact"/>
        <w:rPr>
          <w:szCs w:val="21"/>
        </w:rPr>
      </w:pPr>
      <w:r>
        <w:rPr>
          <w:szCs w:val="21"/>
        </w:rPr>
        <w:t>　　请将上述问题的澄清于</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rPr>
        <w:t>月</w:t>
      </w:r>
      <w:r>
        <w:rPr>
          <w:szCs w:val="21"/>
          <w:u w:val="single"/>
        </w:rPr>
        <w:t xml:space="preserve">   </w:t>
      </w:r>
      <w:r>
        <w:rPr>
          <w:rFonts w:hint="eastAsia"/>
          <w:szCs w:val="21"/>
          <w:u w:val="single"/>
        </w:rPr>
        <w:t xml:space="preserve">  </w:t>
      </w:r>
      <w:r>
        <w:rPr>
          <w:szCs w:val="21"/>
        </w:rPr>
        <w:t>日</w:t>
      </w:r>
      <w:r>
        <w:rPr>
          <w:szCs w:val="21"/>
          <w:u w:val="single"/>
        </w:rPr>
        <w:t xml:space="preserve">     </w:t>
      </w:r>
      <w:r>
        <w:rPr>
          <w:szCs w:val="21"/>
        </w:rPr>
        <w:t>时前递交至</w:t>
      </w:r>
      <w:r>
        <w:rPr>
          <w:szCs w:val="21"/>
          <w:u w:val="single"/>
        </w:rPr>
        <w:t xml:space="preserve">     </w:t>
      </w:r>
      <w:r>
        <w:rPr>
          <w:rFonts w:hint="eastAsia"/>
          <w:szCs w:val="21"/>
          <w:u w:val="single"/>
        </w:rPr>
        <w:t xml:space="preserve">                    </w:t>
      </w:r>
      <w:r>
        <w:rPr>
          <w:i/>
          <w:szCs w:val="21"/>
        </w:rPr>
        <w:t>（详细地址）</w:t>
      </w:r>
      <w:r>
        <w:rPr>
          <w:rFonts w:hint="eastAsia"/>
          <w:szCs w:val="21"/>
        </w:rPr>
        <w:t>或</w:t>
      </w:r>
      <w:r>
        <w:rPr>
          <w:rFonts w:hint="eastAsia" w:ascii="宋体" w:hAnsi="宋体"/>
          <w:szCs w:val="21"/>
        </w:rPr>
        <w:t>传真至</w:t>
      </w:r>
      <w:r>
        <w:rPr>
          <w:rFonts w:hint="eastAsia" w:ascii="宋体" w:hAnsi="宋体"/>
          <w:szCs w:val="21"/>
          <w:u w:val="single"/>
        </w:rPr>
        <w:t xml:space="preserve">         </w:t>
      </w:r>
      <w:r>
        <w:rPr>
          <w:rFonts w:hint="eastAsia" w:ascii="宋体" w:hAnsi="宋体"/>
          <w:i/>
          <w:szCs w:val="21"/>
        </w:rPr>
        <w:t>（传真号码）</w:t>
      </w:r>
      <w:r>
        <w:rPr>
          <w:rFonts w:hint="eastAsia" w:ascii="宋体" w:hAnsi="宋体"/>
          <w:szCs w:val="21"/>
        </w:rPr>
        <w:t>。采用传真方式的，应在</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日</w:t>
      </w:r>
      <w:r>
        <w:rPr>
          <w:rFonts w:ascii="宋体" w:hAnsi="宋体"/>
          <w:szCs w:val="21"/>
          <w:u w:val="single"/>
        </w:rPr>
        <w:t xml:space="preserve">     </w:t>
      </w:r>
      <w:r>
        <w:rPr>
          <w:rFonts w:hint="eastAsia" w:ascii="宋体" w:hAnsi="宋体"/>
          <w:szCs w:val="21"/>
        </w:rPr>
        <w:t>时前将原件递交至</w:t>
      </w:r>
      <w:r>
        <w:rPr>
          <w:szCs w:val="21"/>
          <w:u w:val="single"/>
        </w:rPr>
        <w:t xml:space="preserve">     </w:t>
      </w:r>
      <w:r>
        <w:rPr>
          <w:rFonts w:hint="eastAsia"/>
          <w:szCs w:val="21"/>
          <w:u w:val="single"/>
        </w:rPr>
        <w:t xml:space="preserve">                    </w:t>
      </w:r>
      <w:r>
        <w:rPr>
          <w:i/>
          <w:szCs w:val="21"/>
        </w:rPr>
        <w:t>（详细地址）</w:t>
      </w:r>
      <w:r>
        <w:rPr>
          <w:szCs w:val="21"/>
        </w:rPr>
        <w:t>。</w:t>
      </w:r>
    </w:p>
    <w:p>
      <w:pPr>
        <w:spacing w:line="500" w:lineRule="exact"/>
        <w:rPr>
          <w:szCs w:val="21"/>
        </w:rPr>
      </w:pPr>
    </w:p>
    <w:p>
      <w:pPr>
        <w:spacing w:line="500" w:lineRule="exact"/>
        <w:rPr>
          <w:szCs w:val="21"/>
        </w:rPr>
      </w:pPr>
    </w:p>
    <w:p>
      <w:pPr>
        <w:spacing w:line="500" w:lineRule="exact"/>
        <w:rPr>
          <w:szCs w:val="21"/>
        </w:rPr>
      </w:pPr>
      <w:r>
        <w:rPr>
          <w:szCs w:val="21"/>
        </w:rPr>
        <w:t xml:space="preserve">                 评标</w:t>
      </w:r>
      <w:r>
        <w:rPr>
          <w:rFonts w:hint="eastAsia"/>
          <w:szCs w:val="21"/>
        </w:rPr>
        <w:t>委员会授权的招标人或招标代理机构</w:t>
      </w:r>
      <w:r>
        <w:rPr>
          <w:szCs w:val="21"/>
        </w:rPr>
        <w:t>：</w:t>
      </w:r>
      <w:r>
        <w:rPr>
          <w:szCs w:val="21"/>
          <w:u w:val="single"/>
        </w:rPr>
        <w:t xml:space="preserve">           </w:t>
      </w:r>
      <w:r>
        <w:rPr>
          <w:szCs w:val="21"/>
        </w:rPr>
        <w:t>（签字</w:t>
      </w:r>
      <w:r>
        <w:rPr>
          <w:rFonts w:hint="eastAsia"/>
          <w:szCs w:val="21"/>
        </w:rPr>
        <w:t>或盖章</w:t>
      </w:r>
      <w:r>
        <w:rPr>
          <w:szCs w:val="21"/>
        </w:rPr>
        <w:t>）</w:t>
      </w:r>
    </w:p>
    <w:p>
      <w:pPr>
        <w:spacing w:line="500" w:lineRule="exact"/>
        <w:rPr>
          <w:szCs w:val="21"/>
        </w:rPr>
      </w:pPr>
      <w:r>
        <w:rPr>
          <w:rFonts w:hint="eastAsia"/>
          <w:szCs w:val="21"/>
        </w:rPr>
        <w:t xml:space="preserve">                                          </w:t>
      </w:r>
    </w:p>
    <w:p>
      <w:pPr>
        <w:spacing w:line="500" w:lineRule="exact"/>
        <w:rPr>
          <w:szCs w:val="21"/>
        </w:rPr>
      </w:pPr>
      <w:r>
        <w:rPr>
          <w:szCs w:val="21"/>
        </w:rPr>
        <w:t xml:space="preserve">                                  </w:t>
      </w:r>
      <w:r>
        <w:rPr>
          <w:rFonts w:hint="eastAsia"/>
          <w:szCs w:val="21"/>
        </w:rPr>
        <w:t xml:space="preserve">                 </w:t>
      </w:r>
      <w:r>
        <w:rPr>
          <w:rFonts w:ascii="宋体" w:hAnsi="宋体"/>
          <w:szCs w:val="21"/>
          <w:u w:val="single"/>
        </w:rPr>
        <w:t xml:space="preserve">     </w:t>
      </w:r>
      <w:r>
        <w:rPr>
          <w:szCs w:val="21"/>
        </w:rPr>
        <w:t>年</w:t>
      </w:r>
      <w:r>
        <w:rPr>
          <w:rFonts w:ascii="宋体" w:hAnsi="宋体"/>
          <w:szCs w:val="21"/>
          <w:u w:val="single"/>
        </w:rPr>
        <w:t xml:space="preserve">     </w:t>
      </w:r>
      <w:r>
        <w:rPr>
          <w:szCs w:val="21"/>
        </w:rPr>
        <w:t>月</w:t>
      </w:r>
      <w:r>
        <w:rPr>
          <w:rFonts w:ascii="宋体" w:hAnsi="宋体"/>
          <w:szCs w:val="21"/>
          <w:u w:val="single"/>
        </w:rPr>
        <w:t xml:space="preserve">     </w:t>
      </w:r>
      <w:r>
        <w:rPr>
          <w:szCs w:val="21"/>
        </w:rPr>
        <w:t>日</w:t>
      </w:r>
    </w:p>
    <w:p>
      <w:pPr>
        <w:spacing w:line="500" w:lineRule="exact"/>
      </w:pPr>
    </w:p>
    <w:p>
      <w:pPr>
        <w:pStyle w:val="6"/>
        <w:spacing w:line="500" w:lineRule="exact"/>
      </w:pPr>
      <w:r>
        <w:br w:type="page"/>
      </w:r>
      <w:bookmarkStart w:id="368" w:name="_Toc152042360"/>
      <w:bookmarkStart w:id="369" w:name="_Toc144974550"/>
      <w:bookmarkStart w:id="370" w:name="_Toc3997890"/>
      <w:bookmarkStart w:id="371" w:name="_Toc152045583"/>
      <w:bookmarkStart w:id="372" w:name="_Toc247514007"/>
      <w:bookmarkStart w:id="373" w:name="_Toc247527608"/>
      <w:r>
        <w:rPr>
          <w:rFonts w:hint="eastAsia"/>
        </w:rPr>
        <w:t>附件2-3：问题的澄清</w:t>
      </w:r>
      <w:bookmarkEnd w:id="368"/>
      <w:bookmarkEnd w:id="369"/>
      <w:bookmarkEnd w:id="370"/>
      <w:bookmarkEnd w:id="371"/>
      <w:bookmarkEnd w:id="372"/>
      <w:bookmarkEnd w:id="373"/>
    </w:p>
    <w:p>
      <w:pPr>
        <w:spacing w:line="500" w:lineRule="exact"/>
        <w:jc w:val="center"/>
        <w:rPr>
          <w:rFonts w:ascii="黑体" w:eastAsia="黑体"/>
          <w:sz w:val="28"/>
          <w:szCs w:val="28"/>
        </w:rPr>
      </w:pPr>
    </w:p>
    <w:p>
      <w:pPr>
        <w:spacing w:line="500" w:lineRule="exact"/>
        <w:jc w:val="center"/>
        <w:rPr>
          <w:rFonts w:ascii="黑体" w:eastAsia="黑体"/>
          <w:sz w:val="28"/>
          <w:szCs w:val="28"/>
        </w:rPr>
      </w:pPr>
      <w:r>
        <w:rPr>
          <w:rFonts w:hint="eastAsia" w:ascii="黑体" w:eastAsia="黑体"/>
          <w:sz w:val="28"/>
          <w:szCs w:val="28"/>
        </w:rPr>
        <w:t>问题的澄清</w:t>
      </w:r>
    </w:p>
    <w:p>
      <w:pPr>
        <w:spacing w:line="500" w:lineRule="exact"/>
        <w:ind w:firstLine="3465" w:firstLineChars="1650"/>
      </w:pPr>
      <w:r>
        <w:rPr>
          <w:rFonts w:hint="eastAsia"/>
        </w:rPr>
        <w:t xml:space="preserve">编号： </w:t>
      </w:r>
    </w:p>
    <w:p>
      <w:pPr>
        <w:spacing w:line="500" w:lineRule="exact"/>
        <w:rPr>
          <w:szCs w:val="21"/>
        </w:rPr>
      </w:pPr>
    </w:p>
    <w:p>
      <w:pPr>
        <w:spacing w:line="500" w:lineRule="exact"/>
        <w:rPr>
          <w:szCs w:val="21"/>
        </w:rPr>
      </w:pPr>
      <w:r>
        <w:rPr>
          <w:szCs w:val="21"/>
          <w:u w:val="single"/>
        </w:rPr>
        <w:t xml:space="preserve">                  </w:t>
      </w:r>
      <w:r>
        <w:rPr>
          <w:i/>
          <w:szCs w:val="21"/>
        </w:rPr>
        <w:t>（项目名称）</w:t>
      </w:r>
      <w:r>
        <w:rPr>
          <w:szCs w:val="21"/>
        </w:rPr>
        <w:t>招标评标委员会：</w:t>
      </w:r>
    </w:p>
    <w:p>
      <w:pPr>
        <w:spacing w:line="500" w:lineRule="exact"/>
        <w:rPr>
          <w:szCs w:val="21"/>
        </w:rPr>
      </w:pPr>
    </w:p>
    <w:p>
      <w:pPr>
        <w:spacing w:line="500" w:lineRule="exact"/>
        <w:rPr>
          <w:szCs w:val="21"/>
        </w:rPr>
      </w:pPr>
      <w:r>
        <w:rPr>
          <w:szCs w:val="21"/>
        </w:rPr>
        <w:t>　　问题澄清通知（编号：</w:t>
      </w:r>
      <w:r>
        <w:rPr>
          <w:szCs w:val="21"/>
          <w:u w:val="single"/>
        </w:rPr>
        <w:t xml:space="preserve">        </w:t>
      </w:r>
      <w:r>
        <w:rPr>
          <w:szCs w:val="21"/>
        </w:rPr>
        <w:t>）已收悉，现澄清如下：</w:t>
      </w:r>
    </w:p>
    <w:p>
      <w:pPr>
        <w:spacing w:line="500" w:lineRule="exact"/>
        <w:rPr>
          <w:szCs w:val="21"/>
        </w:rPr>
      </w:pPr>
      <w:r>
        <w:rPr>
          <w:szCs w:val="21"/>
        </w:rPr>
        <w:t>　     1.</w:t>
      </w:r>
    </w:p>
    <w:p>
      <w:pPr>
        <w:spacing w:line="500" w:lineRule="exact"/>
        <w:rPr>
          <w:szCs w:val="21"/>
        </w:rPr>
      </w:pPr>
      <w:r>
        <w:rPr>
          <w:szCs w:val="21"/>
        </w:rPr>
        <w:t>　     2.</w:t>
      </w:r>
    </w:p>
    <w:p>
      <w:pPr>
        <w:spacing w:line="500" w:lineRule="exact"/>
        <w:rPr>
          <w:szCs w:val="21"/>
        </w:rPr>
      </w:pPr>
      <w:r>
        <w:rPr>
          <w:szCs w:val="21"/>
        </w:rPr>
        <w:t xml:space="preserve">　    </w:t>
      </w:r>
    </w:p>
    <w:p>
      <w:pPr>
        <w:spacing w:line="500" w:lineRule="exact"/>
        <w:rPr>
          <w:szCs w:val="21"/>
        </w:rPr>
      </w:pPr>
      <w:r>
        <w:rPr>
          <w:szCs w:val="21"/>
        </w:rPr>
        <w:t xml:space="preserve">                       </w:t>
      </w:r>
    </w:p>
    <w:p>
      <w:pPr>
        <w:spacing w:line="500" w:lineRule="exact"/>
        <w:rPr>
          <w:szCs w:val="21"/>
        </w:rPr>
      </w:pPr>
      <w:r>
        <w:rPr>
          <w:szCs w:val="21"/>
        </w:rPr>
        <w:t xml:space="preserve">　 </w:t>
      </w:r>
    </w:p>
    <w:p>
      <w:pPr>
        <w:spacing w:line="500" w:lineRule="exact"/>
        <w:rPr>
          <w:szCs w:val="21"/>
        </w:rPr>
      </w:pPr>
    </w:p>
    <w:p>
      <w:pPr>
        <w:spacing w:line="500" w:lineRule="exact"/>
        <w:rPr>
          <w:szCs w:val="21"/>
        </w:rPr>
      </w:pPr>
    </w:p>
    <w:p>
      <w:pPr>
        <w:spacing w:line="500" w:lineRule="exact"/>
        <w:rPr>
          <w:szCs w:val="21"/>
        </w:rPr>
      </w:pPr>
    </w:p>
    <w:p>
      <w:pPr>
        <w:spacing w:line="500" w:lineRule="exact"/>
        <w:rPr>
          <w:szCs w:val="21"/>
        </w:rPr>
      </w:pPr>
    </w:p>
    <w:p>
      <w:pPr>
        <w:spacing w:line="500" w:lineRule="exact"/>
        <w:rPr>
          <w:szCs w:val="21"/>
        </w:rPr>
      </w:pPr>
      <w:r>
        <w:rPr>
          <w:szCs w:val="21"/>
        </w:rPr>
        <w:t>　　　　　　　　　　　　　　　投标人：</w:t>
      </w:r>
      <w:r>
        <w:rPr>
          <w:szCs w:val="21"/>
          <w:u w:val="single"/>
        </w:rPr>
        <w:t xml:space="preserve">                          </w:t>
      </w:r>
      <w:r>
        <w:rPr>
          <w:rFonts w:hint="eastAsia"/>
          <w:szCs w:val="21"/>
          <w:u w:val="single"/>
        </w:rPr>
        <w:t xml:space="preserve">  </w:t>
      </w:r>
      <w:r>
        <w:rPr>
          <w:szCs w:val="21"/>
        </w:rPr>
        <w:t>（盖单位章）</w:t>
      </w:r>
    </w:p>
    <w:p>
      <w:pPr>
        <w:spacing w:line="500" w:lineRule="exact"/>
        <w:rPr>
          <w:szCs w:val="21"/>
        </w:rPr>
      </w:pPr>
      <w:r>
        <w:rPr>
          <w:szCs w:val="21"/>
        </w:rPr>
        <w:t>　　　　　　　　　　　　　　　</w:t>
      </w:r>
    </w:p>
    <w:p>
      <w:pPr>
        <w:spacing w:line="500" w:lineRule="exact"/>
        <w:rPr>
          <w:szCs w:val="21"/>
        </w:rPr>
      </w:pPr>
      <w:r>
        <w:rPr>
          <w:szCs w:val="21"/>
        </w:rPr>
        <w:t>　　　　　　　　　　　　　　　法定代表人或其委托代理人：</w:t>
      </w:r>
      <w:r>
        <w:rPr>
          <w:szCs w:val="21"/>
          <w:u w:val="single"/>
        </w:rPr>
        <w:t xml:space="preserve">          </w:t>
      </w:r>
      <w:r>
        <w:rPr>
          <w:szCs w:val="21"/>
        </w:rPr>
        <w:t>（签字</w:t>
      </w:r>
      <w:r>
        <w:rPr>
          <w:rFonts w:hint="eastAsia"/>
          <w:szCs w:val="21"/>
        </w:rPr>
        <w:t>或</w:t>
      </w:r>
      <w:r>
        <w:rPr>
          <w:szCs w:val="21"/>
        </w:rPr>
        <w:t>盖章）</w:t>
      </w:r>
    </w:p>
    <w:p>
      <w:pPr>
        <w:spacing w:line="500" w:lineRule="exact"/>
        <w:rPr>
          <w:szCs w:val="21"/>
        </w:rPr>
      </w:pPr>
      <w:r>
        <w:rPr>
          <w:szCs w:val="21"/>
        </w:rPr>
        <w:t>　　　　　　　　　　　　　　　</w:t>
      </w:r>
    </w:p>
    <w:p>
      <w:pPr>
        <w:spacing w:line="500" w:lineRule="exact"/>
        <w:rPr>
          <w:szCs w:val="21"/>
        </w:rPr>
      </w:pPr>
      <w:r>
        <w:rPr>
          <w:szCs w:val="21"/>
        </w:rPr>
        <w:t xml:space="preserve">　　　　　　　　　　　　　　　     </w:t>
      </w:r>
      <w:r>
        <w:rPr>
          <w:rFonts w:hint="eastAsia"/>
          <w:szCs w:val="21"/>
          <w:lang w:val="en-US" w:eastAsia="zh-CN"/>
        </w:rPr>
        <w:t xml:space="preserve">                 </w:t>
      </w:r>
      <w:r>
        <w:rPr>
          <w:szCs w:val="21"/>
        </w:rPr>
        <w:t xml:space="preserve">  </w:t>
      </w:r>
      <w:r>
        <w:rPr>
          <w:rFonts w:ascii="宋体" w:hAnsi="宋体"/>
          <w:szCs w:val="21"/>
          <w:u w:val="single"/>
        </w:rPr>
        <w:t xml:space="preserve">     </w:t>
      </w:r>
      <w:r>
        <w:rPr>
          <w:szCs w:val="21"/>
        </w:rPr>
        <w:t>年</w:t>
      </w:r>
      <w:r>
        <w:rPr>
          <w:rFonts w:ascii="宋体" w:hAnsi="宋体"/>
          <w:szCs w:val="21"/>
          <w:u w:val="single"/>
        </w:rPr>
        <w:t xml:space="preserve">     </w:t>
      </w:r>
      <w:r>
        <w:rPr>
          <w:szCs w:val="21"/>
        </w:rPr>
        <w:t>月</w:t>
      </w:r>
      <w:r>
        <w:rPr>
          <w:rFonts w:ascii="宋体" w:hAnsi="宋体"/>
          <w:szCs w:val="21"/>
          <w:u w:val="single"/>
        </w:rPr>
        <w:t xml:space="preserve">     </w:t>
      </w:r>
      <w:r>
        <w:rPr>
          <w:szCs w:val="21"/>
        </w:rPr>
        <w:t>日</w:t>
      </w:r>
    </w:p>
    <w:p>
      <w:pPr>
        <w:spacing w:line="500" w:lineRule="exact"/>
      </w:pPr>
    </w:p>
    <w:p>
      <w:pPr>
        <w:spacing w:line="500" w:lineRule="exact"/>
      </w:pPr>
    </w:p>
    <w:p>
      <w:pPr>
        <w:pStyle w:val="7"/>
        <w:spacing w:line="500" w:lineRule="exact"/>
      </w:pPr>
    </w:p>
    <w:p>
      <w:pPr>
        <w:spacing w:line="500" w:lineRule="exact"/>
      </w:pPr>
    </w:p>
    <w:p>
      <w:pPr>
        <w:pStyle w:val="6"/>
        <w:spacing w:line="500" w:lineRule="exact"/>
      </w:pPr>
      <w:bookmarkStart w:id="374" w:name="_Toc247527609"/>
      <w:bookmarkStart w:id="375" w:name="_Toc3997891"/>
      <w:bookmarkStart w:id="376" w:name="_Toc152045584"/>
      <w:bookmarkStart w:id="377" w:name="_Toc144974551"/>
      <w:bookmarkStart w:id="378" w:name="_Toc247514008"/>
      <w:bookmarkStart w:id="379" w:name="_Toc152042361"/>
      <w:r>
        <w:rPr>
          <w:rFonts w:hint="eastAsia"/>
        </w:rPr>
        <w:t>附件2-4：中标通知书</w:t>
      </w:r>
      <w:bookmarkEnd w:id="374"/>
      <w:bookmarkEnd w:id="375"/>
      <w:bookmarkEnd w:id="376"/>
      <w:bookmarkEnd w:id="377"/>
      <w:bookmarkEnd w:id="378"/>
      <w:bookmarkEnd w:id="379"/>
    </w:p>
    <w:p>
      <w:pPr>
        <w:spacing w:line="500" w:lineRule="exact"/>
        <w:jc w:val="center"/>
        <w:rPr>
          <w:rFonts w:ascii="黑体" w:eastAsia="黑体"/>
          <w:sz w:val="28"/>
          <w:szCs w:val="28"/>
        </w:rPr>
      </w:pPr>
      <w:r>
        <w:rPr>
          <w:rFonts w:hint="eastAsia" w:ascii="黑体" w:eastAsia="黑体"/>
          <w:sz w:val="28"/>
          <w:szCs w:val="28"/>
        </w:rPr>
        <w:t>中标通知书</w:t>
      </w:r>
    </w:p>
    <w:p>
      <w:pPr>
        <w:spacing w:line="500" w:lineRule="exact"/>
      </w:pPr>
      <w:r>
        <w:t xml:space="preserve">                              </w:t>
      </w:r>
    </w:p>
    <w:p>
      <w:pPr>
        <w:spacing w:line="500" w:lineRule="exact"/>
        <w:rPr>
          <w:szCs w:val="21"/>
        </w:rPr>
      </w:pPr>
      <w:r>
        <w:rPr>
          <w:szCs w:val="21"/>
          <w:u w:val="single"/>
        </w:rPr>
        <w:t xml:space="preserve">                   </w:t>
      </w:r>
      <w:r>
        <w:rPr>
          <w:i/>
          <w:szCs w:val="21"/>
        </w:rPr>
        <w:t>（中标人名称）</w:t>
      </w:r>
      <w:r>
        <w:rPr>
          <w:szCs w:val="21"/>
        </w:rPr>
        <w:t>：</w:t>
      </w:r>
    </w:p>
    <w:p>
      <w:pPr>
        <w:spacing w:line="500" w:lineRule="exact"/>
        <w:rPr>
          <w:szCs w:val="21"/>
        </w:rPr>
      </w:pPr>
    </w:p>
    <w:p>
      <w:pPr>
        <w:spacing w:line="500" w:lineRule="exact"/>
        <w:rPr>
          <w:szCs w:val="21"/>
        </w:rPr>
      </w:pPr>
      <w:r>
        <w:rPr>
          <w:szCs w:val="21"/>
        </w:rPr>
        <w:t>　　你方于</w:t>
      </w:r>
      <w:r>
        <w:rPr>
          <w:szCs w:val="21"/>
          <w:u w:val="single"/>
        </w:rPr>
        <w:t xml:space="preserve">         </w:t>
      </w:r>
      <w:r>
        <w:rPr>
          <w:i/>
          <w:szCs w:val="21"/>
        </w:rPr>
        <w:t>（投标日期）</w:t>
      </w:r>
      <w:r>
        <w:rPr>
          <w:szCs w:val="21"/>
        </w:rPr>
        <w:t>所递交的</w:t>
      </w:r>
      <w:r>
        <w:rPr>
          <w:szCs w:val="21"/>
          <w:u w:val="single"/>
        </w:rPr>
        <w:t xml:space="preserve">              </w:t>
      </w:r>
      <w:r>
        <w:rPr>
          <w:i/>
          <w:szCs w:val="21"/>
        </w:rPr>
        <w:t>（项目名称）</w:t>
      </w:r>
      <w:r>
        <w:rPr>
          <w:rFonts w:hint="eastAsia"/>
          <w:szCs w:val="21"/>
        </w:rPr>
        <w:t>招标的</w:t>
      </w:r>
      <w:r>
        <w:rPr>
          <w:szCs w:val="21"/>
        </w:rPr>
        <w:t>投标文件已被我方接受，被确定为中标人。</w:t>
      </w:r>
    </w:p>
    <w:p>
      <w:pPr>
        <w:spacing w:line="500" w:lineRule="exact"/>
        <w:ind w:firstLine="420"/>
        <w:rPr>
          <w:szCs w:val="21"/>
        </w:rPr>
      </w:pPr>
      <w:r>
        <w:rPr>
          <w:rFonts w:hint="eastAsia"/>
          <w:szCs w:val="21"/>
        </w:rPr>
        <w:t>1、</w:t>
      </w:r>
      <w:r>
        <w:rPr>
          <w:szCs w:val="21"/>
        </w:rPr>
        <w:t>中标价</w:t>
      </w:r>
    </w:p>
    <w:p>
      <w:pPr>
        <w:spacing w:line="500" w:lineRule="exact"/>
        <w:ind w:firstLine="420" w:firstLineChars="200"/>
        <w:rPr>
          <w:rFonts w:hint="eastAsia" w:eastAsia="宋体"/>
          <w:szCs w:val="21"/>
          <w:lang w:val="en-US" w:eastAsia="zh-CN"/>
        </w:rPr>
      </w:pPr>
      <w:r>
        <w:rPr>
          <w:rFonts w:hint="eastAsia" w:ascii="宋体" w:hAnsi="宋体" w:eastAsia="宋体" w:cs="宋体"/>
          <w:szCs w:val="21"/>
        </w:rPr>
        <w:t>项目管理（下浮率）：</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rPr>
        <w:t>可研编制（下浮率）：</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rPr>
        <w:t>勘察（下浮率）：</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rPr>
        <w:t>招标代理（下浮率）：</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rPr>
        <w:t>造价咨询（下浮率）：</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eastAsia="zh-CN"/>
        </w:rPr>
        <w:t>。</w:t>
      </w:r>
    </w:p>
    <w:p>
      <w:pPr>
        <w:spacing w:line="500" w:lineRule="exact"/>
        <w:ind w:firstLine="420"/>
        <w:rPr>
          <w:szCs w:val="21"/>
        </w:rPr>
      </w:pPr>
      <w:r>
        <w:rPr>
          <w:rFonts w:hint="eastAsia"/>
          <w:szCs w:val="21"/>
        </w:rPr>
        <w:t>2、代建</w:t>
      </w:r>
      <w:r>
        <w:rPr>
          <w:szCs w:val="21"/>
        </w:rPr>
        <w:t>项目</w:t>
      </w:r>
      <w:r>
        <w:rPr>
          <w:rFonts w:hint="eastAsia"/>
          <w:szCs w:val="21"/>
        </w:rPr>
        <w:t>经理及专业负责人</w:t>
      </w:r>
    </w:p>
    <w:p>
      <w:pPr>
        <w:spacing w:line="500" w:lineRule="exact"/>
        <w:ind w:firstLine="420"/>
        <w:rPr>
          <w:szCs w:val="21"/>
        </w:rPr>
      </w:pPr>
      <w:r>
        <w:rPr>
          <w:rFonts w:hint="eastAsia"/>
          <w:szCs w:val="21"/>
        </w:rPr>
        <w:t>代建项目经理：</w:t>
      </w:r>
      <w:r>
        <w:rPr>
          <w:szCs w:val="21"/>
          <w:u w:val="single"/>
        </w:rPr>
        <w:t xml:space="preserve"> </w:t>
      </w:r>
      <w:r>
        <w:rPr>
          <w:rFonts w:hint="eastAsia"/>
          <w:szCs w:val="21"/>
          <w:u w:val="single"/>
        </w:rPr>
        <w:t xml:space="preserve">   </w:t>
      </w:r>
      <w:r>
        <w:rPr>
          <w:szCs w:val="21"/>
          <w:u w:val="single"/>
        </w:rPr>
        <w:t xml:space="preserve">        </w:t>
      </w:r>
      <w:r>
        <w:rPr>
          <w:szCs w:val="21"/>
        </w:rPr>
        <w:t>（姓名）</w:t>
      </w:r>
    </w:p>
    <w:p>
      <w:pPr>
        <w:spacing w:line="500" w:lineRule="exact"/>
        <w:ind w:firstLine="420"/>
        <w:rPr>
          <w:szCs w:val="21"/>
        </w:rPr>
      </w:pPr>
      <w:r>
        <w:rPr>
          <w:rFonts w:hint="eastAsia"/>
          <w:szCs w:val="21"/>
        </w:rPr>
        <w:t>专业负责人（勘察）：</w:t>
      </w:r>
      <w:r>
        <w:rPr>
          <w:szCs w:val="21"/>
          <w:u w:val="single"/>
        </w:rPr>
        <w:t xml:space="preserve"> </w:t>
      </w:r>
      <w:r>
        <w:rPr>
          <w:rFonts w:hint="eastAsia"/>
          <w:szCs w:val="21"/>
          <w:u w:val="single"/>
        </w:rPr>
        <w:t xml:space="preserve">   </w:t>
      </w:r>
      <w:r>
        <w:rPr>
          <w:szCs w:val="21"/>
          <w:u w:val="single"/>
        </w:rPr>
        <w:t xml:space="preserve">        </w:t>
      </w:r>
      <w:r>
        <w:rPr>
          <w:szCs w:val="21"/>
        </w:rPr>
        <w:t>（姓名）</w:t>
      </w:r>
    </w:p>
    <w:p>
      <w:pPr>
        <w:spacing w:line="500" w:lineRule="exact"/>
        <w:ind w:firstLine="420"/>
        <w:rPr>
          <w:szCs w:val="21"/>
        </w:rPr>
      </w:pPr>
      <w:r>
        <w:rPr>
          <w:rFonts w:hint="eastAsia"/>
          <w:szCs w:val="21"/>
        </w:rPr>
        <w:t>专业负责人（可行性研究报告编制）：</w:t>
      </w:r>
      <w:r>
        <w:rPr>
          <w:rFonts w:hint="eastAsia"/>
          <w:szCs w:val="21"/>
          <w:u w:val="single"/>
        </w:rPr>
        <w:t xml:space="preserve">            </w:t>
      </w:r>
      <w:r>
        <w:rPr>
          <w:szCs w:val="21"/>
        </w:rPr>
        <w:t>（姓名）</w:t>
      </w:r>
    </w:p>
    <w:p>
      <w:pPr>
        <w:spacing w:line="500" w:lineRule="exact"/>
        <w:ind w:firstLine="420"/>
        <w:rPr>
          <w:szCs w:val="21"/>
          <w:u w:val="single"/>
        </w:rPr>
      </w:pPr>
      <w:r>
        <w:rPr>
          <w:rFonts w:hint="eastAsia"/>
          <w:szCs w:val="21"/>
        </w:rPr>
        <w:t>专业负责人（造价咨询）</w:t>
      </w:r>
      <w:r>
        <w:rPr>
          <w:rFonts w:hint="eastAsia"/>
          <w:szCs w:val="21"/>
          <w:u w:val="single"/>
        </w:rPr>
        <w:t xml:space="preserve">                  </w:t>
      </w:r>
      <w:r>
        <w:rPr>
          <w:szCs w:val="21"/>
        </w:rPr>
        <w:t>（姓名）</w:t>
      </w:r>
    </w:p>
    <w:p>
      <w:pPr>
        <w:spacing w:line="500" w:lineRule="exact"/>
        <w:ind w:firstLine="420"/>
        <w:rPr>
          <w:szCs w:val="21"/>
        </w:rPr>
      </w:pPr>
      <w:r>
        <w:rPr>
          <w:rFonts w:hint="eastAsia"/>
          <w:szCs w:val="21"/>
        </w:rPr>
        <w:t>专业负责人（招标代理）：</w:t>
      </w:r>
      <w:r>
        <w:rPr>
          <w:rFonts w:hint="eastAsia"/>
          <w:szCs w:val="21"/>
          <w:u w:val="single"/>
        </w:rPr>
        <w:t xml:space="preserve">             </w:t>
      </w:r>
      <w:r>
        <w:rPr>
          <w:szCs w:val="21"/>
        </w:rPr>
        <w:t>（姓名）</w:t>
      </w:r>
    </w:p>
    <w:p>
      <w:pPr>
        <w:spacing w:line="500" w:lineRule="exact"/>
        <w:ind w:firstLine="420" w:firstLineChars="200"/>
        <w:rPr>
          <w:szCs w:val="21"/>
        </w:rPr>
      </w:pPr>
      <w:r>
        <w:rPr>
          <w:rFonts w:hint="eastAsia"/>
          <w:szCs w:val="21"/>
        </w:rPr>
        <w:t>3、服务周期</w:t>
      </w:r>
      <w:r>
        <w:rPr>
          <w:szCs w:val="21"/>
        </w:rPr>
        <w:t>：</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500" w:lineRule="exact"/>
        <w:rPr>
          <w:szCs w:val="21"/>
        </w:rPr>
      </w:pPr>
      <w:r>
        <w:rPr>
          <w:szCs w:val="21"/>
        </w:rPr>
        <w:t xml:space="preserve">　  </w:t>
      </w:r>
      <w:r>
        <w:rPr>
          <w:rFonts w:hint="eastAsia"/>
          <w:szCs w:val="21"/>
        </w:rPr>
        <w:t>4、</w:t>
      </w:r>
      <w:r>
        <w:rPr>
          <w:szCs w:val="21"/>
        </w:rPr>
        <w:t>质量标准：</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500" w:lineRule="exact"/>
        <w:ind w:firstLine="420"/>
        <w:rPr>
          <w:szCs w:val="21"/>
        </w:rPr>
      </w:pPr>
      <w:r>
        <w:rPr>
          <w:szCs w:val="21"/>
        </w:rPr>
        <w:t>请你方在接到本通知书后的</w:t>
      </w:r>
      <w:r>
        <w:rPr>
          <w:szCs w:val="21"/>
          <w:u w:val="single"/>
        </w:rPr>
        <w:t xml:space="preserve">     </w:t>
      </w:r>
      <w:r>
        <w:rPr>
          <w:szCs w:val="21"/>
        </w:rPr>
        <w:t>日内到</w:t>
      </w:r>
      <w:r>
        <w:rPr>
          <w:szCs w:val="21"/>
          <w:u w:val="single"/>
        </w:rPr>
        <w:t xml:space="preserve">                      </w:t>
      </w:r>
      <w:r>
        <w:rPr>
          <w:i/>
          <w:szCs w:val="21"/>
        </w:rPr>
        <w:t>（指定地点）</w:t>
      </w:r>
      <w:r>
        <w:rPr>
          <w:szCs w:val="21"/>
        </w:rPr>
        <w:t>与我方签订</w:t>
      </w:r>
      <w:r>
        <w:rPr>
          <w:rFonts w:hint="eastAsia"/>
          <w:szCs w:val="21"/>
        </w:rPr>
        <w:t>代建</w:t>
      </w:r>
      <w:r>
        <w:rPr>
          <w:szCs w:val="21"/>
        </w:rPr>
        <w:t>合同，在此之前按招标文件第二章“投标人须知”第7.</w:t>
      </w:r>
      <w:r>
        <w:rPr>
          <w:rFonts w:hint="eastAsia"/>
          <w:szCs w:val="21"/>
        </w:rPr>
        <w:t>4</w:t>
      </w:r>
      <w:r>
        <w:rPr>
          <w:szCs w:val="21"/>
        </w:rPr>
        <w:t>款规定向我方提交履约担保。</w:t>
      </w:r>
    </w:p>
    <w:p>
      <w:pPr>
        <w:spacing w:line="500" w:lineRule="exact"/>
        <w:ind w:firstLine="420"/>
        <w:rPr>
          <w:szCs w:val="21"/>
        </w:rPr>
      </w:pPr>
      <w:r>
        <w:rPr>
          <w:rFonts w:hint="eastAsia"/>
          <w:szCs w:val="21"/>
        </w:rPr>
        <w:t>随附的澄清、说明、补正事项纪要，是本中标通知书的组成部分。</w:t>
      </w:r>
    </w:p>
    <w:p>
      <w:pPr>
        <w:spacing w:line="500" w:lineRule="exact"/>
        <w:rPr>
          <w:szCs w:val="21"/>
        </w:rPr>
      </w:pPr>
      <w:r>
        <w:rPr>
          <w:szCs w:val="21"/>
        </w:rPr>
        <w:t>　　特此通知。</w:t>
      </w:r>
    </w:p>
    <w:p>
      <w:pPr>
        <w:spacing w:line="500" w:lineRule="exact"/>
        <w:ind w:firstLine="420" w:firstLineChars="200"/>
        <w:rPr>
          <w:szCs w:val="21"/>
        </w:rPr>
      </w:pPr>
      <w:r>
        <w:rPr>
          <w:rFonts w:hint="eastAsia"/>
          <w:szCs w:val="21"/>
        </w:rPr>
        <w:t>附：澄清、说明、补正事项纪要</w:t>
      </w:r>
    </w:p>
    <w:p>
      <w:pPr>
        <w:spacing w:line="500" w:lineRule="exact"/>
        <w:rPr>
          <w:szCs w:val="21"/>
        </w:rPr>
      </w:pPr>
      <w:r>
        <w:rPr>
          <w:szCs w:val="21"/>
        </w:rPr>
        <w:t>招标人：</w:t>
      </w:r>
      <w:r>
        <w:rPr>
          <w:szCs w:val="21"/>
          <w:u w:val="single"/>
        </w:rPr>
        <w:t xml:space="preserve">           </w:t>
      </w:r>
      <w:r>
        <w:rPr>
          <w:rFonts w:hint="eastAsia"/>
          <w:szCs w:val="21"/>
          <w:u w:val="single"/>
        </w:rPr>
        <w:t xml:space="preserve">  </w:t>
      </w:r>
      <w:r>
        <w:rPr>
          <w:szCs w:val="21"/>
          <w:u w:val="single"/>
        </w:rPr>
        <w:t xml:space="preserve">   </w:t>
      </w:r>
      <w:r>
        <w:rPr>
          <w:szCs w:val="21"/>
        </w:rPr>
        <w:t xml:space="preserve">（盖章）         </w:t>
      </w:r>
      <w:r>
        <w:rPr>
          <w:rFonts w:hint="eastAsia"/>
          <w:szCs w:val="21"/>
        </w:rPr>
        <w:t>招标代理机构：</w:t>
      </w:r>
      <w:r>
        <w:rPr>
          <w:rFonts w:hint="eastAsia"/>
          <w:szCs w:val="21"/>
          <w:u w:val="single"/>
        </w:rPr>
        <w:t xml:space="preserve">           </w:t>
      </w:r>
      <w:r>
        <w:rPr>
          <w:rFonts w:hint="eastAsia"/>
          <w:szCs w:val="21"/>
        </w:rPr>
        <w:t>（盖章）</w:t>
      </w:r>
    </w:p>
    <w:p>
      <w:pPr>
        <w:spacing w:line="500" w:lineRule="exact"/>
        <w:rPr>
          <w:szCs w:val="21"/>
        </w:rPr>
      </w:pPr>
      <w:r>
        <w:rPr>
          <w:szCs w:val="21"/>
        </w:rPr>
        <w:t>法定代表人：</w:t>
      </w:r>
      <w:r>
        <w:rPr>
          <w:szCs w:val="21"/>
          <w:u w:val="single"/>
        </w:rPr>
        <w:t xml:space="preserve">            </w:t>
      </w:r>
      <w:r>
        <w:rPr>
          <w:szCs w:val="21"/>
        </w:rPr>
        <w:t>（签字</w:t>
      </w:r>
      <w:r>
        <w:rPr>
          <w:rFonts w:hint="eastAsia"/>
          <w:szCs w:val="21"/>
        </w:rPr>
        <w:t>或</w:t>
      </w:r>
      <w:r>
        <w:rPr>
          <w:szCs w:val="21"/>
        </w:rPr>
        <w:t>盖章）</w:t>
      </w:r>
      <w:r>
        <w:rPr>
          <w:rFonts w:hint="eastAsia"/>
          <w:szCs w:val="21"/>
        </w:rPr>
        <w:t xml:space="preserve">    </w:t>
      </w:r>
      <w:r>
        <w:rPr>
          <w:szCs w:val="21"/>
        </w:rPr>
        <w:t>法定代表人：</w:t>
      </w:r>
      <w:r>
        <w:rPr>
          <w:szCs w:val="21"/>
          <w:u w:val="single"/>
        </w:rPr>
        <w:t xml:space="preserve">         </w:t>
      </w:r>
      <w:r>
        <w:rPr>
          <w:rFonts w:hint="eastAsia"/>
          <w:szCs w:val="21"/>
          <w:u w:val="single"/>
        </w:rPr>
        <w:t xml:space="preserve"> </w:t>
      </w:r>
      <w:r>
        <w:rPr>
          <w:szCs w:val="21"/>
          <w:u w:val="single"/>
        </w:rPr>
        <w:t xml:space="preserve">   </w:t>
      </w:r>
      <w:r>
        <w:rPr>
          <w:szCs w:val="21"/>
        </w:rPr>
        <w:t>（签字</w:t>
      </w:r>
      <w:r>
        <w:rPr>
          <w:rFonts w:hint="eastAsia"/>
          <w:szCs w:val="21"/>
        </w:rPr>
        <w:t>或</w:t>
      </w:r>
      <w:r>
        <w:rPr>
          <w:szCs w:val="21"/>
        </w:rPr>
        <w:t>盖章）</w:t>
      </w:r>
    </w:p>
    <w:p>
      <w:pPr>
        <w:spacing w:line="500" w:lineRule="exact"/>
        <w:ind w:firstLine="1050" w:firstLineChars="500"/>
      </w:pPr>
      <w:r>
        <w:rPr>
          <w:rFonts w:ascii="宋体" w:hAnsi="宋体"/>
          <w:szCs w:val="21"/>
          <w:u w:val="single"/>
        </w:rPr>
        <w:t xml:space="preserve">     </w:t>
      </w:r>
      <w:r>
        <w:rPr>
          <w:szCs w:val="21"/>
        </w:rPr>
        <w:t>年</w:t>
      </w:r>
      <w:r>
        <w:rPr>
          <w:rFonts w:ascii="宋体" w:hAnsi="宋体"/>
          <w:szCs w:val="21"/>
          <w:u w:val="single"/>
        </w:rPr>
        <w:t xml:space="preserve">     </w:t>
      </w:r>
      <w:r>
        <w:rPr>
          <w:szCs w:val="21"/>
        </w:rPr>
        <w:t>月</w:t>
      </w:r>
      <w:r>
        <w:rPr>
          <w:rFonts w:ascii="宋体" w:hAnsi="宋体"/>
          <w:szCs w:val="21"/>
          <w:u w:val="single"/>
        </w:rPr>
        <w:t xml:space="preserve">     </w:t>
      </w:r>
      <w:r>
        <w:rPr>
          <w:szCs w:val="21"/>
        </w:rPr>
        <w:t>日</w:t>
      </w:r>
      <w:r>
        <w:rPr>
          <w:rFonts w:hint="eastAsia"/>
          <w:szCs w:val="21"/>
        </w:rPr>
        <w:t xml:space="preserve">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 xml:space="preserve"> 日</w:t>
      </w:r>
    </w:p>
    <w:p>
      <w:pPr>
        <w:pStyle w:val="6"/>
        <w:spacing w:line="500" w:lineRule="exact"/>
      </w:pPr>
      <w:bookmarkStart w:id="380" w:name="_Toc3997892"/>
      <w:bookmarkStart w:id="381" w:name="_Toc144974552"/>
      <w:bookmarkStart w:id="382" w:name="_Toc152045585"/>
      <w:bookmarkStart w:id="383" w:name="_Toc152042362"/>
      <w:bookmarkStart w:id="384" w:name="_Toc247514009"/>
      <w:bookmarkStart w:id="385" w:name="_Toc247527610"/>
      <w:r>
        <w:rPr>
          <w:rFonts w:hint="eastAsia"/>
        </w:rPr>
        <w:t>附件2-5：中标结果通知书</w:t>
      </w:r>
      <w:bookmarkEnd w:id="380"/>
      <w:bookmarkEnd w:id="381"/>
      <w:bookmarkEnd w:id="382"/>
      <w:bookmarkEnd w:id="383"/>
      <w:bookmarkEnd w:id="384"/>
      <w:bookmarkEnd w:id="385"/>
    </w:p>
    <w:p>
      <w:pPr>
        <w:spacing w:line="500" w:lineRule="exact"/>
      </w:pPr>
    </w:p>
    <w:p>
      <w:pPr>
        <w:spacing w:line="500" w:lineRule="exact"/>
        <w:jc w:val="center"/>
        <w:rPr>
          <w:rFonts w:ascii="黑体" w:eastAsia="黑体"/>
          <w:sz w:val="28"/>
          <w:szCs w:val="28"/>
        </w:rPr>
      </w:pPr>
      <w:r>
        <w:rPr>
          <w:rFonts w:hint="eastAsia" w:ascii="黑体" w:eastAsia="黑体"/>
          <w:sz w:val="28"/>
          <w:szCs w:val="28"/>
        </w:rPr>
        <w:t>中标结果通知书</w:t>
      </w:r>
    </w:p>
    <w:p>
      <w:pPr>
        <w:spacing w:line="500" w:lineRule="exact"/>
      </w:pPr>
    </w:p>
    <w:p>
      <w:pPr>
        <w:spacing w:line="500" w:lineRule="exact"/>
        <w:rPr>
          <w:szCs w:val="21"/>
        </w:rPr>
      </w:pPr>
      <w:r>
        <w:rPr>
          <w:szCs w:val="21"/>
          <w:u w:val="single"/>
        </w:rPr>
        <w:t xml:space="preserve">                  </w:t>
      </w:r>
      <w:r>
        <w:rPr>
          <w:i/>
          <w:szCs w:val="21"/>
        </w:rPr>
        <w:t>（未中标人名称）</w:t>
      </w:r>
      <w:r>
        <w:rPr>
          <w:szCs w:val="21"/>
        </w:rPr>
        <w:t>：</w:t>
      </w:r>
    </w:p>
    <w:p>
      <w:pPr>
        <w:spacing w:line="500" w:lineRule="exact"/>
        <w:rPr>
          <w:szCs w:val="21"/>
        </w:rPr>
      </w:pPr>
      <w:r>
        <w:rPr>
          <w:szCs w:val="21"/>
        </w:rPr>
        <w:t xml:space="preserve">    </w:t>
      </w:r>
    </w:p>
    <w:p>
      <w:pPr>
        <w:spacing w:line="500" w:lineRule="exact"/>
        <w:ind w:firstLine="420"/>
        <w:rPr>
          <w:szCs w:val="21"/>
        </w:rPr>
      </w:pPr>
      <w:r>
        <w:rPr>
          <w:szCs w:val="21"/>
        </w:rPr>
        <w:t>我方已接受</w:t>
      </w:r>
      <w:r>
        <w:rPr>
          <w:szCs w:val="21"/>
          <w:u w:val="single"/>
        </w:rPr>
        <w:t xml:space="preserve">       </w:t>
      </w:r>
      <w:r>
        <w:rPr>
          <w:rFonts w:hint="eastAsia"/>
          <w:szCs w:val="21"/>
          <w:u w:val="single"/>
        </w:rPr>
        <w:t xml:space="preserve">   </w:t>
      </w:r>
      <w:r>
        <w:rPr>
          <w:szCs w:val="21"/>
          <w:u w:val="single"/>
        </w:rPr>
        <w:t xml:space="preserve">           </w:t>
      </w:r>
      <w:r>
        <w:rPr>
          <w:i/>
          <w:szCs w:val="21"/>
        </w:rPr>
        <w:t>（中标人名称）</w:t>
      </w:r>
      <w:r>
        <w:rPr>
          <w:szCs w:val="21"/>
        </w:rPr>
        <w:t>于</w:t>
      </w:r>
      <w:r>
        <w:rPr>
          <w:szCs w:val="21"/>
          <w:u w:val="single"/>
        </w:rPr>
        <w:t xml:space="preserve">         </w:t>
      </w:r>
      <w:r>
        <w:rPr>
          <w:rFonts w:hint="eastAsia"/>
          <w:szCs w:val="21"/>
          <w:u w:val="single"/>
        </w:rPr>
        <w:t xml:space="preserve">    </w:t>
      </w:r>
      <w:r>
        <w:rPr>
          <w:szCs w:val="21"/>
          <w:u w:val="single"/>
        </w:rPr>
        <w:t xml:space="preserve">         </w:t>
      </w:r>
      <w:r>
        <w:rPr>
          <w:i/>
          <w:szCs w:val="21"/>
        </w:rPr>
        <w:t>（投标日期）</w:t>
      </w:r>
      <w:r>
        <w:rPr>
          <w:szCs w:val="21"/>
        </w:rPr>
        <w:t>所递交的</w:t>
      </w:r>
      <w:r>
        <w:rPr>
          <w:szCs w:val="21"/>
          <w:u w:val="single"/>
        </w:rPr>
        <w:t xml:space="preserve">               </w:t>
      </w:r>
      <w:r>
        <w:rPr>
          <w:i/>
          <w:szCs w:val="21"/>
        </w:rPr>
        <w:t>（项目名称）</w:t>
      </w:r>
      <w:r>
        <w:rPr>
          <w:rFonts w:hint="eastAsia"/>
          <w:szCs w:val="21"/>
        </w:rPr>
        <w:t>招标的</w:t>
      </w:r>
      <w:r>
        <w:rPr>
          <w:szCs w:val="21"/>
        </w:rPr>
        <w:t>投标文件，确定</w:t>
      </w:r>
      <w:r>
        <w:rPr>
          <w:szCs w:val="21"/>
          <w:u w:val="single"/>
        </w:rPr>
        <w:t xml:space="preserve">            </w:t>
      </w:r>
      <w:r>
        <w:rPr>
          <w:i/>
          <w:szCs w:val="21"/>
        </w:rPr>
        <w:t>（中标人名称）</w:t>
      </w:r>
      <w:r>
        <w:rPr>
          <w:szCs w:val="21"/>
        </w:rPr>
        <w:t>为中标人。</w:t>
      </w:r>
    </w:p>
    <w:p>
      <w:pPr>
        <w:spacing w:line="500" w:lineRule="exact"/>
        <w:rPr>
          <w:szCs w:val="21"/>
        </w:rPr>
      </w:pPr>
      <w:r>
        <w:rPr>
          <w:szCs w:val="21"/>
        </w:rPr>
        <w:t>　　感谢你单位对我们工作的大力支持！</w:t>
      </w:r>
    </w:p>
    <w:p>
      <w:pPr>
        <w:spacing w:line="500" w:lineRule="exact"/>
        <w:rPr>
          <w:szCs w:val="21"/>
        </w:rPr>
      </w:pPr>
    </w:p>
    <w:p>
      <w:pPr>
        <w:spacing w:line="500" w:lineRule="exact"/>
        <w:rPr>
          <w:szCs w:val="21"/>
        </w:rPr>
      </w:pPr>
    </w:p>
    <w:p>
      <w:pPr>
        <w:spacing w:line="500" w:lineRule="exact"/>
        <w:rPr>
          <w:szCs w:val="21"/>
        </w:rPr>
      </w:pPr>
    </w:p>
    <w:p>
      <w:pPr>
        <w:spacing w:line="500" w:lineRule="exact"/>
        <w:rPr>
          <w:szCs w:val="21"/>
        </w:rPr>
      </w:pPr>
      <w:r>
        <w:rPr>
          <w:szCs w:val="21"/>
        </w:rPr>
        <w:t xml:space="preserve">                                招标人：</w:t>
      </w:r>
      <w:r>
        <w:rPr>
          <w:szCs w:val="21"/>
          <w:u w:val="single"/>
        </w:rPr>
        <w:t xml:space="preserve">             </w:t>
      </w:r>
      <w:r>
        <w:rPr>
          <w:rFonts w:hint="eastAsia"/>
          <w:szCs w:val="21"/>
          <w:u w:val="single"/>
        </w:rPr>
        <w:t xml:space="preserve">   </w:t>
      </w:r>
      <w:r>
        <w:rPr>
          <w:szCs w:val="21"/>
          <w:u w:val="single"/>
        </w:rPr>
        <w:t xml:space="preserve">    </w:t>
      </w:r>
      <w:r>
        <w:rPr>
          <w:szCs w:val="21"/>
        </w:rPr>
        <w:t>（盖单位章）</w:t>
      </w:r>
    </w:p>
    <w:p>
      <w:pPr>
        <w:spacing w:line="500" w:lineRule="exact"/>
        <w:rPr>
          <w:szCs w:val="21"/>
        </w:rPr>
      </w:pPr>
    </w:p>
    <w:p>
      <w:pPr>
        <w:spacing w:line="500" w:lineRule="exact"/>
        <w:rPr>
          <w:szCs w:val="21"/>
        </w:rPr>
      </w:pPr>
      <w:r>
        <w:rPr>
          <w:szCs w:val="21"/>
        </w:rPr>
        <w:t xml:space="preserve">                                法定代表人：</w:t>
      </w:r>
      <w:r>
        <w:rPr>
          <w:szCs w:val="21"/>
          <w:u w:val="single"/>
        </w:rPr>
        <w:t xml:space="preserve">               </w:t>
      </w:r>
      <w:r>
        <w:rPr>
          <w:rFonts w:hint="eastAsia"/>
          <w:szCs w:val="21"/>
          <w:u w:val="single"/>
        </w:rPr>
        <w:t xml:space="preserve"> </w:t>
      </w:r>
      <w:r>
        <w:rPr>
          <w:szCs w:val="21"/>
        </w:rPr>
        <w:t>（签字</w:t>
      </w:r>
      <w:r>
        <w:rPr>
          <w:rFonts w:hint="eastAsia"/>
          <w:szCs w:val="21"/>
        </w:rPr>
        <w:t>或</w:t>
      </w:r>
      <w:r>
        <w:rPr>
          <w:szCs w:val="21"/>
        </w:rPr>
        <w:t>盖章）</w:t>
      </w:r>
    </w:p>
    <w:p>
      <w:pPr>
        <w:spacing w:line="500" w:lineRule="exact"/>
        <w:rPr>
          <w:szCs w:val="21"/>
        </w:rPr>
      </w:pPr>
    </w:p>
    <w:p>
      <w:pPr>
        <w:spacing w:line="500" w:lineRule="exact"/>
      </w:pPr>
      <w:r>
        <w:rPr>
          <w:szCs w:val="21"/>
        </w:rPr>
        <w:t xml:space="preserve">                                  </w:t>
      </w:r>
      <w:r>
        <w:rPr>
          <w:rFonts w:hint="eastAsia"/>
          <w:szCs w:val="21"/>
        </w:rPr>
        <w:t xml:space="preserve">      </w:t>
      </w:r>
      <w:r>
        <w:rPr>
          <w:rFonts w:hint="eastAsia"/>
          <w:szCs w:val="21"/>
          <w:lang w:val="en-US" w:eastAsia="zh-CN"/>
        </w:rPr>
        <w:t xml:space="preserve">       </w:t>
      </w:r>
      <w:r>
        <w:rPr>
          <w:rFonts w:hint="eastAsia"/>
          <w:szCs w:val="21"/>
        </w:rPr>
        <w:t xml:space="preserve"> </w:t>
      </w:r>
      <w:r>
        <w:rPr>
          <w:szCs w:val="21"/>
        </w:rPr>
        <w:t xml:space="preserve"> </w:t>
      </w:r>
      <w:r>
        <w:rPr>
          <w:rFonts w:ascii="宋体" w:hAnsi="宋体"/>
          <w:szCs w:val="21"/>
          <w:u w:val="single"/>
        </w:rPr>
        <w:t xml:space="preserve">     </w:t>
      </w:r>
      <w:r>
        <w:rPr>
          <w:szCs w:val="21"/>
        </w:rPr>
        <w:t>年</w:t>
      </w:r>
      <w:r>
        <w:rPr>
          <w:rFonts w:ascii="宋体" w:hAnsi="宋体"/>
          <w:szCs w:val="21"/>
          <w:u w:val="single"/>
        </w:rPr>
        <w:t xml:space="preserve">     </w:t>
      </w:r>
      <w:r>
        <w:rPr>
          <w:szCs w:val="21"/>
        </w:rPr>
        <w:t>月</w:t>
      </w:r>
      <w:r>
        <w:rPr>
          <w:rFonts w:ascii="宋体" w:hAnsi="宋体"/>
          <w:szCs w:val="21"/>
          <w:u w:val="single"/>
        </w:rPr>
        <w:t xml:space="preserve">     </w:t>
      </w:r>
      <w:r>
        <w:rPr>
          <w:szCs w:val="21"/>
        </w:rPr>
        <w:t>日</w:t>
      </w:r>
    </w:p>
    <w:p>
      <w:pPr>
        <w:pStyle w:val="6"/>
        <w:spacing w:line="500" w:lineRule="exact"/>
      </w:pPr>
      <w:r>
        <w:br w:type="page"/>
      </w:r>
      <w:bookmarkStart w:id="386" w:name="_Toc152045586"/>
      <w:bookmarkStart w:id="387" w:name="_Toc247514010"/>
      <w:bookmarkStart w:id="388" w:name="_Toc152042363"/>
      <w:bookmarkStart w:id="389" w:name="_Toc144974553"/>
      <w:bookmarkStart w:id="390" w:name="_Toc247527611"/>
      <w:bookmarkStart w:id="391" w:name="_Toc3997893"/>
      <w:r>
        <w:rPr>
          <w:rFonts w:hint="eastAsia"/>
        </w:rPr>
        <w:t>附件2-6：确认通知</w:t>
      </w:r>
      <w:bookmarkEnd w:id="386"/>
      <w:bookmarkEnd w:id="387"/>
      <w:bookmarkEnd w:id="388"/>
      <w:bookmarkEnd w:id="389"/>
      <w:bookmarkEnd w:id="390"/>
      <w:bookmarkEnd w:id="391"/>
    </w:p>
    <w:p>
      <w:pPr>
        <w:spacing w:line="500" w:lineRule="exact"/>
      </w:pPr>
    </w:p>
    <w:p>
      <w:pPr>
        <w:spacing w:line="500" w:lineRule="exact"/>
        <w:jc w:val="center"/>
        <w:rPr>
          <w:rFonts w:ascii="黑体" w:eastAsia="黑体"/>
          <w:sz w:val="28"/>
          <w:szCs w:val="28"/>
        </w:rPr>
      </w:pPr>
      <w:r>
        <w:rPr>
          <w:rFonts w:hint="eastAsia" w:ascii="黑体" w:eastAsia="黑体"/>
          <w:sz w:val="28"/>
          <w:szCs w:val="28"/>
        </w:rPr>
        <w:t>确认通知</w:t>
      </w:r>
    </w:p>
    <w:p>
      <w:pPr>
        <w:spacing w:line="500" w:lineRule="exact"/>
      </w:pPr>
    </w:p>
    <w:p>
      <w:pPr>
        <w:spacing w:line="500" w:lineRule="exact"/>
        <w:ind w:firstLine="420" w:firstLineChars="200"/>
        <w:rPr>
          <w:szCs w:val="21"/>
        </w:rPr>
      </w:pPr>
      <w:r>
        <w:rPr>
          <w:szCs w:val="21"/>
          <w:u w:val="single"/>
        </w:rPr>
        <w:t xml:space="preserve">            </w:t>
      </w:r>
      <w:r>
        <w:rPr>
          <w:i/>
          <w:szCs w:val="21"/>
        </w:rPr>
        <w:t>（招标人名称）</w:t>
      </w:r>
      <w:r>
        <w:rPr>
          <w:szCs w:val="21"/>
        </w:rPr>
        <w:t>：</w:t>
      </w:r>
    </w:p>
    <w:p>
      <w:pPr>
        <w:spacing w:line="500" w:lineRule="exact"/>
        <w:rPr>
          <w:szCs w:val="21"/>
        </w:rPr>
      </w:pPr>
      <w:r>
        <w:rPr>
          <w:szCs w:val="21"/>
        </w:rPr>
        <w:t>　　</w:t>
      </w:r>
    </w:p>
    <w:p>
      <w:pPr>
        <w:spacing w:line="500" w:lineRule="exact"/>
        <w:ind w:firstLine="840" w:firstLineChars="400"/>
        <w:rPr>
          <w:szCs w:val="21"/>
          <w:u w:val="single"/>
        </w:rPr>
      </w:pPr>
      <w:r>
        <w:rPr>
          <w:szCs w:val="21"/>
        </w:rPr>
        <w:t>你方</w:t>
      </w:r>
      <w:r>
        <w:rPr>
          <w:rFonts w:hint="eastAsia"/>
          <w:szCs w:val="21"/>
        </w:rPr>
        <w:t>于</w:t>
      </w:r>
      <w:r>
        <w:rPr>
          <w:szCs w:val="21"/>
          <w:u w:val="single"/>
        </w:rPr>
        <w:t xml:space="preserve">  </w:t>
      </w:r>
      <w:r>
        <w:rPr>
          <w:rFonts w:hint="eastAsia"/>
          <w:szCs w:val="21"/>
          <w:u w:val="single"/>
        </w:rPr>
        <w:t xml:space="preserve"> </w:t>
      </w:r>
      <w:r>
        <w:rPr>
          <w:szCs w:val="21"/>
          <w:u w:val="single"/>
        </w:rPr>
        <w:t xml:space="preserve">   </w:t>
      </w:r>
      <w:r>
        <w:rPr>
          <w:szCs w:val="21"/>
        </w:rPr>
        <w:t xml:space="preserve">年 </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日发出的</w:t>
      </w:r>
      <w:r>
        <w:rPr>
          <w:szCs w:val="21"/>
          <w:u w:val="single"/>
        </w:rPr>
        <w:t xml:space="preserve">  </w:t>
      </w:r>
      <w:r>
        <w:rPr>
          <w:rFonts w:hint="eastAsia"/>
          <w:szCs w:val="21"/>
          <w:u w:val="single"/>
        </w:rPr>
        <w:t xml:space="preserve">      </w:t>
      </w:r>
      <w:r>
        <w:rPr>
          <w:szCs w:val="21"/>
          <w:u w:val="single"/>
        </w:rPr>
        <w:t xml:space="preserve">     </w:t>
      </w:r>
      <w:r>
        <w:rPr>
          <w:i/>
          <w:szCs w:val="21"/>
        </w:rPr>
        <w:t>（项目名称）</w:t>
      </w:r>
      <w:r>
        <w:rPr>
          <w:szCs w:val="21"/>
        </w:rPr>
        <w:t>关于</w:t>
      </w:r>
      <w:r>
        <w:rPr>
          <w:szCs w:val="21"/>
          <w:u w:val="single"/>
        </w:rPr>
        <w:t xml:space="preserve">  </w:t>
      </w:r>
      <w:r>
        <w:rPr>
          <w:rFonts w:hint="eastAsia"/>
          <w:szCs w:val="21"/>
          <w:u w:val="single"/>
        </w:rPr>
        <w:t xml:space="preserve">     </w:t>
      </w:r>
    </w:p>
    <w:p>
      <w:pPr>
        <w:spacing w:line="500" w:lineRule="exact"/>
        <w:ind w:firstLine="420"/>
        <w:rPr>
          <w:szCs w:val="21"/>
        </w:rPr>
      </w:pPr>
      <w:r>
        <w:rPr>
          <w:szCs w:val="21"/>
          <w:u w:val="single"/>
        </w:rPr>
        <w:t xml:space="preserve">     </w:t>
      </w:r>
      <w:r>
        <w:rPr>
          <w:rFonts w:hint="eastAsia"/>
          <w:szCs w:val="21"/>
          <w:u w:val="single"/>
        </w:rPr>
        <w:t xml:space="preserve">        </w:t>
      </w:r>
      <w:r>
        <w:rPr>
          <w:szCs w:val="21"/>
          <w:u w:val="single"/>
        </w:rPr>
        <w:t xml:space="preserve">  </w:t>
      </w:r>
      <w:r>
        <w:rPr>
          <w:szCs w:val="21"/>
        </w:rPr>
        <w:t>的通知，我方已于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日收到。</w:t>
      </w:r>
    </w:p>
    <w:p>
      <w:pPr>
        <w:spacing w:line="500" w:lineRule="exact"/>
        <w:rPr>
          <w:szCs w:val="21"/>
        </w:rPr>
      </w:pPr>
      <w:r>
        <w:rPr>
          <w:szCs w:val="21"/>
        </w:rPr>
        <w:t>　　</w:t>
      </w:r>
      <w:r>
        <w:rPr>
          <w:rFonts w:hint="eastAsia"/>
          <w:szCs w:val="21"/>
        </w:rPr>
        <w:t xml:space="preserve">    </w:t>
      </w:r>
      <w:r>
        <w:rPr>
          <w:szCs w:val="21"/>
        </w:rPr>
        <w:t>特此确认。</w:t>
      </w:r>
    </w:p>
    <w:p>
      <w:pPr>
        <w:spacing w:line="500" w:lineRule="exact"/>
        <w:rPr>
          <w:szCs w:val="21"/>
        </w:rPr>
      </w:pPr>
    </w:p>
    <w:p>
      <w:pPr>
        <w:spacing w:line="500" w:lineRule="exact"/>
        <w:rPr>
          <w:szCs w:val="21"/>
        </w:rPr>
      </w:pPr>
    </w:p>
    <w:p>
      <w:pPr>
        <w:spacing w:line="500" w:lineRule="exact"/>
        <w:rPr>
          <w:szCs w:val="21"/>
        </w:rPr>
      </w:pPr>
      <w:r>
        <w:rPr>
          <w:szCs w:val="21"/>
        </w:rPr>
        <w:t xml:space="preserve">                              投标人：</w:t>
      </w:r>
      <w:r>
        <w:rPr>
          <w:szCs w:val="21"/>
          <w:u w:val="single"/>
        </w:rPr>
        <w:t xml:space="preserve">             </w:t>
      </w:r>
      <w:r>
        <w:rPr>
          <w:szCs w:val="21"/>
        </w:rPr>
        <w:t xml:space="preserve"> （盖单位章）</w:t>
      </w:r>
    </w:p>
    <w:p>
      <w:pPr>
        <w:spacing w:line="500" w:lineRule="exact"/>
        <w:rPr>
          <w:szCs w:val="21"/>
        </w:rPr>
      </w:pPr>
    </w:p>
    <w:p>
      <w:pPr>
        <w:spacing w:line="500" w:lineRule="exact"/>
      </w:pPr>
      <w:r>
        <w:t xml:space="preserve">                                </w:t>
      </w:r>
      <w:r>
        <w:rPr>
          <w:rFonts w:hint="eastAsia"/>
          <w:lang w:val="en-US" w:eastAsia="zh-CN"/>
        </w:rPr>
        <w:t xml:space="preserve">        </w:t>
      </w:r>
      <w:r>
        <w:t xml:space="preserve">  </w:t>
      </w:r>
      <w:r>
        <w:rPr>
          <w:rFonts w:ascii="宋体" w:hAnsi="宋体"/>
          <w:szCs w:val="21"/>
          <w:u w:val="single"/>
        </w:rPr>
        <w:t xml:space="preserve">     </w:t>
      </w:r>
      <w:r>
        <w:t>年</w:t>
      </w:r>
      <w:r>
        <w:rPr>
          <w:rFonts w:ascii="宋体" w:hAnsi="宋体"/>
          <w:szCs w:val="21"/>
          <w:u w:val="single"/>
        </w:rPr>
        <w:t xml:space="preserve">     </w:t>
      </w:r>
      <w:r>
        <w:t>月</w:t>
      </w:r>
      <w:r>
        <w:rPr>
          <w:rFonts w:ascii="宋体" w:hAnsi="宋体"/>
          <w:szCs w:val="21"/>
          <w:u w:val="single"/>
        </w:rPr>
        <w:t xml:space="preserve">     </w:t>
      </w:r>
      <w:r>
        <w:t>日</w:t>
      </w:r>
      <w:r>
        <w:rPr>
          <w:rFonts w:hint="eastAsia"/>
        </w:rPr>
        <w:t xml:space="preserve"> </w:t>
      </w:r>
    </w:p>
    <w:p>
      <w:pPr>
        <w:pStyle w:val="7"/>
        <w:spacing w:line="500" w:lineRule="exact"/>
      </w:pPr>
    </w:p>
    <w:p>
      <w:pPr>
        <w:spacing w:line="500" w:lineRule="exact"/>
      </w:pPr>
    </w:p>
    <w:p>
      <w:pPr>
        <w:pStyle w:val="7"/>
        <w:spacing w:line="500" w:lineRule="exact"/>
      </w:pPr>
    </w:p>
    <w:p>
      <w:pPr>
        <w:spacing w:line="500" w:lineRule="exact"/>
      </w:pPr>
    </w:p>
    <w:p>
      <w:pPr>
        <w:pStyle w:val="7"/>
        <w:spacing w:line="500" w:lineRule="exact"/>
      </w:pPr>
    </w:p>
    <w:p>
      <w:pPr>
        <w:spacing w:line="500" w:lineRule="exact"/>
      </w:pPr>
    </w:p>
    <w:p>
      <w:pPr>
        <w:pStyle w:val="7"/>
        <w:spacing w:line="500" w:lineRule="exact"/>
      </w:pPr>
    </w:p>
    <w:p>
      <w:pPr>
        <w:spacing w:line="500" w:lineRule="exact"/>
      </w:pPr>
    </w:p>
    <w:p>
      <w:pPr>
        <w:pStyle w:val="7"/>
        <w:spacing w:line="500" w:lineRule="exact"/>
      </w:pPr>
    </w:p>
    <w:p>
      <w:pPr>
        <w:spacing w:line="500" w:lineRule="exact"/>
      </w:pPr>
    </w:p>
    <w:p>
      <w:pPr>
        <w:pStyle w:val="7"/>
        <w:spacing w:line="500" w:lineRule="exact"/>
      </w:pPr>
    </w:p>
    <w:p>
      <w:pPr>
        <w:spacing w:line="500" w:lineRule="exact"/>
      </w:pPr>
    </w:p>
    <w:p>
      <w:pPr>
        <w:pStyle w:val="4"/>
        <w:spacing w:line="700" w:lineRule="exact"/>
        <w:jc w:val="center"/>
      </w:pPr>
      <w:bookmarkStart w:id="392" w:name="_Toc37"/>
      <w:bookmarkStart w:id="393" w:name="_Toc152045598"/>
      <w:bookmarkStart w:id="394" w:name="_Toc247527623"/>
      <w:bookmarkStart w:id="395" w:name="_Toc247514022"/>
      <w:bookmarkStart w:id="396" w:name="_Toc152042375"/>
      <w:bookmarkStart w:id="397" w:name="_Toc144974565"/>
      <w:r>
        <w:rPr>
          <w:rFonts w:hint="eastAsia"/>
        </w:rPr>
        <w:t>第三章 评标办法（综合评估法）</w:t>
      </w:r>
      <w:bookmarkEnd w:id="392"/>
      <w:bookmarkEnd w:id="393"/>
      <w:bookmarkEnd w:id="394"/>
      <w:bookmarkEnd w:id="395"/>
      <w:bookmarkEnd w:id="396"/>
      <w:bookmarkEnd w:id="397"/>
      <w:bookmarkStart w:id="398" w:name="_Toc247514023"/>
      <w:bookmarkStart w:id="399" w:name="_Toc144974566"/>
      <w:bookmarkStart w:id="400" w:name="_Toc247527624"/>
      <w:bookmarkStart w:id="401" w:name="_Toc152045599"/>
      <w:bookmarkStart w:id="402" w:name="_Toc152042376"/>
    </w:p>
    <w:p>
      <w:pPr>
        <w:pStyle w:val="5"/>
        <w:spacing w:line="700" w:lineRule="exact"/>
      </w:pPr>
      <w:bookmarkStart w:id="403" w:name="_Toc9360"/>
      <w:bookmarkStart w:id="404" w:name="_Toc3997895"/>
      <w:r>
        <w:rPr>
          <w:rFonts w:hint="eastAsia"/>
        </w:rPr>
        <w:t>评标办法前附表</w:t>
      </w:r>
      <w:bookmarkEnd w:id="398"/>
      <w:bookmarkEnd w:id="399"/>
      <w:bookmarkEnd w:id="400"/>
      <w:bookmarkEnd w:id="401"/>
      <w:bookmarkEnd w:id="402"/>
      <w:bookmarkEnd w:id="403"/>
      <w:bookmarkEnd w:id="404"/>
    </w:p>
    <w:tbl>
      <w:tblPr>
        <w:tblStyle w:val="22"/>
        <w:tblW w:w="83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54"/>
        <w:gridCol w:w="1687"/>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gridSpan w:val="2"/>
            <w:vAlign w:val="center"/>
          </w:tcPr>
          <w:p>
            <w:pPr>
              <w:spacing w:line="440" w:lineRule="exact"/>
              <w:jc w:val="center"/>
              <w:rPr>
                <w:b/>
                <w:szCs w:val="21"/>
              </w:rPr>
            </w:pPr>
            <w:r>
              <w:rPr>
                <w:b/>
                <w:szCs w:val="21"/>
              </w:rPr>
              <w:t>条款号</w:t>
            </w:r>
          </w:p>
        </w:tc>
        <w:tc>
          <w:tcPr>
            <w:tcW w:w="1687" w:type="dxa"/>
            <w:vAlign w:val="center"/>
          </w:tcPr>
          <w:p>
            <w:pPr>
              <w:spacing w:line="440" w:lineRule="exact"/>
              <w:jc w:val="center"/>
              <w:rPr>
                <w:b/>
                <w:szCs w:val="21"/>
              </w:rPr>
            </w:pPr>
            <w:r>
              <w:rPr>
                <w:b/>
                <w:szCs w:val="21"/>
              </w:rPr>
              <w:t>评审因素</w:t>
            </w:r>
          </w:p>
        </w:tc>
        <w:tc>
          <w:tcPr>
            <w:tcW w:w="5395" w:type="dxa"/>
            <w:vAlign w:val="center"/>
          </w:tcPr>
          <w:p>
            <w:pPr>
              <w:spacing w:line="440" w:lineRule="exact"/>
              <w:jc w:val="center"/>
              <w:rPr>
                <w:b/>
                <w:szCs w:val="21"/>
              </w:rPr>
            </w:pPr>
            <w:r>
              <w:rPr>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restart"/>
            <w:vAlign w:val="center"/>
          </w:tcPr>
          <w:p>
            <w:pPr>
              <w:spacing w:line="440" w:lineRule="exact"/>
              <w:jc w:val="center"/>
              <w:rPr>
                <w:szCs w:val="21"/>
              </w:rPr>
            </w:pPr>
            <w:r>
              <w:rPr>
                <w:szCs w:val="21"/>
              </w:rPr>
              <w:t>2.1.1</w:t>
            </w:r>
          </w:p>
        </w:tc>
        <w:tc>
          <w:tcPr>
            <w:tcW w:w="654" w:type="dxa"/>
            <w:vMerge w:val="restart"/>
            <w:vAlign w:val="center"/>
          </w:tcPr>
          <w:p>
            <w:pPr>
              <w:spacing w:line="440" w:lineRule="exact"/>
              <w:jc w:val="center"/>
              <w:rPr>
                <w:szCs w:val="21"/>
              </w:rPr>
            </w:pPr>
            <w:r>
              <w:rPr>
                <w:szCs w:val="21"/>
              </w:rPr>
              <w:t>形式评审标准</w:t>
            </w:r>
          </w:p>
        </w:tc>
        <w:tc>
          <w:tcPr>
            <w:tcW w:w="1687" w:type="dxa"/>
            <w:vAlign w:val="center"/>
          </w:tcPr>
          <w:p>
            <w:pPr>
              <w:spacing w:line="400" w:lineRule="exact"/>
              <w:jc w:val="center"/>
              <w:rPr>
                <w:szCs w:val="21"/>
              </w:rPr>
            </w:pPr>
            <w:r>
              <w:rPr>
                <w:szCs w:val="21"/>
              </w:rPr>
              <w:t>投标人名称</w:t>
            </w:r>
          </w:p>
        </w:tc>
        <w:tc>
          <w:tcPr>
            <w:tcW w:w="5395" w:type="dxa"/>
            <w:vAlign w:val="center"/>
          </w:tcPr>
          <w:p>
            <w:pPr>
              <w:spacing w:line="360" w:lineRule="exact"/>
              <w:rPr>
                <w:szCs w:val="21"/>
              </w:rPr>
            </w:pPr>
            <w:r>
              <w:rPr>
                <w:szCs w:val="21"/>
              </w:rPr>
              <w:t>与营业执照</w:t>
            </w:r>
            <w:r>
              <w:rPr>
                <w:rFonts w:hint="eastAsia"/>
                <w:szCs w:val="21"/>
              </w:rPr>
              <w:t>或事业单位法人证书</w:t>
            </w:r>
            <w:r>
              <w:rPr>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00" w:lineRule="exact"/>
              <w:jc w:val="center"/>
              <w:rPr>
                <w:szCs w:val="21"/>
              </w:rPr>
            </w:pPr>
            <w:r>
              <w:rPr>
                <w:szCs w:val="21"/>
              </w:rPr>
              <w:t>投标函签字盖章</w:t>
            </w:r>
          </w:p>
        </w:tc>
        <w:tc>
          <w:tcPr>
            <w:tcW w:w="5395" w:type="dxa"/>
            <w:vAlign w:val="center"/>
          </w:tcPr>
          <w:p>
            <w:pPr>
              <w:spacing w:line="360" w:lineRule="exact"/>
              <w:rPr>
                <w:szCs w:val="21"/>
              </w:rPr>
            </w:pPr>
            <w:r>
              <w:rPr>
                <w:szCs w:val="21"/>
              </w:rPr>
              <w:t>有法定代表人或其委托代理人签字</w:t>
            </w:r>
            <w:r>
              <w:rPr>
                <w:rFonts w:hint="eastAsia"/>
                <w:szCs w:val="21"/>
              </w:rPr>
              <w:t>（盖章）或</w:t>
            </w:r>
            <w:r>
              <w:rPr>
                <w:szCs w:val="21"/>
              </w:rPr>
              <w:t>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00" w:lineRule="exact"/>
              <w:jc w:val="center"/>
              <w:rPr>
                <w:szCs w:val="21"/>
              </w:rPr>
            </w:pPr>
            <w:r>
              <w:rPr>
                <w:szCs w:val="21"/>
              </w:rPr>
              <w:t>投标文件格式</w:t>
            </w:r>
          </w:p>
        </w:tc>
        <w:tc>
          <w:tcPr>
            <w:tcW w:w="5395" w:type="dxa"/>
            <w:vAlign w:val="center"/>
          </w:tcPr>
          <w:p>
            <w:pPr>
              <w:spacing w:line="360" w:lineRule="exact"/>
              <w:rPr>
                <w:szCs w:val="21"/>
              </w:rPr>
            </w:pPr>
            <w:r>
              <w:rPr>
                <w:szCs w:val="21"/>
              </w:rPr>
              <w:t>符合第</w:t>
            </w:r>
            <w:r>
              <w:rPr>
                <w:rFonts w:hint="eastAsia"/>
                <w:szCs w:val="21"/>
              </w:rPr>
              <w:t>六</w:t>
            </w:r>
            <w:r>
              <w:rPr>
                <w:szCs w:val="21"/>
              </w:rPr>
              <w:t>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00" w:lineRule="exact"/>
              <w:jc w:val="center"/>
              <w:rPr>
                <w:szCs w:val="21"/>
              </w:rPr>
            </w:pPr>
            <w:r>
              <w:rPr>
                <w:szCs w:val="21"/>
              </w:rPr>
              <w:t>联合体投标人</w:t>
            </w:r>
          </w:p>
        </w:tc>
        <w:tc>
          <w:tcPr>
            <w:tcW w:w="5395" w:type="dxa"/>
            <w:vAlign w:val="center"/>
          </w:tcPr>
          <w:p>
            <w:pPr>
              <w:spacing w:line="360" w:lineRule="exact"/>
              <w:rPr>
                <w:szCs w:val="21"/>
              </w:rPr>
            </w:pPr>
            <w:r>
              <w:rPr>
                <w:rFonts w:hint="eastAsia"/>
                <w:szCs w:val="21"/>
              </w:rPr>
              <w:t>接受，参与联合体的机构数量不得超过三家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00" w:lineRule="exact"/>
              <w:jc w:val="center"/>
              <w:rPr>
                <w:szCs w:val="21"/>
              </w:rPr>
            </w:pPr>
            <w:r>
              <w:rPr>
                <w:szCs w:val="21"/>
              </w:rPr>
              <w:t>报价唯一</w:t>
            </w:r>
          </w:p>
        </w:tc>
        <w:tc>
          <w:tcPr>
            <w:tcW w:w="5395" w:type="dxa"/>
            <w:vAlign w:val="center"/>
          </w:tcPr>
          <w:p>
            <w:pPr>
              <w:spacing w:line="360" w:lineRule="exact"/>
              <w:rPr>
                <w:szCs w:val="21"/>
              </w:rPr>
            </w:pPr>
            <w:r>
              <w:rPr>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restart"/>
            <w:vAlign w:val="center"/>
          </w:tcPr>
          <w:p>
            <w:pPr>
              <w:spacing w:line="440" w:lineRule="exact"/>
              <w:jc w:val="center"/>
              <w:rPr>
                <w:szCs w:val="21"/>
              </w:rPr>
            </w:pPr>
            <w:r>
              <w:rPr>
                <w:szCs w:val="21"/>
              </w:rPr>
              <w:t>2.1.2</w:t>
            </w:r>
          </w:p>
        </w:tc>
        <w:tc>
          <w:tcPr>
            <w:tcW w:w="654" w:type="dxa"/>
            <w:vMerge w:val="restart"/>
            <w:vAlign w:val="center"/>
          </w:tcPr>
          <w:p>
            <w:pPr>
              <w:spacing w:line="440" w:lineRule="exact"/>
              <w:jc w:val="center"/>
              <w:rPr>
                <w:szCs w:val="21"/>
              </w:rPr>
            </w:pPr>
            <w:r>
              <w:rPr>
                <w:szCs w:val="21"/>
              </w:rPr>
              <w:t>资格评审标准</w:t>
            </w:r>
          </w:p>
        </w:tc>
        <w:tc>
          <w:tcPr>
            <w:tcW w:w="1687" w:type="dxa"/>
            <w:vAlign w:val="center"/>
          </w:tcPr>
          <w:p>
            <w:pPr>
              <w:spacing w:line="360" w:lineRule="exact"/>
              <w:jc w:val="center"/>
              <w:rPr>
                <w:szCs w:val="21"/>
              </w:rPr>
            </w:pPr>
            <w:r>
              <w:rPr>
                <w:szCs w:val="21"/>
              </w:rPr>
              <w:t>营业执照</w:t>
            </w:r>
            <w:r>
              <w:rPr>
                <w:rFonts w:hint="eastAsia"/>
                <w:szCs w:val="21"/>
              </w:rPr>
              <w:t>或事业单位</w:t>
            </w:r>
          </w:p>
        </w:tc>
        <w:tc>
          <w:tcPr>
            <w:tcW w:w="5395" w:type="dxa"/>
            <w:vAlign w:val="center"/>
          </w:tcPr>
          <w:p>
            <w:pPr>
              <w:spacing w:line="360" w:lineRule="exact"/>
              <w:rPr>
                <w:szCs w:val="21"/>
              </w:rPr>
            </w:pPr>
            <w:r>
              <w:rPr>
                <w:szCs w:val="21"/>
              </w:rPr>
              <w:t>具备有效的营业执照或事业单位法人证书处于有效期</w:t>
            </w:r>
            <w:r>
              <w:rPr>
                <w:rFonts w:hint="eastAsia"/>
                <w:szCs w:val="21"/>
              </w:rPr>
              <w:t>。</w:t>
            </w:r>
          </w:p>
          <w:p>
            <w:pPr>
              <w:spacing w:line="360" w:lineRule="exact"/>
              <w:rPr>
                <w:szCs w:val="21"/>
              </w:rPr>
            </w:pPr>
            <w:r>
              <w:rPr>
                <w:szCs w:val="21"/>
              </w:rPr>
              <w:t>评审依据：以投标人加盖公章的复印件为准</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360" w:lineRule="exact"/>
              <w:jc w:val="center"/>
              <w:rPr>
                <w:szCs w:val="21"/>
              </w:rPr>
            </w:pPr>
            <w:r>
              <w:rPr>
                <w:rFonts w:hint="eastAsia"/>
                <w:szCs w:val="21"/>
              </w:rPr>
              <w:t>资格能力</w:t>
            </w:r>
          </w:p>
        </w:tc>
        <w:tc>
          <w:tcPr>
            <w:tcW w:w="5395" w:type="dxa"/>
            <w:vAlign w:val="center"/>
          </w:tcPr>
          <w:p>
            <w:pPr>
              <w:spacing w:line="360" w:lineRule="exact"/>
              <w:rPr>
                <w:szCs w:val="21"/>
              </w:rPr>
            </w:pPr>
            <w:r>
              <w:rPr>
                <w:rFonts w:hint="eastAsia"/>
                <w:szCs w:val="21"/>
              </w:rPr>
              <w:t>1.具备项目管理能力。</w:t>
            </w:r>
          </w:p>
          <w:p>
            <w:pPr>
              <w:spacing w:line="360" w:lineRule="exact"/>
              <w:rPr>
                <w:szCs w:val="21"/>
              </w:rPr>
            </w:pPr>
            <w:r>
              <w:rPr>
                <w:rFonts w:hint="eastAsia"/>
                <w:szCs w:val="21"/>
              </w:rPr>
              <w:t>2.具备可行性研究报告编制能力。</w:t>
            </w:r>
          </w:p>
          <w:p>
            <w:pPr>
              <w:spacing w:line="360" w:lineRule="exact"/>
              <w:rPr>
                <w:szCs w:val="21"/>
              </w:rPr>
            </w:pPr>
            <w:r>
              <w:rPr>
                <w:rFonts w:hint="eastAsia"/>
                <w:szCs w:val="21"/>
              </w:rPr>
              <w:t>3.具备造价咨询能力。</w:t>
            </w:r>
          </w:p>
          <w:p>
            <w:pPr>
              <w:spacing w:line="360" w:lineRule="exact"/>
              <w:rPr>
                <w:szCs w:val="21"/>
              </w:rPr>
            </w:pPr>
            <w:r>
              <w:rPr>
                <w:rFonts w:hint="eastAsia"/>
                <w:szCs w:val="21"/>
              </w:rPr>
              <w:t>4.具备招标代理服务能力。</w:t>
            </w:r>
          </w:p>
          <w:p>
            <w:pPr>
              <w:spacing w:line="360" w:lineRule="exact"/>
              <w:rPr>
                <w:rFonts w:eastAsia="Calibri"/>
                <w:szCs w:val="21"/>
              </w:rPr>
            </w:pPr>
            <w:r>
              <w:rPr>
                <w:rFonts w:hint="eastAsia"/>
                <w:szCs w:val="21"/>
              </w:rPr>
              <w:t>5.具备勘察综合类甲级资质或</w:t>
            </w:r>
            <w:r>
              <w:rPr>
                <w:rFonts w:hint="eastAsia"/>
                <w:i/>
                <w:szCs w:val="21"/>
                <w:u w:val="single"/>
              </w:rPr>
              <w:t>（专业工程）</w:t>
            </w:r>
            <w:r>
              <w:rPr>
                <w:rFonts w:hint="eastAsia"/>
                <w:szCs w:val="21"/>
              </w:rPr>
              <w:t>勘察</w:t>
            </w:r>
            <w:r>
              <w:rPr>
                <w:rFonts w:hint="eastAsia"/>
                <w:szCs w:val="21"/>
                <w:u w:val="single"/>
              </w:rPr>
              <w:t xml:space="preserve">   </w:t>
            </w:r>
            <w:r>
              <w:rPr>
                <w:rFonts w:hint="eastAsia"/>
                <w:szCs w:val="21"/>
              </w:rPr>
              <w:t>级及以上资质。</w:t>
            </w:r>
          </w:p>
          <w:p>
            <w:r>
              <w:rPr>
                <w:rFonts w:hint="eastAsia"/>
                <w:szCs w:val="21"/>
              </w:rPr>
              <w:t xml:space="preserve">□6.其他要求：满足《中华人民共和国保守国家秘密法》和 </w:t>
            </w:r>
            <w:r>
              <w:rPr>
                <w:rFonts w:hint="eastAsia"/>
                <w:szCs w:val="21"/>
                <w:u w:val="single"/>
              </w:rPr>
              <w:t xml:space="preserve">       </w:t>
            </w:r>
            <w:r>
              <w:rPr>
                <w:rFonts w:hint="eastAsia"/>
                <w:i/>
                <w:szCs w:val="21"/>
              </w:rPr>
              <w:t>（有关法律法规）</w:t>
            </w:r>
            <w:r>
              <w:rPr>
                <w:rFonts w:hint="eastAsia"/>
                <w:szCs w:val="21"/>
              </w:rPr>
              <w:t>的规定，具备</w:t>
            </w:r>
            <w:r>
              <w:rPr>
                <w:rFonts w:hint="eastAsia"/>
                <w:szCs w:val="21"/>
                <w:u w:val="single"/>
              </w:rPr>
              <w:t xml:space="preserve">        </w:t>
            </w:r>
            <w:r>
              <w:rPr>
                <w:rFonts w:hint="eastAsia"/>
                <w:i/>
                <w:szCs w:val="21"/>
              </w:rPr>
              <w:t>（资质或条件）</w:t>
            </w:r>
            <w:r>
              <w:rPr>
                <w:rFonts w:hint="eastAsia"/>
                <w:szCs w:val="21"/>
              </w:rPr>
              <w:t>（仅限代建项目为涉密工程）。</w:t>
            </w:r>
          </w:p>
          <w:p>
            <w:pPr>
              <w:spacing w:line="360" w:lineRule="exact"/>
              <w:jc w:val="left"/>
              <w:rPr>
                <w:rFonts w:ascii="宋体" w:hAnsi="宋体" w:cs="宋体"/>
                <w:szCs w:val="21"/>
              </w:rPr>
            </w:pPr>
            <w:r>
              <w:rPr>
                <w:rFonts w:hint="eastAsia" w:ascii="宋体" w:hAnsi="宋体" w:cs="宋体"/>
                <w:szCs w:val="21"/>
              </w:rPr>
              <w:t>评审依据：1、序号1-4以提供的履行合同所必需的专业技术能力的证明材料（如合同或技术人员证书）为准。</w:t>
            </w:r>
          </w:p>
          <w:p>
            <w:pPr>
              <w:spacing w:line="360" w:lineRule="exact"/>
              <w:jc w:val="left"/>
              <w:rPr>
                <w:rFonts w:ascii="宋体" w:hAnsi="宋体" w:cs="宋体"/>
                <w:szCs w:val="21"/>
              </w:rPr>
            </w:pPr>
            <w:r>
              <w:rPr>
                <w:rFonts w:hint="eastAsia" w:ascii="宋体" w:hAnsi="宋体" w:cs="宋体"/>
                <w:szCs w:val="21"/>
              </w:rPr>
              <w:t>2、序号5以投标人资质证书加盖公章的复印件为准。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360" w:lineRule="exact"/>
              <w:jc w:val="center"/>
              <w:rPr>
                <w:szCs w:val="21"/>
              </w:rPr>
            </w:pPr>
            <w:r>
              <w:rPr>
                <w:rFonts w:hint="eastAsia"/>
                <w:szCs w:val="21"/>
              </w:rPr>
              <w:t>拟派代建项目经理及专业负责人</w:t>
            </w:r>
          </w:p>
        </w:tc>
        <w:tc>
          <w:tcPr>
            <w:tcW w:w="5395" w:type="dxa"/>
            <w:vAlign w:val="center"/>
          </w:tcPr>
          <w:p>
            <w:pPr>
              <w:tabs>
                <w:tab w:val="left" w:pos="312"/>
              </w:tabs>
              <w:spacing w:line="400" w:lineRule="exact"/>
              <w:rPr>
                <w:szCs w:val="21"/>
              </w:rPr>
            </w:pPr>
            <w:r>
              <w:rPr>
                <w:rFonts w:hint="eastAsia"/>
                <w:szCs w:val="21"/>
              </w:rPr>
              <w:t>1.拟派代建项目经理要求：具备</w:t>
            </w:r>
            <w:r>
              <w:rPr>
                <w:rFonts w:hint="eastAsia"/>
                <w:i/>
                <w:szCs w:val="21"/>
                <w:u w:val="single"/>
              </w:rPr>
              <w:t>（专业工程）</w:t>
            </w:r>
            <w:r>
              <w:rPr>
                <w:rFonts w:hint="eastAsia"/>
                <w:szCs w:val="21"/>
              </w:rPr>
              <w:t>专业</w:t>
            </w:r>
            <w:r>
              <w:rPr>
                <w:rFonts w:hint="eastAsia"/>
                <w:szCs w:val="21"/>
                <w:u w:val="single"/>
              </w:rPr>
              <w:t xml:space="preserve">   </w:t>
            </w:r>
            <w:r>
              <w:rPr>
                <w:rFonts w:hint="eastAsia"/>
                <w:szCs w:val="21"/>
              </w:rPr>
              <w:t>级及以上注册建造师执业资格或具备</w:t>
            </w:r>
            <w:r>
              <w:rPr>
                <w:rFonts w:hint="eastAsia"/>
                <w:i/>
                <w:szCs w:val="21"/>
                <w:u w:val="single"/>
              </w:rPr>
              <w:t>（专业工程）</w:t>
            </w:r>
            <w:r>
              <w:rPr>
                <w:rFonts w:hint="eastAsia"/>
                <w:szCs w:val="21"/>
              </w:rPr>
              <w:t>工程专业国家注册监理工程师资格，并具备高级工程师及以上职称。代建项目经理无在建项目。（投标人为联合体时，代建项目经理应为牵头人单位人员）</w:t>
            </w:r>
          </w:p>
          <w:p>
            <w:pPr>
              <w:spacing w:line="400" w:lineRule="exact"/>
              <w:jc w:val="left"/>
            </w:pPr>
            <w:r>
              <w:rPr>
                <w:rFonts w:hint="eastAsia"/>
              </w:rPr>
              <w:t>评审依据：以投标人加盖公章的复印件为准。无在建项目需提供承诺书。</w:t>
            </w:r>
          </w:p>
          <w:p>
            <w:pPr>
              <w:tabs>
                <w:tab w:val="left" w:pos="312"/>
              </w:tabs>
              <w:spacing w:line="400" w:lineRule="exact"/>
              <w:rPr>
                <w:szCs w:val="21"/>
              </w:rPr>
            </w:pPr>
            <w:r>
              <w:rPr>
                <w:rFonts w:hint="eastAsia"/>
                <w:szCs w:val="21"/>
              </w:rPr>
              <w:t>2.可行性研究报告编制拟派专业负责人要求：具备</w:t>
            </w:r>
            <w:r>
              <w:rPr>
                <w:rFonts w:hint="eastAsia"/>
                <w:i/>
                <w:szCs w:val="21"/>
                <w:u w:val="single"/>
              </w:rPr>
              <w:t>（专业工程）</w:t>
            </w:r>
            <w:r>
              <w:rPr>
                <w:rFonts w:hint="eastAsia"/>
                <w:szCs w:val="21"/>
              </w:rPr>
              <w:t>专业咨询工程师职业资格。</w:t>
            </w:r>
          </w:p>
          <w:p>
            <w:pPr>
              <w:tabs>
                <w:tab w:val="left" w:pos="312"/>
              </w:tabs>
              <w:spacing w:line="400" w:lineRule="exact"/>
              <w:rPr>
                <w:szCs w:val="21"/>
              </w:rPr>
            </w:pPr>
            <w:r>
              <w:rPr>
                <w:rFonts w:hint="eastAsia"/>
                <w:szCs w:val="21"/>
              </w:rPr>
              <w:t>3.造价咨询拟派专业负责人要求：具备注册</w:t>
            </w:r>
            <w:r>
              <w:rPr>
                <w:rFonts w:hint="eastAsia"/>
                <w:i/>
                <w:szCs w:val="21"/>
                <w:u w:val="single"/>
              </w:rPr>
              <w:t>（专业工程）</w:t>
            </w:r>
            <w:r>
              <w:rPr>
                <w:rFonts w:hint="eastAsia"/>
                <w:szCs w:val="21"/>
              </w:rPr>
              <w:t>一级造价工程师执业资格。</w:t>
            </w:r>
          </w:p>
          <w:p>
            <w:pPr>
              <w:tabs>
                <w:tab w:val="left" w:pos="312"/>
              </w:tabs>
              <w:spacing w:line="400" w:lineRule="exact"/>
              <w:rPr>
                <w:szCs w:val="21"/>
              </w:rPr>
            </w:pPr>
            <w:r>
              <w:rPr>
                <w:rFonts w:hint="eastAsia"/>
                <w:szCs w:val="21"/>
              </w:rPr>
              <w:t>4.招标代理拟派专业负责人要求：具备</w:t>
            </w:r>
            <w:r>
              <w:rPr>
                <w:rFonts w:hint="eastAsia"/>
                <w:i/>
                <w:szCs w:val="21"/>
                <w:u w:val="single"/>
              </w:rPr>
              <w:t>（专业工程）</w:t>
            </w:r>
            <w:r>
              <w:rPr>
                <w:rFonts w:hint="eastAsia"/>
                <w:szCs w:val="21"/>
              </w:rPr>
              <w:t>工程师及以上职称。</w:t>
            </w:r>
          </w:p>
          <w:p>
            <w:pPr>
              <w:tabs>
                <w:tab w:val="left" w:pos="312"/>
              </w:tabs>
              <w:spacing w:line="400" w:lineRule="exact"/>
              <w:rPr>
                <w:szCs w:val="21"/>
              </w:rPr>
            </w:pPr>
            <w:r>
              <w:rPr>
                <w:rFonts w:hint="eastAsia"/>
                <w:szCs w:val="21"/>
              </w:rPr>
              <w:t>5.勘察拟派专业负责人要求：具备注册</w:t>
            </w:r>
            <w:r>
              <w:rPr>
                <w:rFonts w:hint="eastAsia"/>
                <w:i/>
                <w:szCs w:val="21"/>
                <w:u w:val="single"/>
              </w:rPr>
              <w:t>（专业工程）</w:t>
            </w:r>
            <w:r>
              <w:rPr>
                <w:rFonts w:hint="eastAsia"/>
                <w:szCs w:val="21"/>
              </w:rPr>
              <w:t>执业资格。</w:t>
            </w:r>
          </w:p>
          <w:p>
            <w:pPr>
              <w:spacing w:line="400" w:lineRule="exact"/>
              <w:jc w:val="left"/>
            </w:pPr>
            <w:r>
              <w:rPr>
                <w:rFonts w:hint="eastAsia"/>
              </w:rPr>
              <w:t>评审依据：以投标人加盖公章的复印件为准。</w:t>
            </w:r>
          </w:p>
          <w:p>
            <w:pPr>
              <w:pStyle w:val="7"/>
              <w:spacing w:line="400" w:lineRule="exact"/>
            </w:pPr>
            <w:r>
              <w:rPr>
                <w:rFonts w:hint="eastAsia" w:ascii="宋体" w:hAnsi="宋体" w:cs="宋体"/>
                <w:sz w:val="21"/>
                <w:szCs w:val="21"/>
              </w:rPr>
              <w:t>注：以上拟派项目经理及专业负责人的证书须在本单位注册（登记），并提供开标前30日内打印的近</w:t>
            </w:r>
            <w:r>
              <w:rPr>
                <w:rFonts w:hint="eastAsia" w:ascii="宋体" w:hAnsi="宋体" w:cs="宋体"/>
                <w:sz w:val="21"/>
                <w:szCs w:val="21"/>
                <w:u w:val="single"/>
              </w:rPr>
              <w:t xml:space="preserve">   </w:t>
            </w:r>
            <w:r>
              <w:rPr>
                <w:rFonts w:hint="eastAsia" w:ascii="宋体" w:hAnsi="宋体" w:cs="宋体"/>
                <w:sz w:val="21"/>
                <w:szCs w:val="21"/>
              </w:rPr>
              <w:t>个月内社保证明。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360" w:lineRule="exact"/>
              <w:jc w:val="center"/>
              <w:rPr>
                <w:szCs w:val="21"/>
              </w:rPr>
            </w:pPr>
            <w:r>
              <w:rPr>
                <w:rFonts w:hint="eastAsia"/>
                <w:szCs w:val="21"/>
              </w:rPr>
              <w:t>其他要求</w:t>
            </w:r>
          </w:p>
        </w:tc>
        <w:tc>
          <w:tcPr>
            <w:tcW w:w="5395" w:type="dxa"/>
            <w:vAlign w:val="center"/>
          </w:tcPr>
          <w:p>
            <w:pPr>
              <w:spacing w:line="360" w:lineRule="exact"/>
              <w:jc w:val="left"/>
            </w:pPr>
            <w:r>
              <w:t>1.</w:t>
            </w:r>
            <w:r>
              <w:rPr>
                <w:rFonts w:hint="eastAsia"/>
              </w:rPr>
              <w:t>投标人的基本信息及代建项目经理、各专业负责人（监理工程师、建造师、造价工程师等证书）的基本信息在“陕西省住房和城乡建设厅系统平台（http://js.shaanxi.gov.cn/）陕西省建筑市场监管与诚信信息发布平台”可查询（平台不提供相应查询功能的，投标人需提供书面承诺说明）。</w:t>
            </w:r>
          </w:p>
          <w:p>
            <w:pPr>
              <w:spacing w:line="360" w:lineRule="exact"/>
              <w:jc w:val="left"/>
            </w:pPr>
            <w:r>
              <w:rPr>
                <w:rFonts w:hint="eastAsia"/>
              </w:rPr>
              <w:t>评审依据：以投标人加盖公章的网站截图或现场查询为准。</w:t>
            </w:r>
          </w:p>
          <w:p>
            <w:pPr>
              <w:spacing w:line="360" w:lineRule="exact"/>
              <w:jc w:val="left"/>
            </w:pPr>
            <w:r>
              <w:rPr>
                <w:rFonts w:hint="eastAsia"/>
              </w:rPr>
              <w:t>2.投标人在“信用中国”网站未被列为失信被执行人。</w:t>
            </w:r>
          </w:p>
          <w:p>
            <w:pPr>
              <w:spacing w:line="360" w:lineRule="exact"/>
              <w:jc w:val="left"/>
            </w:pPr>
            <w:r>
              <w:rPr>
                <w:rFonts w:hint="eastAsia"/>
              </w:rPr>
              <w:t>评审依据：以投标人加盖公章的网站截图或现场查询为准。</w:t>
            </w:r>
          </w:p>
          <w:p>
            <w:pPr>
              <w:spacing w:line="360" w:lineRule="exact"/>
              <w:jc w:val="left"/>
            </w:pPr>
            <w:r>
              <w:rPr>
                <w:rFonts w:hint="eastAsia"/>
              </w:rPr>
              <w:t>3.投标人在陕西省和项目所在地市建设诚信信息平台未被列为限制参与投标的行为人。</w:t>
            </w:r>
          </w:p>
          <w:p>
            <w:pPr>
              <w:spacing w:line="360" w:lineRule="exact"/>
              <w:jc w:val="left"/>
            </w:pPr>
            <w:r>
              <w:rPr>
                <w:rFonts w:hint="eastAsia"/>
              </w:rPr>
              <w:t>评审依据：以投标文件中的承诺书为准。</w:t>
            </w:r>
          </w:p>
          <w:p>
            <w:pPr>
              <w:spacing w:line="360" w:lineRule="exact"/>
              <w:jc w:val="left"/>
            </w:pPr>
            <w:r>
              <w:rPr>
                <w:rFonts w:hint="eastAsia"/>
              </w:rPr>
              <w:t>4.符合第二章“投标人须知”第1.4项规定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restart"/>
            <w:vAlign w:val="center"/>
          </w:tcPr>
          <w:p>
            <w:pPr>
              <w:spacing w:line="440" w:lineRule="exact"/>
              <w:jc w:val="center"/>
              <w:rPr>
                <w:szCs w:val="21"/>
              </w:rPr>
            </w:pPr>
          </w:p>
          <w:p>
            <w:pPr>
              <w:spacing w:line="440" w:lineRule="exact"/>
              <w:jc w:val="center"/>
              <w:rPr>
                <w:szCs w:val="21"/>
              </w:rPr>
            </w:pPr>
            <w:r>
              <w:rPr>
                <w:szCs w:val="21"/>
              </w:rPr>
              <w:t>2.1.3</w:t>
            </w:r>
          </w:p>
        </w:tc>
        <w:tc>
          <w:tcPr>
            <w:tcW w:w="654" w:type="dxa"/>
            <w:vMerge w:val="restart"/>
            <w:vAlign w:val="center"/>
          </w:tcPr>
          <w:p>
            <w:pPr>
              <w:spacing w:line="440" w:lineRule="exact"/>
              <w:jc w:val="center"/>
              <w:rPr>
                <w:szCs w:val="21"/>
              </w:rPr>
            </w:pPr>
          </w:p>
          <w:p>
            <w:pPr>
              <w:spacing w:line="440" w:lineRule="exact"/>
              <w:jc w:val="center"/>
              <w:rPr>
                <w:szCs w:val="21"/>
              </w:rPr>
            </w:pPr>
            <w:r>
              <w:rPr>
                <w:szCs w:val="21"/>
              </w:rPr>
              <w:t>响应性评审标准</w:t>
            </w:r>
          </w:p>
        </w:tc>
        <w:tc>
          <w:tcPr>
            <w:tcW w:w="1687" w:type="dxa"/>
            <w:vAlign w:val="center"/>
          </w:tcPr>
          <w:p>
            <w:pPr>
              <w:spacing w:line="440" w:lineRule="exact"/>
              <w:jc w:val="center"/>
              <w:rPr>
                <w:szCs w:val="21"/>
              </w:rPr>
            </w:pPr>
            <w:r>
              <w:rPr>
                <w:rFonts w:hint="eastAsia"/>
                <w:szCs w:val="21"/>
              </w:rPr>
              <w:t>投标报价</w:t>
            </w:r>
          </w:p>
        </w:tc>
        <w:tc>
          <w:tcPr>
            <w:tcW w:w="5395" w:type="dxa"/>
            <w:vAlign w:val="center"/>
          </w:tcPr>
          <w:p>
            <w:pPr>
              <w:spacing w:line="360" w:lineRule="exact"/>
              <w:jc w:val="left"/>
            </w:pPr>
            <w:r>
              <w:rPr>
                <w:rFonts w:hint="eastAsia"/>
              </w:rPr>
              <w:t>符合第二章</w:t>
            </w:r>
            <w:r>
              <w:rPr>
                <w:szCs w:val="21"/>
              </w:rPr>
              <w:t>“投标人须知”</w:t>
            </w:r>
            <w:r>
              <w:rPr>
                <w:rFonts w:hint="eastAsia"/>
              </w:rPr>
              <w:t>第3.2.4项规定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40" w:lineRule="exact"/>
              <w:jc w:val="center"/>
              <w:rPr>
                <w:szCs w:val="21"/>
              </w:rPr>
            </w:pPr>
            <w:r>
              <w:rPr>
                <w:szCs w:val="21"/>
              </w:rPr>
              <w:t>投标内容</w:t>
            </w:r>
          </w:p>
        </w:tc>
        <w:tc>
          <w:tcPr>
            <w:tcW w:w="5395" w:type="dxa"/>
            <w:vAlign w:val="center"/>
          </w:tcPr>
          <w:p>
            <w:pPr>
              <w:spacing w:line="440" w:lineRule="exact"/>
              <w:rPr>
                <w:szCs w:val="21"/>
              </w:rPr>
            </w:pPr>
            <w:r>
              <w:rPr>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40" w:lineRule="exact"/>
              <w:jc w:val="center"/>
              <w:rPr>
                <w:rFonts w:eastAsia="Calibri"/>
                <w:szCs w:val="21"/>
              </w:rPr>
            </w:pPr>
            <w:r>
              <w:rPr>
                <w:rFonts w:hint="eastAsia"/>
                <w:szCs w:val="21"/>
              </w:rPr>
              <w:t>服务周期</w:t>
            </w:r>
          </w:p>
        </w:tc>
        <w:tc>
          <w:tcPr>
            <w:tcW w:w="5395" w:type="dxa"/>
            <w:vAlign w:val="center"/>
          </w:tcPr>
          <w:p>
            <w:pPr>
              <w:spacing w:line="440" w:lineRule="exact"/>
              <w:rPr>
                <w:szCs w:val="21"/>
              </w:rPr>
            </w:pPr>
            <w:r>
              <w:rPr>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40" w:lineRule="exact"/>
              <w:jc w:val="center"/>
              <w:rPr>
                <w:szCs w:val="21"/>
              </w:rPr>
            </w:pPr>
            <w:r>
              <w:rPr>
                <w:szCs w:val="21"/>
              </w:rPr>
              <w:t>质量标准</w:t>
            </w:r>
          </w:p>
        </w:tc>
        <w:tc>
          <w:tcPr>
            <w:tcW w:w="5395" w:type="dxa"/>
            <w:vAlign w:val="center"/>
          </w:tcPr>
          <w:p>
            <w:pPr>
              <w:spacing w:line="440" w:lineRule="exact"/>
              <w:rPr>
                <w:szCs w:val="21"/>
              </w:rPr>
            </w:pPr>
            <w:r>
              <w:rPr>
                <w:szCs w:val="21"/>
              </w:rPr>
              <w:t>符合第二章“投标人须知”第1.3.</w:t>
            </w:r>
            <w:r>
              <w:rPr>
                <w:rFonts w:hint="eastAsia"/>
                <w:szCs w:val="21"/>
              </w:rPr>
              <w:t>3</w:t>
            </w:r>
            <w:r>
              <w:rPr>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40" w:lineRule="exact"/>
              <w:jc w:val="center"/>
              <w:rPr>
                <w:szCs w:val="21"/>
              </w:rPr>
            </w:pPr>
            <w:r>
              <w:rPr>
                <w:rFonts w:hint="eastAsia"/>
                <w:szCs w:val="21"/>
              </w:rPr>
              <w:t>投标有效期</w:t>
            </w:r>
          </w:p>
        </w:tc>
        <w:tc>
          <w:tcPr>
            <w:tcW w:w="5395" w:type="dxa"/>
            <w:vAlign w:val="center"/>
          </w:tcPr>
          <w:p>
            <w:pPr>
              <w:spacing w:line="440" w:lineRule="exact"/>
              <w:rPr>
                <w:szCs w:val="21"/>
              </w:rPr>
            </w:pPr>
            <w:r>
              <w:rPr>
                <w:szCs w:val="21"/>
              </w:rPr>
              <w:t>符合第二章“投标人须知”第</w:t>
            </w:r>
            <w:r>
              <w:rPr>
                <w:rFonts w:hint="eastAsia"/>
                <w:szCs w:val="21"/>
              </w:rPr>
              <w:t>3</w:t>
            </w:r>
            <w:r>
              <w:rPr>
                <w:szCs w:val="21"/>
              </w:rPr>
              <w:t>.3.</w:t>
            </w:r>
            <w:r>
              <w:rPr>
                <w:rFonts w:hint="eastAsia"/>
                <w:szCs w:val="21"/>
              </w:rPr>
              <w:t>1</w:t>
            </w:r>
            <w:r>
              <w:rPr>
                <w:szCs w:val="21"/>
              </w:rPr>
              <w:t>项规</w:t>
            </w:r>
            <w:r>
              <w:rPr>
                <w:rFonts w:hint="eastAsia"/>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40" w:lineRule="exact"/>
              <w:jc w:val="center"/>
              <w:rPr>
                <w:szCs w:val="21"/>
              </w:rPr>
            </w:pPr>
            <w:r>
              <w:rPr>
                <w:szCs w:val="21"/>
              </w:rPr>
              <w:t>投标保证金</w:t>
            </w:r>
          </w:p>
        </w:tc>
        <w:tc>
          <w:tcPr>
            <w:tcW w:w="5395" w:type="dxa"/>
            <w:vAlign w:val="center"/>
          </w:tcPr>
          <w:p>
            <w:pPr>
              <w:spacing w:line="440" w:lineRule="exact"/>
              <w:rPr>
                <w:szCs w:val="21"/>
              </w:rPr>
            </w:pPr>
            <w:r>
              <w:rPr>
                <w:szCs w:val="21"/>
              </w:rPr>
              <w:t>符合第二章“投标人须知”第3.4款规定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40" w:lineRule="exact"/>
              <w:jc w:val="center"/>
              <w:rPr>
                <w:szCs w:val="21"/>
              </w:rPr>
            </w:pPr>
            <w:r>
              <w:rPr>
                <w:rFonts w:hint="eastAsia"/>
                <w:szCs w:val="21"/>
              </w:rPr>
              <w:t>项目管理团队</w:t>
            </w:r>
          </w:p>
        </w:tc>
        <w:tc>
          <w:tcPr>
            <w:tcW w:w="5395" w:type="dxa"/>
            <w:vAlign w:val="center"/>
          </w:tcPr>
          <w:p>
            <w:pPr>
              <w:spacing w:line="440" w:lineRule="exact"/>
              <w:rPr>
                <w:szCs w:val="21"/>
              </w:rPr>
            </w:pPr>
            <w:r>
              <w:rPr>
                <w:szCs w:val="21"/>
              </w:rPr>
              <w:t>符合第</w:t>
            </w:r>
            <w:r>
              <w:rPr>
                <w:rFonts w:hint="eastAsia"/>
                <w:szCs w:val="21"/>
              </w:rPr>
              <w:t>三</w:t>
            </w:r>
            <w:r>
              <w:rPr>
                <w:szCs w:val="21"/>
              </w:rPr>
              <w:t>章“</w:t>
            </w:r>
            <w:r>
              <w:rPr>
                <w:rFonts w:hint="eastAsia"/>
                <w:szCs w:val="21"/>
              </w:rPr>
              <w:t>评标办法前附表</w:t>
            </w:r>
            <w:r>
              <w:rPr>
                <w:szCs w:val="21"/>
              </w:rPr>
              <w:t>”第</w:t>
            </w:r>
            <w:r>
              <w:rPr>
                <w:rFonts w:hint="eastAsia"/>
                <w:szCs w:val="21"/>
              </w:rPr>
              <w:t>2.2.4</w:t>
            </w:r>
            <w:r>
              <w:rPr>
                <w:szCs w:val="21"/>
              </w:rPr>
              <w:t>款</w:t>
            </w:r>
            <w:r>
              <w:rPr>
                <w:rFonts w:hint="eastAsia"/>
                <w:szCs w:val="21"/>
              </w:rPr>
              <w:t>的人员配置要求和交叉任职规定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40" w:lineRule="exact"/>
              <w:jc w:val="center"/>
              <w:rPr>
                <w:szCs w:val="21"/>
              </w:rPr>
            </w:pPr>
            <w:r>
              <w:rPr>
                <w:szCs w:val="21"/>
              </w:rPr>
              <w:t>权利义务</w:t>
            </w:r>
          </w:p>
        </w:tc>
        <w:tc>
          <w:tcPr>
            <w:tcW w:w="5395" w:type="dxa"/>
            <w:vAlign w:val="center"/>
          </w:tcPr>
          <w:p>
            <w:pPr>
              <w:spacing w:line="440" w:lineRule="exact"/>
              <w:rPr>
                <w:szCs w:val="21"/>
              </w:rPr>
            </w:pPr>
            <w:r>
              <w:rPr>
                <w:szCs w:val="21"/>
              </w:rPr>
              <w:t>符合第四章“合同条款及格式”规定的权利义务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56" w:type="dxa"/>
            <w:vMerge w:val="continue"/>
            <w:vAlign w:val="center"/>
          </w:tcPr>
          <w:p>
            <w:pPr>
              <w:spacing w:line="440" w:lineRule="exact"/>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40" w:lineRule="exact"/>
              <w:jc w:val="center"/>
              <w:rPr>
                <w:szCs w:val="21"/>
              </w:rPr>
            </w:pPr>
            <w:r>
              <w:rPr>
                <w:rFonts w:hint="eastAsia"/>
                <w:szCs w:val="21"/>
              </w:rPr>
              <w:t>技术要求</w:t>
            </w:r>
          </w:p>
        </w:tc>
        <w:tc>
          <w:tcPr>
            <w:tcW w:w="5395" w:type="dxa"/>
            <w:vAlign w:val="center"/>
          </w:tcPr>
          <w:p>
            <w:pPr>
              <w:spacing w:line="440" w:lineRule="exact"/>
              <w:rPr>
                <w:szCs w:val="21"/>
              </w:rPr>
            </w:pPr>
            <w:r>
              <w:rPr>
                <w:rFonts w:ascii="宋体" w:hAnsi="宋体"/>
              </w:rPr>
              <w:t>符合第五章</w:t>
            </w:r>
            <w:r>
              <w:rPr>
                <w:rFonts w:eastAsia="Times New Roman"/>
              </w:rPr>
              <w:t>“</w:t>
            </w:r>
            <w:r>
              <w:rPr>
                <w:rFonts w:ascii="宋体" w:hAnsi="宋体"/>
              </w:rPr>
              <w:t>发包人</w:t>
            </w:r>
            <w:r>
              <w:rPr>
                <w:rFonts w:hint="eastAsia" w:ascii="宋体" w:hAnsi="宋体"/>
              </w:rPr>
              <w:t>提供</w:t>
            </w:r>
            <w:r>
              <w:rPr>
                <w:rFonts w:ascii="宋体" w:hAnsi="宋体"/>
              </w:rPr>
              <w:t>的资料及要求</w:t>
            </w:r>
            <w:r>
              <w:rPr>
                <w:rFonts w:eastAsia="Times New Roman"/>
              </w:rPr>
              <w:t>”</w:t>
            </w:r>
            <w:r>
              <w:rPr>
                <w:rFonts w:ascii="宋体" w:hAnsi="宋体"/>
              </w:rPr>
              <w:t>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10" w:type="dxa"/>
            <w:gridSpan w:val="2"/>
            <w:vAlign w:val="center"/>
          </w:tcPr>
          <w:p>
            <w:pPr>
              <w:spacing w:line="440" w:lineRule="exact"/>
              <w:jc w:val="center"/>
              <w:rPr>
                <w:b/>
                <w:szCs w:val="21"/>
              </w:rPr>
            </w:pPr>
            <w:r>
              <w:rPr>
                <w:b/>
                <w:szCs w:val="21"/>
              </w:rPr>
              <w:t>条款号</w:t>
            </w:r>
          </w:p>
        </w:tc>
        <w:tc>
          <w:tcPr>
            <w:tcW w:w="1687" w:type="dxa"/>
            <w:vAlign w:val="center"/>
          </w:tcPr>
          <w:p>
            <w:pPr>
              <w:spacing w:line="440" w:lineRule="exact"/>
              <w:jc w:val="center"/>
              <w:rPr>
                <w:szCs w:val="21"/>
              </w:rPr>
            </w:pPr>
            <w:r>
              <w:rPr>
                <w:b/>
                <w:szCs w:val="21"/>
              </w:rPr>
              <w:t>条款内容</w:t>
            </w:r>
          </w:p>
        </w:tc>
        <w:tc>
          <w:tcPr>
            <w:tcW w:w="5395" w:type="dxa"/>
            <w:vAlign w:val="center"/>
          </w:tcPr>
          <w:p>
            <w:pPr>
              <w:spacing w:line="440" w:lineRule="exact"/>
              <w:jc w:val="center"/>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10" w:type="dxa"/>
            <w:gridSpan w:val="2"/>
            <w:vMerge w:val="restart"/>
            <w:vAlign w:val="center"/>
          </w:tcPr>
          <w:p>
            <w:pPr>
              <w:spacing w:line="440" w:lineRule="exact"/>
              <w:jc w:val="center"/>
              <w:rPr>
                <w:szCs w:val="21"/>
              </w:rPr>
            </w:pPr>
            <w:r>
              <w:rPr>
                <w:szCs w:val="21"/>
              </w:rPr>
              <w:t>2.2.1</w:t>
            </w:r>
          </w:p>
        </w:tc>
        <w:tc>
          <w:tcPr>
            <w:tcW w:w="1687" w:type="dxa"/>
            <w:vAlign w:val="center"/>
          </w:tcPr>
          <w:p>
            <w:pPr>
              <w:spacing w:line="440" w:lineRule="exact"/>
              <w:jc w:val="center"/>
              <w:rPr>
                <w:szCs w:val="21"/>
              </w:rPr>
            </w:pPr>
            <w:r>
              <w:rPr>
                <w:rFonts w:hint="eastAsia"/>
                <w:szCs w:val="21"/>
              </w:rPr>
              <w:t>评分权值</w:t>
            </w:r>
            <w:r>
              <w:rPr>
                <w:szCs w:val="21"/>
              </w:rPr>
              <w:t>构成</w:t>
            </w:r>
            <w:r>
              <w:rPr>
                <w:rFonts w:hint="eastAsia"/>
                <w:szCs w:val="21"/>
              </w:rPr>
              <w:t>及评标基础得分</w:t>
            </w:r>
          </w:p>
          <w:p>
            <w:pPr>
              <w:spacing w:line="440" w:lineRule="exact"/>
              <w:jc w:val="center"/>
              <w:rPr>
                <w:szCs w:val="21"/>
              </w:rPr>
            </w:pPr>
            <w:r>
              <w:rPr>
                <w:rFonts w:hint="eastAsia"/>
                <w:szCs w:val="21"/>
              </w:rPr>
              <w:t>（合计</w:t>
            </w:r>
            <w:r>
              <w:rPr>
                <w:szCs w:val="21"/>
              </w:rPr>
              <w:t>100分</w:t>
            </w:r>
            <w:r>
              <w:rPr>
                <w:rFonts w:hint="eastAsia"/>
                <w:szCs w:val="21"/>
              </w:rPr>
              <w:t>）</w:t>
            </w:r>
          </w:p>
        </w:tc>
        <w:tc>
          <w:tcPr>
            <w:tcW w:w="5395" w:type="dxa"/>
            <w:vAlign w:val="center"/>
          </w:tcPr>
          <w:p>
            <w:pPr>
              <w:pStyle w:val="2"/>
              <w:snapToGrid w:val="0"/>
              <w:spacing w:line="300" w:lineRule="exact"/>
              <w:rPr>
                <w:rFonts w:asciiTheme="minorHAnsi" w:hAnsiTheme="minorHAnsi" w:eastAsiaTheme="minorEastAsia" w:cstheme="minorBidi"/>
                <w:b w:val="0"/>
                <w:bCs w:val="0"/>
                <w:kern w:val="2"/>
              </w:rPr>
            </w:pPr>
            <w:r>
              <w:rPr>
                <w:rFonts w:hint="eastAsia" w:asciiTheme="minorHAnsi" w:hAnsiTheme="minorHAnsi"/>
                <w:b w:val="0"/>
              </w:rPr>
              <w:t>项目管理：</w:t>
            </w:r>
            <w:r>
              <w:rPr>
                <w:rFonts w:asciiTheme="minorHAnsi" w:hAnsiTheme="minorHAnsi"/>
                <w:b w:val="0"/>
                <w:u w:val="single"/>
              </w:rPr>
              <w:t xml:space="preserve">35 </w:t>
            </w:r>
            <w:r>
              <w:rPr>
                <w:rFonts w:asciiTheme="minorHAnsi" w:hAnsiTheme="minorHAnsi"/>
                <w:b w:val="0"/>
              </w:rPr>
              <w:t>%</w:t>
            </w:r>
            <w:r>
              <w:rPr>
                <w:rFonts w:hint="eastAsia" w:asciiTheme="minorHAnsi" w:hAnsiTheme="minorHAnsi"/>
                <w:b w:val="0"/>
              </w:rPr>
              <w:t>；可行性研究报告编制：</w:t>
            </w:r>
            <w:r>
              <w:rPr>
                <w:rFonts w:asciiTheme="minorHAnsi" w:hAnsiTheme="minorHAnsi"/>
                <w:b w:val="0"/>
                <w:u w:val="single"/>
              </w:rPr>
              <w:t>20</w:t>
            </w:r>
            <w:r>
              <w:rPr>
                <w:rFonts w:asciiTheme="minorHAnsi" w:hAnsiTheme="minorHAnsi"/>
                <w:b w:val="0"/>
              </w:rPr>
              <w:t xml:space="preserve">% </w:t>
            </w:r>
            <w:r>
              <w:rPr>
                <w:rFonts w:hint="eastAsia" w:asciiTheme="minorHAnsi" w:hAnsiTheme="minorHAnsi"/>
                <w:b w:val="0"/>
              </w:rPr>
              <w:t>；勘察：</w:t>
            </w:r>
            <w:r>
              <w:rPr>
                <w:rFonts w:asciiTheme="minorHAnsi" w:hAnsiTheme="minorHAnsi"/>
                <w:b w:val="0"/>
              </w:rPr>
              <w:t xml:space="preserve"> </w:t>
            </w:r>
            <w:r>
              <w:rPr>
                <w:rFonts w:asciiTheme="minorHAnsi" w:hAnsiTheme="minorHAnsi"/>
                <w:b w:val="0"/>
                <w:u w:val="single"/>
              </w:rPr>
              <w:t xml:space="preserve">15 </w:t>
            </w:r>
            <w:r>
              <w:rPr>
                <w:rFonts w:asciiTheme="minorHAnsi" w:hAnsiTheme="minorHAnsi"/>
                <w:b w:val="0"/>
              </w:rPr>
              <w:t xml:space="preserve">% </w:t>
            </w:r>
            <w:r>
              <w:rPr>
                <w:rFonts w:hint="eastAsia" w:asciiTheme="minorHAnsi" w:hAnsiTheme="minorHAnsi"/>
                <w:b w:val="0"/>
              </w:rPr>
              <w:t>；造价咨询：</w:t>
            </w:r>
            <w:r>
              <w:rPr>
                <w:rFonts w:asciiTheme="minorHAnsi" w:hAnsiTheme="minorHAnsi"/>
                <w:b w:val="0"/>
                <w:u w:val="single"/>
              </w:rPr>
              <w:t xml:space="preserve">15 </w:t>
            </w:r>
            <w:r>
              <w:rPr>
                <w:rFonts w:asciiTheme="minorHAnsi" w:hAnsiTheme="minorHAnsi"/>
                <w:b w:val="0"/>
              </w:rPr>
              <w:t xml:space="preserve">% </w:t>
            </w:r>
            <w:r>
              <w:rPr>
                <w:rFonts w:hint="eastAsia" w:asciiTheme="minorHAnsi" w:hAnsiTheme="minorHAnsi"/>
                <w:b w:val="0"/>
              </w:rPr>
              <w:t>；招标代理：</w:t>
            </w:r>
            <w:r>
              <w:rPr>
                <w:rFonts w:asciiTheme="minorHAnsi" w:hAnsiTheme="minorHAnsi"/>
                <w:b w:val="0"/>
                <w:u w:val="single"/>
              </w:rPr>
              <w:t>15</w:t>
            </w:r>
            <w:r>
              <w:rPr>
                <w:rFonts w:asciiTheme="minorHAnsi" w:hAnsiTheme="minorHAnsi"/>
                <w:b w:val="0"/>
              </w:rPr>
              <w:t xml:space="preserve">% </w:t>
            </w:r>
            <w:r>
              <w:rPr>
                <w:rFonts w:hint="eastAsia" w:asciiTheme="minorHAnsi" w:hAnsiTheme="minorHAnsi"/>
                <w:b w:val="0"/>
              </w:rPr>
              <w:t>。</w:t>
            </w:r>
            <w:r>
              <w:rPr>
                <w:rFonts w:hint="eastAsia"/>
                <w:b w:val="0"/>
              </w:rPr>
              <w:t>（</w:t>
            </w:r>
            <w:r>
              <w:rPr>
                <w:rFonts w:hint="eastAsia"/>
                <w:b w:val="0"/>
                <w:i/>
              </w:rPr>
              <w:t>以上权值可根据项目特点上下浮动</w:t>
            </w:r>
            <w:r>
              <w:rPr>
                <w:rFonts w:hint="eastAsia" w:asciiTheme="minorHAnsi" w:hAnsiTheme="minorHAnsi"/>
                <w:b w:val="0"/>
                <w:u w:val="single"/>
              </w:rPr>
              <w:t>5%</w:t>
            </w:r>
            <w:r>
              <w:rPr>
                <w:rFonts w:hint="eastAsia"/>
                <w:b w:val="0"/>
                <w:i/>
              </w:rPr>
              <w:t>，</w:t>
            </w:r>
            <w:r>
              <w:rPr>
                <w:rFonts w:hint="eastAsia" w:asciiTheme="minorHAnsi" w:hAnsiTheme="minorHAnsi" w:eastAsiaTheme="minorEastAsia" w:cstheme="minorBidi"/>
                <w:b w:val="0"/>
                <w:bCs w:val="0"/>
                <w:i/>
                <w:kern w:val="2"/>
              </w:rPr>
              <w:t>若招标内容调整，应适当调整各业务所占权值。</w:t>
            </w:r>
            <w:r>
              <w:rPr>
                <w:rFonts w:hint="eastAsia"/>
                <w:b w:val="0"/>
              </w:rPr>
              <w:t>）</w:t>
            </w:r>
          </w:p>
          <w:p>
            <w:pPr>
              <w:pStyle w:val="2"/>
              <w:snapToGrid w:val="0"/>
              <w:spacing w:line="300" w:lineRule="exact"/>
            </w:pPr>
            <w:r>
              <w:rPr>
                <w:rFonts w:hint="eastAsia" w:asciiTheme="minorHAnsi" w:hAnsiTheme="minorHAnsi" w:eastAsiaTheme="minorEastAsia" w:cstheme="minorBidi"/>
                <w:b w:val="0"/>
                <w:bCs w:val="0"/>
                <w:kern w:val="2"/>
              </w:rPr>
              <w:t>评标基础得分</w:t>
            </w:r>
            <w:r>
              <w:rPr>
                <w:rFonts w:asciiTheme="minorHAnsi" w:hAnsiTheme="minorHAnsi" w:eastAsiaTheme="minorEastAsia" w:cstheme="minorBidi"/>
                <w:b w:val="0"/>
                <w:bCs w:val="0"/>
                <w:kern w:val="2"/>
              </w:rPr>
              <w:t>=</w:t>
            </w:r>
            <w:r>
              <w:rPr>
                <w:rFonts w:hint="eastAsia" w:asciiTheme="minorHAnsi" w:hAnsiTheme="minorHAnsi" w:eastAsiaTheme="minorEastAsia" w:cstheme="minorBidi"/>
                <w:b w:val="0"/>
                <w:bCs w:val="0"/>
                <w:kern w:val="2"/>
              </w:rPr>
              <w:t>项目管理得分</w:t>
            </w:r>
            <w:r>
              <w:rPr>
                <w:rFonts w:asciiTheme="minorHAnsi" w:hAnsiTheme="minorHAnsi" w:eastAsiaTheme="minorEastAsia" w:cstheme="minorBidi"/>
                <w:b w:val="0"/>
                <w:bCs w:val="0"/>
                <w:kern w:val="2"/>
              </w:rPr>
              <w:t>*</w:t>
            </w:r>
            <w:r>
              <w:rPr>
                <w:rFonts w:hint="eastAsia" w:asciiTheme="minorHAnsi" w:hAnsiTheme="minorHAnsi" w:eastAsiaTheme="minorEastAsia" w:cstheme="minorBidi"/>
                <w:b w:val="0"/>
                <w:bCs w:val="0"/>
                <w:kern w:val="2"/>
              </w:rPr>
              <w:t>权值</w:t>
            </w:r>
            <w:r>
              <w:rPr>
                <w:rFonts w:asciiTheme="minorHAnsi" w:hAnsiTheme="minorHAnsi" w:eastAsiaTheme="minorEastAsia" w:cstheme="minorBidi"/>
                <w:b w:val="0"/>
                <w:bCs w:val="0"/>
                <w:kern w:val="2"/>
              </w:rPr>
              <w:t>+</w:t>
            </w:r>
            <w:r>
              <w:rPr>
                <w:rFonts w:hint="eastAsia" w:asciiTheme="minorHAnsi" w:hAnsiTheme="minorHAnsi" w:eastAsiaTheme="minorEastAsia" w:cstheme="minorBidi"/>
                <w:b w:val="0"/>
                <w:bCs w:val="0"/>
                <w:kern w:val="2"/>
              </w:rPr>
              <w:t>可行性研究报告编制得分</w:t>
            </w:r>
            <w:r>
              <w:rPr>
                <w:rFonts w:asciiTheme="minorHAnsi" w:hAnsiTheme="minorHAnsi" w:eastAsiaTheme="minorEastAsia" w:cstheme="minorBidi"/>
                <w:b w:val="0"/>
                <w:bCs w:val="0"/>
                <w:kern w:val="2"/>
              </w:rPr>
              <w:t>*</w:t>
            </w:r>
            <w:r>
              <w:rPr>
                <w:rFonts w:hint="eastAsia" w:asciiTheme="minorHAnsi" w:hAnsiTheme="minorHAnsi" w:eastAsiaTheme="minorEastAsia" w:cstheme="minorBidi"/>
                <w:b w:val="0"/>
                <w:bCs w:val="0"/>
                <w:kern w:val="2"/>
              </w:rPr>
              <w:t>权值</w:t>
            </w:r>
            <w:r>
              <w:rPr>
                <w:rFonts w:asciiTheme="minorHAnsi" w:hAnsiTheme="minorHAnsi" w:eastAsiaTheme="minorEastAsia" w:cstheme="minorBidi"/>
                <w:b w:val="0"/>
                <w:bCs w:val="0"/>
                <w:kern w:val="2"/>
              </w:rPr>
              <w:t>+</w:t>
            </w:r>
            <w:r>
              <w:rPr>
                <w:rFonts w:hint="eastAsia" w:asciiTheme="minorHAnsi" w:hAnsiTheme="minorHAnsi" w:eastAsiaTheme="minorEastAsia" w:cstheme="minorBidi"/>
                <w:b w:val="0"/>
                <w:bCs w:val="0"/>
                <w:kern w:val="2"/>
              </w:rPr>
              <w:t>勘察得分</w:t>
            </w:r>
            <w:r>
              <w:rPr>
                <w:rFonts w:asciiTheme="minorHAnsi" w:hAnsiTheme="minorHAnsi" w:eastAsiaTheme="minorEastAsia" w:cstheme="minorBidi"/>
                <w:b w:val="0"/>
                <w:bCs w:val="0"/>
                <w:kern w:val="2"/>
              </w:rPr>
              <w:t>*</w:t>
            </w:r>
            <w:r>
              <w:rPr>
                <w:rFonts w:hint="eastAsia" w:asciiTheme="minorHAnsi" w:hAnsiTheme="minorHAnsi" w:eastAsiaTheme="minorEastAsia" w:cstheme="minorBidi"/>
                <w:b w:val="0"/>
                <w:bCs w:val="0"/>
                <w:kern w:val="2"/>
              </w:rPr>
              <w:t>权值</w:t>
            </w:r>
            <w:r>
              <w:rPr>
                <w:rFonts w:asciiTheme="minorHAnsi" w:hAnsiTheme="minorHAnsi" w:eastAsiaTheme="minorEastAsia" w:cstheme="minorBidi"/>
                <w:b w:val="0"/>
                <w:bCs w:val="0"/>
                <w:kern w:val="2"/>
              </w:rPr>
              <w:t>+</w:t>
            </w:r>
            <w:r>
              <w:rPr>
                <w:rFonts w:hint="eastAsia" w:asciiTheme="minorHAnsi" w:hAnsiTheme="minorHAnsi" w:eastAsiaTheme="minorEastAsia" w:cstheme="minorBidi"/>
                <w:b w:val="0"/>
                <w:bCs w:val="0"/>
                <w:kern w:val="2"/>
              </w:rPr>
              <w:t>造价咨询得分</w:t>
            </w:r>
            <w:r>
              <w:rPr>
                <w:rFonts w:asciiTheme="minorHAnsi" w:hAnsiTheme="minorHAnsi" w:eastAsiaTheme="minorEastAsia" w:cstheme="minorBidi"/>
                <w:b w:val="0"/>
                <w:bCs w:val="0"/>
                <w:kern w:val="2"/>
              </w:rPr>
              <w:t>*</w:t>
            </w:r>
            <w:r>
              <w:rPr>
                <w:rFonts w:hint="eastAsia" w:asciiTheme="minorHAnsi" w:hAnsiTheme="minorHAnsi" w:eastAsiaTheme="minorEastAsia" w:cstheme="minorBidi"/>
                <w:b w:val="0"/>
                <w:bCs w:val="0"/>
                <w:kern w:val="2"/>
              </w:rPr>
              <w:t>权值</w:t>
            </w:r>
            <w:r>
              <w:rPr>
                <w:rFonts w:asciiTheme="minorHAnsi" w:hAnsiTheme="minorHAnsi" w:eastAsiaTheme="minorEastAsia" w:cstheme="minorBidi"/>
                <w:b w:val="0"/>
                <w:bCs w:val="0"/>
                <w:kern w:val="2"/>
              </w:rPr>
              <w:t>+</w:t>
            </w:r>
            <w:r>
              <w:rPr>
                <w:rFonts w:hint="eastAsia" w:asciiTheme="minorHAnsi" w:hAnsiTheme="minorHAnsi" w:eastAsiaTheme="minorEastAsia" w:cstheme="minorBidi"/>
                <w:b w:val="0"/>
                <w:bCs w:val="0"/>
                <w:kern w:val="2"/>
              </w:rPr>
              <w:t>招标代理得分</w:t>
            </w:r>
            <w:r>
              <w:rPr>
                <w:rFonts w:asciiTheme="minorHAnsi" w:hAnsiTheme="minorHAnsi" w:eastAsiaTheme="minorEastAsia" w:cstheme="minorBidi"/>
                <w:b w:val="0"/>
                <w:bCs w:val="0"/>
                <w:kern w:val="2"/>
              </w:rPr>
              <w:t>*</w:t>
            </w:r>
            <w:r>
              <w:rPr>
                <w:rFonts w:hint="eastAsia" w:asciiTheme="minorHAnsi" w:hAnsiTheme="minorHAnsi" w:eastAsiaTheme="minorEastAsia" w:cstheme="minorBidi"/>
                <w:b w:val="0"/>
                <w:bCs w:val="0"/>
                <w:kern w:val="2"/>
              </w:rPr>
              <w:t>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310" w:type="dxa"/>
            <w:gridSpan w:val="2"/>
            <w:vMerge w:val="continue"/>
            <w:vAlign w:val="center"/>
          </w:tcPr>
          <w:p/>
        </w:tc>
        <w:tc>
          <w:tcPr>
            <w:tcW w:w="1687" w:type="dxa"/>
            <w:vAlign w:val="center"/>
          </w:tcPr>
          <w:p>
            <w:pPr>
              <w:jc w:val="center"/>
            </w:pPr>
            <w:r>
              <w:rPr>
                <w:rFonts w:hint="eastAsia"/>
              </w:rPr>
              <w:t>监管评价等级</w:t>
            </w:r>
          </w:p>
          <w:p>
            <w:pPr>
              <w:jc w:val="center"/>
            </w:pPr>
            <w:r>
              <w:rPr>
                <w:rFonts w:hint="eastAsia"/>
              </w:rPr>
              <w:t>得分（</w:t>
            </w:r>
            <w:r>
              <w:rPr>
                <w:rFonts w:hint="eastAsia"/>
                <w:szCs w:val="21"/>
              </w:rPr>
              <w:t>合计2</w:t>
            </w:r>
            <w:r>
              <w:rPr>
                <w:szCs w:val="21"/>
              </w:rPr>
              <w:t>分</w:t>
            </w:r>
            <w:r>
              <w:rPr>
                <w:rFonts w:hint="eastAsia"/>
                <w:szCs w:val="21"/>
              </w:rPr>
              <w:t>）</w:t>
            </w:r>
          </w:p>
        </w:tc>
        <w:tc>
          <w:tcPr>
            <w:tcW w:w="5395" w:type="dxa"/>
            <w:vAlign w:val="center"/>
          </w:tcPr>
          <w:p>
            <w:r>
              <w:rPr>
                <w:rFonts w:hint="eastAsia"/>
              </w:rPr>
              <w:t>在评标委员会评标基础得分上，对代建单位最近一次监管评价等级为A级的加2分，B级的加1分，C级的不予加减。</w:t>
            </w:r>
            <w:r>
              <w:rPr>
                <w:rFonts w:hint="eastAsia"/>
                <w:szCs w:val="21"/>
              </w:rPr>
              <w:t>投标人为联合体时，以牵头单位的监管评价等级作为加分依据。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310" w:type="dxa"/>
            <w:gridSpan w:val="2"/>
            <w:vAlign w:val="center"/>
          </w:tcPr>
          <w:p>
            <w:pPr>
              <w:spacing w:line="440" w:lineRule="exact"/>
              <w:jc w:val="center"/>
              <w:rPr>
                <w:szCs w:val="21"/>
              </w:rPr>
            </w:pPr>
            <w:r>
              <w:rPr>
                <w:szCs w:val="21"/>
              </w:rPr>
              <w:t>2.2.2</w:t>
            </w:r>
          </w:p>
        </w:tc>
        <w:tc>
          <w:tcPr>
            <w:tcW w:w="1687" w:type="dxa"/>
            <w:vAlign w:val="center"/>
          </w:tcPr>
          <w:p>
            <w:pPr>
              <w:spacing w:line="440" w:lineRule="exact"/>
              <w:jc w:val="center"/>
              <w:rPr>
                <w:szCs w:val="21"/>
              </w:rPr>
            </w:pPr>
            <w:r>
              <w:rPr>
                <w:rFonts w:hint="eastAsia"/>
                <w:szCs w:val="21"/>
              </w:rPr>
              <w:t>总分值</w:t>
            </w:r>
            <w:r>
              <w:rPr>
                <w:szCs w:val="21"/>
              </w:rPr>
              <w:t>计算</w:t>
            </w:r>
            <w:r>
              <w:rPr>
                <w:rFonts w:hint="eastAsia"/>
                <w:szCs w:val="21"/>
              </w:rPr>
              <w:t>方法</w:t>
            </w:r>
          </w:p>
        </w:tc>
        <w:tc>
          <w:tcPr>
            <w:tcW w:w="5395" w:type="dxa"/>
            <w:vAlign w:val="center"/>
          </w:tcPr>
          <w:p>
            <w:pPr>
              <w:spacing w:line="440" w:lineRule="exact"/>
              <w:rPr>
                <w:szCs w:val="21"/>
              </w:rPr>
            </w:pPr>
            <w:r>
              <w:rPr>
                <w:rFonts w:hint="eastAsia"/>
                <w:szCs w:val="21"/>
              </w:rPr>
              <w:t>总分值=评标基础得分+</w:t>
            </w:r>
            <w:r>
              <w:rPr>
                <w:rFonts w:hint="eastAsia"/>
              </w:rPr>
              <w:t>监管评价等级得分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gridSpan w:val="2"/>
            <w:vAlign w:val="center"/>
          </w:tcPr>
          <w:p>
            <w:pPr>
              <w:spacing w:line="440" w:lineRule="exact"/>
              <w:jc w:val="center"/>
              <w:rPr>
                <w:szCs w:val="21"/>
              </w:rPr>
            </w:pPr>
            <w:r>
              <w:rPr>
                <w:szCs w:val="21"/>
              </w:rPr>
              <w:t>2.2.3</w:t>
            </w:r>
          </w:p>
        </w:tc>
        <w:tc>
          <w:tcPr>
            <w:tcW w:w="1687" w:type="dxa"/>
            <w:vAlign w:val="center"/>
          </w:tcPr>
          <w:p>
            <w:pPr>
              <w:spacing w:line="440" w:lineRule="exact"/>
              <w:jc w:val="center"/>
              <w:rPr>
                <w:szCs w:val="21"/>
              </w:rPr>
            </w:pPr>
            <w:r>
              <w:rPr>
                <w:szCs w:val="21"/>
              </w:rPr>
              <w:t>报价</w:t>
            </w:r>
            <w:r>
              <w:rPr>
                <w:rFonts w:hint="eastAsia"/>
                <w:szCs w:val="21"/>
              </w:rPr>
              <w:t>（下浮率）</w:t>
            </w:r>
            <w:r>
              <w:rPr>
                <w:szCs w:val="21"/>
              </w:rPr>
              <w:t>的偏差率</w:t>
            </w:r>
            <w:r>
              <w:rPr>
                <w:rFonts w:hint="eastAsia"/>
                <w:szCs w:val="21"/>
              </w:rPr>
              <w:t>计算</w:t>
            </w:r>
          </w:p>
          <w:p>
            <w:pPr>
              <w:spacing w:line="440" w:lineRule="exact"/>
              <w:jc w:val="center"/>
              <w:rPr>
                <w:szCs w:val="21"/>
              </w:rPr>
            </w:pPr>
            <w:r>
              <w:rPr>
                <w:rFonts w:hint="eastAsia"/>
                <w:szCs w:val="21"/>
              </w:rPr>
              <w:t>公式</w:t>
            </w:r>
          </w:p>
        </w:tc>
        <w:tc>
          <w:tcPr>
            <w:tcW w:w="5395" w:type="dxa"/>
            <w:vAlign w:val="center"/>
          </w:tcPr>
          <w:p>
            <w:pPr>
              <w:spacing w:line="440" w:lineRule="exact"/>
              <w:rPr>
                <w:szCs w:val="21"/>
              </w:rPr>
            </w:pPr>
            <w:r>
              <w:rPr>
                <w:rFonts w:hint="eastAsia"/>
                <w:szCs w:val="21"/>
              </w:rPr>
              <w:t>偏差率</w:t>
            </w:r>
            <w:r>
              <w:rPr>
                <w:szCs w:val="21"/>
              </w:rPr>
              <w:t>=100% ×（投标人报</w:t>
            </w:r>
            <w:r>
              <w:rPr>
                <w:rFonts w:ascii="宋体" w:hAnsi="宋体"/>
                <w:szCs w:val="21"/>
              </w:rPr>
              <w:t>价</w:t>
            </w:r>
            <w:r>
              <w:rPr>
                <w:rFonts w:hint="eastAsia" w:ascii="宋体" w:hAnsi="宋体"/>
                <w:szCs w:val="21"/>
              </w:rPr>
              <w:t>（下浮率）－</w:t>
            </w:r>
            <w:r>
              <w:rPr>
                <w:szCs w:val="21"/>
              </w:rPr>
              <w:t>评标基准价</w:t>
            </w:r>
            <w:r>
              <w:rPr>
                <w:rFonts w:hint="eastAsia"/>
                <w:szCs w:val="21"/>
              </w:rPr>
              <w:t>（下浮率）</w:t>
            </w:r>
            <w:r>
              <w:rPr>
                <w:szCs w:val="21"/>
              </w:rPr>
              <w:t>）/评标基准价</w:t>
            </w:r>
            <w:r>
              <w:rPr>
                <w:rFonts w:hint="eastAsia"/>
                <w:szCs w:val="21"/>
              </w:rPr>
              <w:t>（下浮率）</w:t>
            </w:r>
          </w:p>
        </w:tc>
      </w:tr>
    </w:tbl>
    <w:p>
      <w:r>
        <w:br w:type="page"/>
      </w:r>
    </w:p>
    <w:tbl>
      <w:tblPr>
        <w:tblStyle w:val="22"/>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423"/>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7" w:type="dxa"/>
            <w:gridSpan w:val="3"/>
            <w:vAlign w:val="center"/>
          </w:tcPr>
          <w:p>
            <w:pPr>
              <w:spacing w:line="440" w:lineRule="exact"/>
              <w:jc w:val="center"/>
              <w:rPr>
                <w:szCs w:val="21"/>
              </w:rPr>
            </w:pPr>
            <w:r>
              <w:rPr>
                <w:b/>
                <w:bCs/>
                <w:szCs w:val="21"/>
              </w:rPr>
              <w:t>2.2.4</w:t>
            </w:r>
            <w:r>
              <w:rPr>
                <w:rFonts w:hint="eastAsia"/>
                <w:b/>
                <w:bCs/>
                <w:szCs w:val="21"/>
              </w:rPr>
              <w:t>（</w:t>
            </w:r>
            <w:r>
              <w:rPr>
                <w:b/>
                <w:bCs/>
                <w:szCs w:val="21"/>
              </w:rPr>
              <w:t>1</w:t>
            </w:r>
            <w:r>
              <w:rPr>
                <w:rFonts w:hint="eastAsia"/>
                <w:b/>
                <w:bCs/>
                <w:szCs w:val="21"/>
              </w:rPr>
              <w:t>）项目管理（满分100分）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9" w:type="dxa"/>
            <w:vAlign w:val="center"/>
          </w:tcPr>
          <w:p>
            <w:pPr>
              <w:spacing w:line="440" w:lineRule="exact"/>
              <w:jc w:val="center"/>
              <w:rPr>
                <w:szCs w:val="21"/>
              </w:rPr>
            </w:pPr>
            <w:r>
              <w:rPr>
                <w:rFonts w:hint="eastAsia"/>
                <w:szCs w:val="21"/>
              </w:rPr>
              <w:t>序号</w:t>
            </w:r>
          </w:p>
        </w:tc>
        <w:tc>
          <w:tcPr>
            <w:tcW w:w="1418" w:type="dxa"/>
            <w:vAlign w:val="center"/>
          </w:tcPr>
          <w:p>
            <w:pPr>
              <w:spacing w:line="440" w:lineRule="exact"/>
              <w:jc w:val="center"/>
              <w:rPr>
                <w:szCs w:val="21"/>
              </w:rPr>
            </w:pPr>
            <w:r>
              <w:rPr>
                <w:szCs w:val="21"/>
              </w:rPr>
              <w:t>评分因素</w:t>
            </w:r>
          </w:p>
        </w:tc>
        <w:tc>
          <w:tcPr>
            <w:tcW w:w="6350" w:type="dxa"/>
            <w:vAlign w:val="center"/>
          </w:tcPr>
          <w:p>
            <w:pPr>
              <w:spacing w:line="440" w:lineRule="exact"/>
              <w:jc w:val="center"/>
              <w:rPr>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09" w:type="dxa"/>
            <w:vAlign w:val="center"/>
          </w:tcPr>
          <w:p>
            <w:pPr>
              <w:spacing w:line="440" w:lineRule="exact"/>
              <w:jc w:val="center"/>
              <w:rPr>
                <w:szCs w:val="21"/>
              </w:rPr>
            </w:pPr>
            <w:r>
              <w:rPr>
                <w:rFonts w:hint="eastAsia"/>
                <w:szCs w:val="21"/>
              </w:rPr>
              <w:t>1</w:t>
            </w:r>
          </w:p>
        </w:tc>
        <w:tc>
          <w:tcPr>
            <w:tcW w:w="1418" w:type="dxa"/>
            <w:vAlign w:val="center"/>
          </w:tcPr>
          <w:p>
            <w:pPr>
              <w:spacing w:line="440" w:lineRule="exact"/>
              <w:jc w:val="center"/>
              <w:rPr>
                <w:szCs w:val="21"/>
              </w:rPr>
            </w:pPr>
            <w:r>
              <w:rPr>
                <w:rFonts w:hint="eastAsia"/>
                <w:szCs w:val="21"/>
              </w:rPr>
              <w:t>投标报价</w:t>
            </w:r>
          </w:p>
          <w:p>
            <w:pPr>
              <w:spacing w:line="440" w:lineRule="exact"/>
              <w:jc w:val="center"/>
              <w:rPr>
                <w:szCs w:val="21"/>
              </w:rPr>
            </w:pPr>
            <w:r>
              <w:rPr>
                <w:rFonts w:hint="eastAsia"/>
                <w:szCs w:val="21"/>
              </w:rPr>
              <w:t>（下浮率）</w:t>
            </w:r>
          </w:p>
          <w:p>
            <w:pPr>
              <w:spacing w:line="440" w:lineRule="exact"/>
              <w:ind w:left="420" w:hanging="420"/>
              <w:jc w:val="center"/>
              <w:rPr>
                <w:szCs w:val="21"/>
              </w:rPr>
            </w:pPr>
            <w:r>
              <w:rPr>
                <w:rFonts w:hint="eastAsia"/>
                <w:szCs w:val="21"/>
              </w:rPr>
              <w:t>（满分30分）</w:t>
            </w:r>
          </w:p>
        </w:tc>
        <w:tc>
          <w:tcPr>
            <w:tcW w:w="6350" w:type="dxa"/>
            <w:vAlign w:val="center"/>
          </w:tcPr>
          <w:p>
            <w:pPr>
              <w:pStyle w:val="7"/>
              <w:spacing w:line="340" w:lineRule="exact"/>
              <w:ind w:firstLine="420" w:firstLineChars="200"/>
              <w:rPr>
                <w:rFonts w:asciiTheme="minorEastAsia" w:hAnsiTheme="minorEastAsia"/>
                <w:sz w:val="21"/>
                <w:szCs w:val="22"/>
              </w:rPr>
            </w:pPr>
            <w:r>
              <w:rPr>
                <w:rFonts w:hint="eastAsia" w:asciiTheme="minorEastAsia" w:hAnsiTheme="minorEastAsia"/>
                <w:sz w:val="21"/>
                <w:szCs w:val="22"/>
              </w:rPr>
              <w:t>以评标基准价（下浮率）为基础，当投标报价（下浮率）等于评标基准价（下浮率）时得满分，投标报价（下浮率）每增加</w:t>
            </w:r>
            <w:r>
              <w:rPr>
                <w:rFonts w:asciiTheme="minorEastAsia" w:hAnsiTheme="minorEastAsia"/>
                <w:sz w:val="21"/>
                <w:szCs w:val="22"/>
              </w:rPr>
              <w:t>1%扣0.03分，每减少1%扣0.06分，扣完为止。</w:t>
            </w:r>
          </w:p>
          <w:p>
            <w:pPr>
              <w:spacing w:line="340" w:lineRule="exact"/>
              <w:rPr>
                <w:rFonts w:asciiTheme="minorEastAsia" w:hAnsiTheme="minorEastAsia"/>
                <w:szCs w:val="22"/>
              </w:rPr>
            </w:pPr>
            <w:r>
              <w:rPr>
                <w:rFonts w:hint="eastAsia" w:asciiTheme="minorEastAsia" w:hAnsiTheme="minorEastAsia"/>
                <w:szCs w:val="22"/>
              </w:rPr>
              <w:t>评标基准价（下浮率）=各有效投标报价（下浮率）之和</w:t>
            </w:r>
            <w:r>
              <w:rPr>
                <w:rFonts w:hint="eastAsia" w:asciiTheme="minorEastAsia" w:hAnsiTheme="minorEastAsia"/>
              </w:rPr>
              <w:t>/</w:t>
            </w:r>
            <w:r>
              <w:rPr>
                <w:rFonts w:hint="eastAsia" w:asciiTheme="minorEastAsia" w:hAnsiTheme="minorEastAsia"/>
                <w:szCs w:val="22"/>
              </w:rPr>
              <w:t>有效投标单位个数。</w:t>
            </w:r>
          </w:p>
          <w:p>
            <w:pPr>
              <w:spacing w:line="340" w:lineRule="exact"/>
              <w:rPr>
                <w:rFonts w:asciiTheme="minorEastAsia" w:hAnsiTheme="minorEastAsia"/>
              </w:rPr>
            </w:pPr>
            <w:r>
              <w:rPr>
                <w:rFonts w:hint="eastAsia" w:asciiTheme="minorEastAsia" w:hAnsiTheme="minorEastAsia"/>
              </w:rPr>
              <w:t>投标人数量≤</w:t>
            </w:r>
            <w:r>
              <w:rPr>
                <w:rFonts w:asciiTheme="minorEastAsia" w:hAnsiTheme="minorEastAsia"/>
              </w:rPr>
              <w:t>5时，评标基准价采用全部有效投标报价计算；</w:t>
            </w:r>
          </w:p>
          <w:p>
            <w:pPr>
              <w:spacing w:line="340" w:lineRule="exact"/>
              <w:rPr>
                <w:rFonts w:asciiTheme="minorEastAsia" w:hAnsiTheme="minorEastAsia"/>
              </w:rPr>
            </w:pPr>
            <w:r>
              <w:rPr>
                <w:rFonts w:asciiTheme="minorEastAsia" w:hAnsiTheme="minorEastAsia"/>
              </w:rPr>
              <w:t>5＜投标人数量≤20时，评标基准价采用去除有效报价最高、最低各1个计算；</w:t>
            </w:r>
          </w:p>
          <w:p>
            <w:pPr>
              <w:spacing w:line="340" w:lineRule="exact"/>
              <w:rPr>
                <w:rFonts w:asciiTheme="minorEastAsia" w:hAnsiTheme="minorEastAsia"/>
              </w:rPr>
            </w:pPr>
            <w:r>
              <w:rPr>
                <w:rFonts w:hint="eastAsia" w:asciiTheme="minorEastAsia" w:hAnsiTheme="minorEastAsia"/>
              </w:rPr>
              <w:t>投标人数量＞</w:t>
            </w:r>
            <w:r>
              <w:rPr>
                <w:rFonts w:asciiTheme="minorEastAsia" w:hAnsiTheme="minorEastAsia"/>
              </w:rPr>
              <w:t>20时，评标基准价采用去除有效报价最高、最低各2个计算。</w:t>
            </w:r>
          </w:p>
          <w:p>
            <w:pPr>
              <w:spacing w:line="340" w:lineRule="exact"/>
              <w:jc w:val="left"/>
              <w:rPr>
                <w:rFonts w:asciiTheme="minorEastAsia" w:hAnsiTheme="minorEastAsia"/>
              </w:rPr>
            </w:pPr>
            <w:r>
              <w:rPr>
                <w:rFonts w:asciiTheme="minorEastAsia" w:hAnsiTheme="minorEastAsia"/>
              </w:rPr>
              <w:t>计算</w:t>
            </w:r>
            <w:r>
              <w:rPr>
                <w:rFonts w:hint="eastAsia" w:asciiTheme="minorEastAsia" w:hAnsiTheme="minorEastAsia"/>
              </w:rPr>
              <w:t>公式如下：</w:t>
            </w:r>
          </w:p>
          <w:p>
            <w:pPr>
              <w:spacing w:line="340" w:lineRule="exact"/>
              <w:jc w:val="left"/>
            </w:pPr>
            <w:r>
              <w:rPr>
                <w:rFonts w:hint="eastAsia"/>
              </w:rPr>
              <w:t>①当投标报价大于基准价</w:t>
            </w:r>
            <w:r>
              <w:rPr>
                <w:rFonts w:hint="eastAsia"/>
                <w:szCs w:val="22"/>
              </w:rPr>
              <w:t>（下浮率）</w:t>
            </w:r>
            <w:r>
              <w:rPr>
                <w:rFonts w:hint="eastAsia"/>
              </w:rPr>
              <w:t>时，报价得分</w:t>
            </w:r>
            <w:r>
              <w:t>=30-</w:t>
            </w:r>
            <w:r>
              <w:rPr>
                <w:rFonts w:hint="eastAsia"/>
              </w:rPr>
              <w:t>（投标报价</w:t>
            </w:r>
            <w:r>
              <w:rPr>
                <w:rFonts w:hint="eastAsia"/>
                <w:szCs w:val="22"/>
              </w:rPr>
              <w:t>（下浮率）－</w:t>
            </w:r>
            <w:r>
              <w:rPr>
                <w:rFonts w:hint="eastAsia"/>
              </w:rPr>
              <w:t>基准价</w:t>
            </w:r>
            <w:r>
              <w:rPr>
                <w:rFonts w:hint="eastAsia"/>
                <w:szCs w:val="22"/>
              </w:rPr>
              <w:t>（下浮率）</w:t>
            </w:r>
            <w:r>
              <w:rPr>
                <w:rFonts w:hint="eastAsia"/>
              </w:rPr>
              <w:t>）</w:t>
            </w:r>
            <w:r>
              <w:t>/</w:t>
            </w:r>
            <w:r>
              <w:rPr>
                <w:rFonts w:hint="eastAsia"/>
              </w:rPr>
              <w:t>基准价</w:t>
            </w:r>
            <w:r>
              <w:rPr>
                <w:rFonts w:hint="eastAsia"/>
                <w:szCs w:val="22"/>
              </w:rPr>
              <w:t>（下浮率）</w:t>
            </w:r>
            <w:r>
              <w:t>*</w:t>
            </w:r>
            <w:r>
              <w:rPr>
                <w:szCs w:val="22"/>
              </w:rPr>
              <w:t>0.03</w:t>
            </w:r>
            <w:r>
              <w:t>*100</w:t>
            </w:r>
            <w:r>
              <w:rPr>
                <w:rFonts w:hint="eastAsia"/>
              </w:rPr>
              <w:t>；</w:t>
            </w:r>
          </w:p>
          <w:p>
            <w:pPr>
              <w:spacing w:line="340" w:lineRule="exact"/>
              <w:jc w:val="left"/>
              <w:rPr>
                <w:szCs w:val="21"/>
              </w:rPr>
            </w:pPr>
            <w:r>
              <w:rPr>
                <w:rFonts w:hint="eastAsia"/>
              </w:rPr>
              <w:t>②当投标报价小于基准价</w:t>
            </w:r>
            <w:r>
              <w:rPr>
                <w:rFonts w:hint="eastAsia"/>
                <w:szCs w:val="22"/>
              </w:rPr>
              <w:t>（下浮率）</w:t>
            </w:r>
            <w:r>
              <w:rPr>
                <w:rFonts w:hint="eastAsia"/>
              </w:rPr>
              <w:t>时，报价得分</w:t>
            </w:r>
            <w:r>
              <w:t>=30-</w:t>
            </w:r>
            <w:r>
              <w:rPr>
                <w:rFonts w:hint="eastAsia"/>
              </w:rPr>
              <w:t>（基准价</w:t>
            </w:r>
            <w:r>
              <w:rPr>
                <w:rFonts w:hint="eastAsia"/>
                <w:szCs w:val="22"/>
              </w:rPr>
              <w:t>（下浮率）－</w:t>
            </w:r>
            <w:r>
              <w:rPr>
                <w:rFonts w:hint="eastAsia"/>
              </w:rPr>
              <w:t>投标报价</w:t>
            </w:r>
            <w:r>
              <w:rPr>
                <w:rFonts w:hint="eastAsia"/>
                <w:szCs w:val="22"/>
              </w:rPr>
              <w:t>（下浮率）</w:t>
            </w:r>
            <w:r>
              <w:rPr>
                <w:rFonts w:hint="eastAsia"/>
              </w:rPr>
              <w:t>）</w:t>
            </w:r>
            <w:r>
              <w:t>/</w:t>
            </w:r>
            <w:r>
              <w:rPr>
                <w:rFonts w:hint="eastAsia"/>
              </w:rPr>
              <w:t>基准价</w:t>
            </w:r>
            <w:r>
              <w:rPr>
                <w:rFonts w:hint="eastAsia"/>
                <w:szCs w:val="22"/>
              </w:rPr>
              <w:t>（下浮率）</w:t>
            </w:r>
            <w:r>
              <w:t>*</w:t>
            </w:r>
            <w:r>
              <w:rPr>
                <w:szCs w:val="22"/>
              </w:rPr>
              <w:t>0.06</w:t>
            </w:r>
            <w:r>
              <w:t>*100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pPr>
              <w:spacing w:line="440" w:lineRule="exact"/>
              <w:jc w:val="center"/>
              <w:rPr>
                <w:szCs w:val="21"/>
              </w:rPr>
            </w:pPr>
            <w:r>
              <w:rPr>
                <w:rFonts w:hint="eastAsia"/>
                <w:szCs w:val="21"/>
              </w:rPr>
              <w:t>2</w:t>
            </w:r>
          </w:p>
        </w:tc>
        <w:tc>
          <w:tcPr>
            <w:tcW w:w="1418" w:type="dxa"/>
            <w:vMerge w:val="restart"/>
            <w:vAlign w:val="center"/>
          </w:tcPr>
          <w:p>
            <w:pPr>
              <w:snapToGrid w:val="0"/>
              <w:spacing w:line="300" w:lineRule="exact"/>
              <w:jc w:val="center"/>
              <w:rPr>
                <w:rFonts w:ascii="宋体" w:hAnsi="宋体"/>
              </w:rPr>
            </w:pPr>
            <w:r>
              <w:rPr>
                <w:rFonts w:hint="eastAsia"/>
                <w:szCs w:val="21"/>
              </w:rPr>
              <w:t>服务方案</w:t>
            </w:r>
          </w:p>
          <w:p>
            <w:pPr>
              <w:snapToGrid w:val="0"/>
              <w:spacing w:line="300" w:lineRule="exact"/>
              <w:jc w:val="center"/>
              <w:rPr>
                <w:szCs w:val="21"/>
              </w:rPr>
            </w:pPr>
            <w:r>
              <w:rPr>
                <w:rFonts w:hint="eastAsia"/>
                <w:szCs w:val="21"/>
              </w:rPr>
              <w:t>（满分30分）</w:t>
            </w:r>
          </w:p>
        </w:tc>
        <w:tc>
          <w:tcPr>
            <w:tcW w:w="6350" w:type="dxa"/>
          </w:tcPr>
          <w:p>
            <w:pPr>
              <w:snapToGrid w:val="0"/>
              <w:spacing w:line="300" w:lineRule="exact"/>
              <w:rPr>
                <w:szCs w:val="21"/>
              </w:rPr>
            </w:pPr>
            <w:r>
              <w:rPr>
                <w:rFonts w:hint="eastAsia"/>
                <w:szCs w:val="21"/>
              </w:rPr>
              <w:t>1整体方案：针对本项目整体管理思路，负责项目全过程内、外部关系协调，处理往来文件，对工程进度、质量、安全等管理措施进行横向对比，差别赋分（</w:t>
            </w:r>
            <w:r>
              <w:rPr>
                <w:szCs w:val="21"/>
              </w:rPr>
              <w:t>0</w:t>
            </w:r>
            <w:r>
              <w:rPr>
                <w:rFonts w:hint="eastAsia"/>
                <w:szCs w:val="21"/>
              </w:rPr>
              <w:t>-</w:t>
            </w:r>
            <w:r>
              <w:rPr>
                <w:szCs w:val="21"/>
              </w:rPr>
              <w:t>7</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7"/>
            </w:pPr>
          </w:p>
        </w:tc>
        <w:tc>
          <w:tcPr>
            <w:tcW w:w="1418" w:type="dxa"/>
            <w:vMerge w:val="continue"/>
            <w:vAlign w:val="center"/>
          </w:tcPr>
          <w:p>
            <w:pPr>
              <w:snapToGrid w:val="0"/>
              <w:spacing w:line="300" w:lineRule="exact"/>
              <w:jc w:val="center"/>
            </w:pPr>
          </w:p>
        </w:tc>
        <w:tc>
          <w:tcPr>
            <w:tcW w:w="6350" w:type="dxa"/>
          </w:tcPr>
          <w:p>
            <w:pPr>
              <w:snapToGrid w:val="0"/>
              <w:spacing w:line="320" w:lineRule="exact"/>
            </w:pPr>
            <w:r>
              <w:rPr>
                <w:rFonts w:hint="eastAsia"/>
                <w:szCs w:val="21"/>
              </w:rPr>
              <w:t>2代建管理目标、范围和内容：（</w:t>
            </w:r>
            <w:r>
              <w:rPr>
                <w:szCs w:val="21"/>
              </w:rPr>
              <w:t>0</w:t>
            </w:r>
            <w:r>
              <w:rPr>
                <w:rFonts w:hint="eastAsia"/>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7"/>
            </w:pPr>
          </w:p>
        </w:tc>
        <w:tc>
          <w:tcPr>
            <w:tcW w:w="1418" w:type="dxa"/>
            <w:vMerge w:val="continue"/>
            <w:vAlign w:val="center"/>
          </w:tcPr>
          <w:p>
            <w:pPr>
              <w:snapToGrid w:val="0"/>
              <w:spacing w:line="300" w:lineRule="exact"/>
              <w:jc w:val="center"/>
            </w:pPr>
          </w:p>
        </w:tc>
        <w:tc>
          <w:tcPr>
            <w:tcW w:w="6350" w:type="dxa"/>
          </w:tcPr>
          <w:p>
            <w:pPr>
              <w:snapToGrid w:val="0"/>
              <w:spacing w:line="320" w:lineRule="exact"/>
            </w:pPr>
            <w:r>
              <w:rPr>
                <w:rFonts w:hint="eastAsia"/>
                <w:szCs w:val="21"/>
              </w:rPr>
              <w:t>3项目前期管理：（</w:t>
            </w:r>
            <w:r>
              <w:rPr>
                <w:szCs w:val="21"/>
              </w:rPr>
              <w:t>0</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7"/>
            </w:pPr>
          </w:p>
        </w:tc>
        <w:tc>
          <w:tcPr>
            <w:tcW w:w="1418" w:type="dxa"/>
            <w:vMerge w:val="continue"/>
            <w:vAlign w:val="center"/>
          </w:tcPr>
          <w:p>
            <w:pPr>
              <w:snapToGrid w:val="0"/>
              <w:spacing w:line="300" w:lineRule="exact"/>
              <w:jc w:val="center"/>
            </w:pPr>
          </w:p>
        </w:tc>
        <w:tc>
          <w:tcPr>
            <w:tcW w:w="6350" w:type="dxa"/>
          </w:tcPr>
          <w:p>
            <w:pPr>
              <w:snapToGrid w:val="0"/>
              <w:spacing w:line="320" w:lineRule="exact"/>
            </w:pPr>
            <w:r>
              <w:rPr>
                <w:rFonts w:hint="eastAsia"/>
                <w:szCs w:val="21"/>
              </w:rPr>
              <w:t>4投资控制：（</w:t>
            </w:r>
            <w:r>
              <w:rPr>
                <w:szCs w:val="21"/>
              </w:rPr>
              <w:t>0</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7"/>
            </w:pPr>
          </w:p>
        </w:tc>
        <w:tc>
          <w:tcPr>
            <w:tcW w:w="1418" w:type="dxa"/>
            <w:vMerge w:val="continue"/>
            <w:vAlign w:val="center"/>
          </w:tcPr>
          <w:p>
            <w:pPr>
              <w:snapToGrid w:val="0"/>
              <w:spacing w:line="300" w:lineRule="exact"/>
              <w:jc w:val="center"/>
            </w:pPr>
          </w:p>
        </w:tc>
        <w:tc>
          <w:tcPr>
            <w:tcW w:w="6350" w:type="dxa"/>
          </w:tcPr>
          <w:p>
            <w:pPr>
              <w:snapToGrid w:val="0"/>
              <w:spacing w:line="320" w:lineRule="exact"/>
            </w:pPr>
            <w:r>
              <w:rPr>
                <w:rFonts w:hint="eastAsia"/>
                <w:szCs w:val="21"/>
              </w:rPr>
              <w:t>5质量控制：（</w:t>
            </w:r>
            <w:r>
              <w:rPr>
                <w:szCs w:val="21"/>
              </w:rPr>
              <w:t>0</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7"/>
            </w:pPr>
          </w:p>
        </w:tc>
        <w:tc>
          <w:tcPr>
            <w:tcW w:w="1418" w:type="dxa"/>
            <w:vMerge w:val="continue"/>
            <w:vAlign w:val="center"/>
          </w:tcPr>
          <w:p>
            <w:pPr>
              <w:snapToGrid w:val="0"/>
              <w:spacing w:line="300" w:lineRule="exact"/>
              <w:jc w:val="center"/>
            </w:pPr>
          </w:p>
        </w:tc>
        <w:tc>
          <w:tcPr>
            <w:tcW w:w="6350" w:type="dxa"/>
          </w:tcPr>
          <w:p>
            <w:pPr>
              <w:snapToGrid w:val="0"/>
              <w:spacing w:line="320" w:lineRule="exact"/>
            </w:pPr>
            <w:r>
              <w:rPr>
                <w:rFonts w:hint="eastAsia"/>
                <w:szCs w:val="21"/>
              </w:rPr>
              <w:t>6安全、环境保护与职业健康管理：（</w:t>
            </w:r>
            <w:r>
              <w:rPr>
                <w:szCs w:val="21"/>
              </w:rPr>
              <w:t>0</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7"/>
            </w:pPr>
          </w:p>
        </w:tc>
        <w:tc>
          <w:tcPr>
            <w:tcW w:w="1418" w:type="dxa"/>
            <w:vMerge w:val="continue"/>
            <w:vAlign w:val="center"/>
          </w:tcPr>
          <w:p>
            <w:pPr>
              <w:snapToGrid w:val="0"/>
              <w:spacing w:line="300" w:lineRule="exact"/>
              <w:jc w:val="center"/>
            </w:pPr>
          </w:p>
        </w:tc>
        <w:tc>
          <w:tcPr>
            <w:tcW w:w="6350" w:type="dxa"/>
          </w:tcPr>
          <w:p>
            <w:pPr>
              <w:snapToGrid w:val="0"/>
              <w:spacing w:line="320" w:lineRule="exact"/>
            </w:pPr>
            <w:r>
              <w:rPr>
                <w:rFonts w:hint="eastAsia"/>
                <w:szCs w:val="21"/>
              </w:rPr>
              <w:t>7进度控制：（</w:t>
            </w:r>
            <w:r>
              <w:rPr>
                <w:szCs w:val="21"/>
              </w:rPr>
              <w:t>0</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7"/>
            </w:pPr>
          </w:p>
        </w:tc>
        <w:tc>
          <w:tcPr>
            <w:tcW w:w="1418" w:type="dxa"/>
            <w:vMerge w:val="continue"/>
            <w:vAlign w:val="center"/>
          </w:tcPr>
          <w:p>
            <w:pPr>
              <w:snapToGrid w:val="0"/>
              <w:spacing w:line="300" w:lineRule="exact"/>
              <w:jc w:val="center"/>
            </w:pPr>
          </w:p>
        </w:tc>
        <w:tc>
          <w:tcPr>
            <w:tcW w:w="6350" w:type="dxa"/>
          </w:tcPr>
          <w:p>
            <w:pPr>
              <w:snapToGrid w:val="0"/>
              <w:spacing w:line="320" w:lineRule="exact"/>
            </w:pPr>
            <w:r>
              <w:rPr>
                <w:rFonts w:hint="eastAsia"/>
                <w:szCs w:val="21"/>
              </w:rPr>
              <w:t>8合同管理：（</w:t>
            </w:r>
            <w:r>
              <w:rPr>
                <w:szCs w:val="21"/>
              </w:rPr>
              <w:t>0</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7"/>
            </w:pPr>
          </w:p>
        </w:tc>
        <w:tc>
          <w:tcPr>
            <w:tcW w:w="1418" w:type="dxa"/>
            <w:vMerge w:val="continue"/>
            <w:vAlign w:val="center"/>
          </w:tcPr>
          <w:p>
            <w:pPr>
              <w:snapToGrid w:val="0"/>
              <w:spacing w:line="300" w:lineRule="exact"/>
              <w:jc w:val="center"/>
            </w:pPr>
          </w:p>
        </w:tc>
        <w:tc>
          <w:tcPr>
            <w:tcW w:w="6350" w:type="dxa"/>
          </w:tcPr>
          <w:p>
            <w:pPr>
              <w:snapToGrid w:val="0"/>
              <w:spacing w:line="320" w:lineRule="exact"/>
            </w:pPr>
            <w:r>
              <w:rPr>
                <w:rFonts w:hint="eastAsia"/>
                <w:szCs w:val="21"/>
              </w:rPr>
              <w:t>9风险管理：（</w:t>
            </w:r>
            <w:r>
              <w:rPr>
                <w:szCs w:val="21"/>
              </w:rPr>
              <w:t>0</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tc>
        <w:tc>
          <w:tcPr>
            <w:tcW w:w="1418" w:type="dxa"/>
            <w:vMerge w:val="continue"/>
            <w:vAlign w:val="center"/>
          </w:tcPr>
          <w:p>
            <w:pPr>
              <w:snapToGrid w:val="0"/>
              <w:spacing w:line="300" w:lineRule="exact"/>
              <w:jc w:val="center"/>
            </w:pPr>
          </w:p>
        </w:tc>
        <w:tc>
          <w:tcPr>
            <w:tcW w:w="6350" w:type="dxa"/>
          </w:tcPr>
          <w:p>
            <w:pPr>
              <w:snapToGrid w:val="0"/>
              <w:spacing w:line="320" w:lineRule="exact"/>
            </w:pPr>
            <w:r>
              <w:rPr>
                <w:rFonts w:hint="eastAsia"/>
                <w:szCs w:val="21"/>
              </w:rPr>
              <w:t>10信息管理与沟通协调：（</w:t>
            </w:r>
            <w:r>
              <w:rPr>
                <w:szCs w:val="21"/>
              </w:rPr>
              <w:t>0</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vAlign w:val="center"/>
          </w:tcPr>
          <w:p/>
        </w:tc>
        <w:tc>
          <w:tcPr>
            <w:tcW w:w="1418" w:type="dxa"/>
            <w:vMerge w:val="continue"/>
            <w:vAlign w:val="center"/>
          </w:tcPr>
          <w:p>
            <w:pPr>
              <w:snapToGrid w:val="0"/>
              <w:spacing w:line="300" w:lineRule="exact"/>
              <w:jc w:val="center"/>
            </w:pPr>
          </w:p>
        </w:tc>
        <w:tc>
          <w:tcPr>
            <w:tcW w:w="6350" w:type="dxa"/>
          </w:tcPr>
          <w:p>
            <w:pPr>
              <w:snapToGrid w:val="0"/>
              <w:spacing w:line="320" w:lineRule="exact"/>
            </w:pPr>
            <w:r>
              <w:rPr>
                <w:rFonts w:hint="eastAsia"/>
                <w:szCs w:val="21"/>
              </w:rPr>
              <w:t>11项目管理团队组织分工：（</w:t>
            </w:r>
            <w:r>
              <w:rPr>
                <w:szCs w:val="21"/>
              </w:rPr>
              <w:t>0</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tc>
        <w:tc>
          <w:tcPr>
            <w:tcW w:w="1418" w:type="dxa"/>
            <w:vMerge w:val="continue"/>
            <w:vAlign w:val="center"/>
          </w:tcPr>
          <w:p>
            <w:pPr>
              <w:snapToGrid w:val="0"/>
              <w:spacing w:line="300" w:lineRule="exact"/>
              <w:jc w:val="center"/>
            </w:pPr>
          </w:p>
        </w:tc>
        <w:tc>
          <w:tcPr>
            <w:tcW w:w="6350" w:type="dxa"/>
            <w:vAlign w:val="center"/>
          </w:tcPr>
          <w:p>
            <w:pPr>
              <w:snapToGrid w:val="0"/>
              <w:spacing w:line="320" w:lineRule="exact"/>
            </w:pPr>
            <w:r>
              <w:rPr>
                <w:rFonts w:hint="eastAsia"/>
                <w:szCs w:val="21"/>
              </w:rPr>
              <w:t>12合理化建议：（</w:t>
            </w:r>
            <w:r>
              <w:rPr>
                <w:szCs w:val="21"/>
              </w:rPr>
              <w:t>0</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709" w:type="dxa"/>
            <w:vAlign w:val="center"/>
          </w:tcPr>
          <w:p>
            <w:pPr>
              <w:spacing w:line="440" w:lineRule="exact"/>
              <w:jc w:val="center"/>
              <w:rPr>
                <w:szCs w:val="21"/>
              </w:rPr>
            </w:pPr>
            <w:r>
              <w:rPr>
                <w:rFonts w:hint="eastAsia"/>
                <w:szCs w:val="21"/>
              </w:rPr>
              <w:t>3</w:t>
            </w:r>
          </w:p>
        </w:tc>
        <w:tc>
          <w:tcPr>
            <w:tcW w:w="1418" w:type="dxa"/>
            <w:vAlign w:val="center"/>
          </w:tcPr>
          <w:p>
            <w:pPr>
              <w:spacing w:line="440" w:lineRule="exact"/>
              <w:ind w:left="420" w:hanging="420"/>
              <w:jc w:val="center"/>
              <w:rPr>
                <w:szCs w:val="21"/>
              </w:rPr>
            </w:pPr>
            <w:r>
              <w:rPr>
                <w:rFonts w:hint="eastAsia"/>
                <w:szCs w:val="21"/>
              </w:rPr>
              <w:t>企业实力及</w:t>
            </w:r>
          </w:p>
          <w:p>
            <w:pPr>
              <w:spacing w:line="440" w:lineRule="exact"/>
              <w:ind w:left="420" w:hanging="420"/>
              <w:jc w:val="center"/>
              <w:rPr>
                <w:szCs w:val="21"/>
              </w:rPr>
            </w:pPr>
            <w:r>
              <w:rPr>
                <w:rFonts w:hint="eastAsia"/>
                <w:szCs w:val="21"/>
              </w:rPr>
              <w:t>人员配置</w:t>
            </w:r>
          </w:p>
          <w:p>
            <w:pPr>
              <w:spacing w:line="440" w:lineRule="exact"/>
              <w:ind w:left="420" w:hanging="420"/>
              <w:jc w:val="center"/>
              <w:rPr>
                <w:rFonts w:eastAsia="Calibri"/>
                <w:szCs w:val="21"/>
              </w:rPr>
            </w:pPr>
            <w:r>
              <w:rPr>
                <w:rFonts w:hint="eastAsia"/>
                <w:szCs w:val="21"/>
              </w:rPr>
              <w:t>（满分40分）</w:t>
            </w:r>
          </w:p>
        </w:tc>
        <w:tc>
          <w:tcPr>
            <w:tcW w:w="6350" w:type="dxa"/>
            <w:vAlign w:val="center"/>
          </w:tcPr>
          <w:p>
            <w:pPr>
              <w:numPr>
                <w:ilvl w:val="0"/>
                <w:numId w:val="7"/>
              </w:numPr>
              <w:snapToGrid w:val="0"/>
              <w:spacing w:line="340" w:lineRule="exact"/>
              <w:jc w:val="left"/>
            </w:pPr>
            <w:r>
              <w:rPr>
                <w:rFonts w:hint="eastAsia"/>
              </w:rPr>
              <w:t>企业实力（16分）</w:t>
            </w:r>
          </w:p>
          <w:p>
            <w:pPr>
              <w:pStyle w:val="7"/>
              <w:snapToGrid w:val="0"/>
              <w:spacing w:line="340" w:lineRule="exact"/>
              <w:ind w:firstLine="420" w:firstLineChars="200"/>
              <w:rPr>
                <w:rFonts w:ascii="Times New Roman" w:hAnsi="Times New Roman"/>
                <w:sz w:val="21"/>
                <w:szCs w:val="22"/>
              </w:rPr>
            </w:pPr>
            <w:r>
              <w:rPr>
                <w:rFonts w:hint="eastAsia" w:ascii="Times New Roman" w:hAnsi="Times New Roman"/>
                <w:sz w:val="21"/>
                <w:szCs w:val="22"/>
              </w:rPr>
              <w:t>①业绩（12分）：近</w:t>
            </w:r>
            <w:r>
              <w:rPr>
                <w:rFonts w:hint="eastAsia" w:ascii="Times New Roman" w:hAnsi="Times New Roman"/>
                <w:sz w:val="21"/>
                <w:szCs w:val="22"/>
                <w:u w:val="single"/>
              </w:rPr>
              <w:t xml:space="preserve">   </w:t>
            </w:r>
            <w:r>
              <w:rPr>
                <w:rFonts w:hint="eastAsia" w:ascii="Times New Roman" w:hAnsi="Times New Roman"/>
                <w:sz w:val="21"/>
                <w:szCs w:val="22"/>
              </w:rPr>
              <w:t>年（20</w:t>
            </w:r>
            <w:r>
              <w:rPr>
                <w:rFonts w:hint="eastAsia" w:ascii="Times New Roman" w:hAnsi="Times New Roman"/>
                <w:sz w:val="21"/>
                <w:szCs w:val="22"/>
                <w:u w:val="single"/>
              </w:rPr>
              <w:t xml:space="preserve">  </w:t>
            </w:r>
            <w:r>
              <w:rPr>
                <w:rFonts w:hint="eastAsia" w:ascii="Times New Roman" w:hAnsi="Times New Roman"/>
                <w:sz w:val="21"/>
                <w:szCs w:val="22"/>
              </w:rPr>
              <w:t>年</w:t>
            </w:r>
            <w:r>
              <w:rPr>
                <w:rFonts w:hint="eastAsia" w:ascii="Times New Roman" w:hAnsi="Times New Roman"/>
                <w:sz w:val="21"/>
                <w:szCs w:val="22"/>
                <w:u w:val="single"/>
              </w:rPr>
              <w:t xml:space="preserve">   </w:t>
            </w:r>
            <w:r>
              <w:rPr>
                <w:rFonts w:hint="eastAsia" w:ascii="Times New Roman" w:hAnsi="Times New Roman"/>
                <w:sz w:val="21"/>
                <w:szCs w:val="22"/>
              </w:rPr>
              <w:t>月）至今的企业类似项目业绩。a.提供业绩为类似项目的代建管理、项目管理业绩，每项得4分，满分12分；b.提供业绩为类似项目的工程监理、工程总承包、全过程工程咨询业绩，每项得2分，满分12分。a、b可叠加得分，最高得12分。</w:t>
            </w:r>
          </w:p>
          <w:p>
            <w:pPr>
              <w:snapToGrid w:val="0"/>
              <w:spacing w:line="340" w:lineRule="exact"/>
              <w:rPr>
                <w:szCs w:val="22"/>
              </w:rPr>
            </w:pPr>
            <w:r>
              <w:rPr>
                <w:rFonts w:hint="eastAsia"/>
                <w:szCs w:val="22"/>
              </w:rPr>
              <w:t>（注：①类似业绩是指</w:t>
            </w:r>
            <w:r>
              <w:rPr>
                <w:rFonts w:hint="eastAsia"/>
                <w:szCs w:val="22"/>
                <w:u w:val="single"/>
              </w:rPr>
              <w:t xml:space="preserve"> </w:t>
            </w:r>
            <w:r>
              <w:rPr>
                <w:rFonts w:hint="eastAsia"/>
                <w:i/>
                <w:szCs w:val="22"/>
                <w:u w:val="single"/>
              </w:rPr>
              <w:t>（类别、规模）</w:t>
            </w:r>
            <w:r>
              <w:rPr>
                <w:rFonts w:hint="eastAsia"/>
                <w:szCs w:val="22"/>
              </w:rPr>
              <w:t>项目业绩，以合同内容为准；②时间以合同签订日期为准。）</w:t>
            </w:r>
          </w:p>
          <w:p>
            <w:pPr>
              <w:snapToGrid w:val="0"/>
              <w:spacing w:line="340" w:lineRule="exact"/>
              <w:ind w:firstLine="420"/>
              <w:rPr>
                <w:szCs w:val="22"/>
              </w:rPr>
            </w:pPr>
            <w:r>
              <w:rPr>
                <w:rFonts w:hint="eastAsia"/>
                <w:szCs w:val="22"/>
              </w:rPr>
              <w:t>②财务状况（4分）</w:t>
            </w:r>
          </w:p>
          <w:p>
            <w:pPr>
              <w:snapToGrid w:val="0"/>
              <w:spacing w:line="340" w:lineRule="exact"/>
              <w:ind w:firstLine="420"/>
            </w:pPr>
            <w:r>
              <w:rPr>
                <w:rFonts w:hint="eastAsia"/>
                <w:szCs w:val="22"/>
              </w:rPr>
              <w:t>提供近三年财务审计报告（</w:t>
            </w:r>
            <w:r>
              <w:rPr>
                <w:rFonts w:hint="eastAsia"/>
                <w:szCs w:val="22"/>
                <w:u w:val="single"/>
              </w:rPr>
              <w:t xml:space="preserve">   年度</w:t>
            </w:r>
            <w:r>
              <w:rPr>
                <w:rFonts w:hint="eastAsia"/>
                <w:szCs w:val="22"/>
              </w:rPr>
              <w:t>、</w:t>
            </w:r>
            <w:r>
              <w:rPr>
                <w:rFonts w:hint="eastAsia"/>
                <w:szCs w:val="22"/>
                <w:u w:val="single"/>
              </w:rPr>
              <w:t xml:space="preserve">  </w:t>
            </w:r>
            <w:r>
              <w:rPr>
                <w:rFonts w:hint="eastAsia"/>
                <w:szCs w:val="22"/>
              </w:rPr>
              <w:t>年度及</w:t>
            </w:r>
            <w:r>
              <w:rPr>
                <w:rFonts w:hint="eastAsia"/>
                <w:szCs w:val="22"/>
                <w:u w:val="single"/>
              </w:rPr>
              <w:t xml:space="preserve">    </w:t>
            </w:r>
            <w:r>
              <w:rPr>
                <w:rFonts w:hint="eastAsia"/>
                <w:szCs w:val="22"/>
              </w:rPr>
              <w:t>年度（若企业为新成立公司，提供财务状况的年份为自成立起至今））财务状况报告：申请人需提供经会计师事务所或第三方审计机构出具的年度财务审计报告（至少包括审计报告、资产负债表、现金流量表和利润表）。根据各投标人近年的财务状况酌情赋分：</w:t>
            </w:r>
            <w:r>
              <w:rPr>
                <w:rFonts w:hint="eastAsia" w:ascii="宋体" w:hAnsi="宋体"/>
                <w:szCs w:val="21"/>
              </w:rPr>
              <w:t>良好（2-4分），一般（0-1分）。</w:t>
            </w:r>
          </w:p>
          <w:p>
            <w:pPr>
              <w:numPr>
                <w:ilvl w:val="0"/>
                <w:numId w:val="7"/>
              </w:numPr>
              <w:snapToGrid w:val="0"/>
              <w:spacing w:line="340" w:lineRule="exact"/>
              <w:ind w:left="420" w:hanging="420"/>
              <w:jc w:val="left"/>
              <w:rPr>
                <w:szCs w:val="22"/>
              </w:rPr>
            </w:pPr>
            <w:r>
              <w:rPr>
                <w:rFonts w:hint="eastAsia"/>
                <w:szCs w:val="22"/>
              </w:rPr>
              <w:t>人员配置（24分）</w:t>
            </w:r>
          </w:p>
          <w:p>
            <w:pPr>
              <w:snapToGrid w:val="0"/>
              <w:spacing w:line="340" w:lineRule="exact"/>
              <w:ind w:firstLine="420" w:firstLineChars="200"/>
              <w:jc w:val="left"/>
              <w:rPr>
                <w:szCs w:val="22"/>
              </w:rPr>
            </w:pPr>
            <w:r>
              <w:rPr>
                <w:rFonts w:hint="eastAsia"/>
                <w:szCs w:val="22"/>
              </w:rPr>
              <w:t>①代建项目经理（14分）</w:t>
            </w:r>
          </w:p>
          <w:p>
            <w:pPr>
              <w:pStyle w:val="7"/>
              <w:snapToGrid w:val="0"/>
              <w:spacing w:line="340" w:lineRule="exact"/>
              <w:ind w:firstLine="420" w:firstLineChars="200"/>
              <w:rPr>
                <w:rFonts w:ascii="Times New Roman" w:hAnsi="Times New Roman"/>
                <w:sz w:val="21"/>
                <w:szCs w:val="22"/>
              </w:rPr>
            </w:pPr>
            <w:r>
              <w:rPr>
                <w:rFonts w:hint="eastAsia" w:ascii="Times New Roman" w:hAnsi="Times New Roman"/>
                <w:sz w:val="21"/>
                <w:szCs w:val="22"/>
              </w:rPr>
              <w:t>学历（4分）：工程类相关专业本科得2分，研究生及以上得4分。</w:t>
            </w:r>
          </w:p>
          <w:p>
            <w:pPr>
              <w:snapToGrid w:val="0"/>
              <w:spacing w:line="340" w:lineRule="exact"/>
              <w:ind w:firstLine="420" w:firstLineChars="200"/>
            </w:pPr>
            <w:r>
              <w:rPr>
                <w:rFonts w:hint="eastAsia"/>
                <w:szCs w:val="22"/>
              </w:rPr>
              <w:t>职称（2分）：高级工程师得1分，正高级工程师得2分。</w:t>
            </w:r>
          </w:p>
          <w:p>
            <w:pPr>
              <w:pStyle w:val="7"/>
              <w:snapToGrid w:val="0"/>
              <w:spacing w:line="340" w:lineRule="exact"/>
              <w:ind w:firstLine="420" w:firstLineChars="200"/>
              <w:rPr>
                <w:rFonts w:ascii="Times New Roman" w:hAnsi="Times New Roman"/>
                <w:sz w:val="21"/>
                <w:szCs w:val="22"/>
              </w:rPr>
            </w:pPr>
            <w:r>
              <w:rPr>
                <w:rFonts w:hint="eastAsia" w:ascii="Times New Roman" w:hAnsi="Times New Roman"/>
                <w:sz w:val="21"/>
                <w:szCs w:val="22"/>
              </w:rPr>
              <w:t>业绩（8分）：近</w:t>
            </w:r>
            <w:r>
              <w:rPr>
                <w:rFonts w:hint="eastAsia" w:ascii="Times New Roman" w:hAnsi="Times New Roman"/>
                <w:sz w:val="21"/>
                <w:szCs w:val="22"/>
                <w:u w:val="single"/>
              </w:rPr>
              <w:t xml:space="preserve">   </w:t>
            </w:r>
            <w:r>
              <w:rPr>
                <w:rFonts w:hint="eastAsia" w:ascii="Times New Roman" w:hAnsi="Times New Roman"/>
                <w:sz w:val="21"/>
                <w:szCs w:val="22"/>
              </w:rPr>
              <w:t>年（20</w:t>
            </w:r>
            <w:r>
              <w:rPr>
                <w:rFonts w:hint="eastAsia" w:ascii="Times New Roman" w:hAnsi="Times New Roman"/>
                <w:sz w:val="21"/>
                <w:szCs w:val="22"/>
                <w:u w:val="single"/>
              </w:rPr>
              <w:t xml:space="preserve">  </w:t>
            </w:r>
            <w:r>
              <w:rPr>
                <w:rFonts w:hint="eastAsia" w:ascii="Times New Roman" w:hAnsi="Times New Roman"/>
                <w:sz w:val="21"/>
                <w:szCs w:val="22"/>
              </w:rPr>
              <w:t>年</w:t>
            </w:r>
            <w:r>
              <w:rPr>
                <w:rFonts w:hint="eastAsia" w:ascii="Times New Roman" w:hAnsi="Times New Roman"/>
                <w:sz w:val="21"/>
                <w:szCs w:val="22"/>
                <w:u w:val="single"/>
              </w:rPr>
              <w:t xml:space="preserve">   </w:t>
            </w:r>
            <w:r>
              <w:rPr>
                <w:rFonts w:hint="eastAsia" w:ascii="Times New Roman" w:hAnsi="Times New Roman"/>
                <w:sz w:val="21"/>
                <w:szCs w:val="22"/>
              </w:rPr>
              <w:t>月），担任过类似项目的代建管理、项目管理项目负责人业绩，每项得4分；类似项目的工程监理、工程总承包、全过程工程咨询项目负责人业绩，每项得2分。</w:t>
            </w:r>
          </w:p>
          <w:p>
            <w:pPr>
              <w:snapToGrid w:val="0"/>
              <w:spacing w:line="340" w:lineRule="exact"/>
              <w:rPr>
                <w:szCs w:val="22"/>
              </w:rPr>
            </w:pPr>
            <w:r>
              <w:rPr>
                <w:rFonts w:hint="eastAsia"/>
                <w:szCs w:val="22"/>
              </w:rPr>
              <w:t>（注：①类似业绩是指</w:t>
            </w:r>
            <w:r>
              <w:rPr>
                <w:rFonts w:hint="eastAsia"/>
                <w:szCs w:val="22"/>
                <w:u w:val="single"/>
              </w:rPr>
              <w:t xml:space="preserve"> </w:t>
            </w:r>
            <w:r>
              <w:rPr>
                <w:rFonts w:hint="eastAsia"/>
                <w:i/>
                <w:szCs w:val="22"/>
                <w:u w:val="single"/>
              </w:rPr>
              <w:t>（类别、规模）</w:t>
            </w:r>
            <w:r>
              <w:rPr>
                <w:rFonts w:hint="eastAsia"/>
                <w:szCs w:val="22"/>
              </w:rPr>
              <w:t>项目业绩，以合同内容为准；②时间以合同签订日期为准。）</w:t>
            </w:r>
          </w:p>
          <w:p>
            <w:pPr>
              <w:snapToGrid w:val="0"/>
              <w:spacing w:line="340" w:lineRule="exact"/>
              <w:ind w:firstLine="420" w:firstLineChars="200"/>
            </w:pPr>
            <w:r>
              <w:rPr>
                <w:rFonts w:hint="eastAsia"/>
              </w:rPr>
              <w:t>②其他人员配置（10分）</w:t>
            </w:r>
          </w:p>
          <w:p>
            <w:pPr>
              <w:snapToGrid w:val="0"/>
              <w:spacing w:line="340" w:lineRule="exact"/>
              <w:ind w:firstLine="420" w:firstLineChars="200"/>
            </w:pPr>
            <w:r>
              <w:rPr>
                <w:rFonts w:hint="eastAsia"/>
              </w:rPr>
              <w:t>项目现场管理人员（包括计划管理、质量安全、设计变更、合同造价、报建及档案管理等岗位职能）需配备</w:t>
            </w:r>
            <w:r>
              <w:rPr>
                <w:rFonts w:hint="eastAsia"/>
                <w:u w:val="single"/>
              </w:rPr>
              <w:t xml:space="preserve">   </w:t>
            </w:r>
            <w:r>
              <w:rPr>
                <w:rFonts w:hint="eastAsia"/>
              </w:rPr>
              <w:t>名，资格（职称）条件分别如下：</w:t>
            </w:r>
          </w:p>
          <w:p>
            <w:pPr>
              <w:pStyle w:val="10"/>
              <w:numPr>
                <w:ilvl w:val="0"/>
                <w:numId w:val="8"/>
              </w:numPr>
              <w:snapToGrid w:val="0"/>
              <w:spacing w:after="0" w:line="340" w:lineRule="exact"/>
              <w:ind w:firstLine="420" w:firstLineChars="200"/>
              <w:rPr>
                <w:szCs w:val="22"/>
              </w:rPr>
            </w:pPr>
            <w:r>
              <w:rPr>
                <w:rFonts w:hint="eastAsia"/>
                <w:i/>
                <w:u w:val="single"/>
              </w:rPr>
              <w:t>（岗位）</w:t>
            </w:r>
            <w:r>
              <w:rPr>
                <w:rFonts w:hint="eastAsia"/>
              </w:rPr>
              <w:t>人员</w:t>
            </w:r>
            <w:r>
              <w:rPr>
                <w:rFonts w:hint="eastAsia"/>
                <w:u w:val="single"/>
              </w:rPr>
              <w:t xml:space="preserve">   </w:t>
            </w:r>
            <w:r>
              <w:rPr>
                <w:rFonts w:hint="eastAsia"/>
              </w:rPr>
              <w:t>名，具备</w:t>
            </w:r>
            <w:r>
              <w:rPr>
                <w:rFonts w:hint="eastAsia"/>
                <w:i/>
                <w:u w:val="single"/>
              </w:rPr>
              <w:t>（资格</w:t>
            </w:r>
            <w:r>
              <w:rPr>
                <w:i/>
                <w:u w:val="single"/>
              </w:rPr>
              <w:t>/</w:t>
            </w:r>
            <w:r>
              <w:rPr>
                <w:rFonts w:hint="eastAsia"/>
                <w:i/>
                <w:u w:val="single"/>
              </w:rPr>
              <w:t>职称）</w:t>
            </w:r>
            <w:r>
              <w:rPr>
                <w:rFonts w:hint="eastAsia"/>
                <w:u w:val="single"/>
              </w:rPr>
              <w:t>；</w:t>
            </w:r>
          </w:p>
          <w:p>
            <w:pPr>
              <w:snapToGrid w:val="0"/>
              <w:spacing w:line="340" w:lineRule="exact"/>
              <w:ind w:firstLine="420" w:firstLineChars="200"/>
            </w:pPr>
            <w:r>
              <w:rPr>
                <w:rFonts w:hint="eastAsia"/>
              </w:rPr>
              <w:t>2）……</w:t>
            </w:r>
          </w:p>
          <w:p>
            <w:pPr>
              <w:pStyle w:val="10"/>
              <w:snapToGrid w:val="0"/>
              <w:spacing w:after="0" w:line="340" w:lineRule="exact"/>
              <w:rPr>
                <w:i/>
                <w:szCs w:val="22"/>
              </w:rPr>
            </w:pPr>
            <w:r>
              <w:rPr>
                <w:rFonts w:hint="eastAsia"/>
                <w:i/>
                <w:szCs w:val="22"/>
              </w:rPr>
              <w:t>（满足基本要求的得</w:t>
            </w:r>
            <w:r>
              <w:rPr>
                <w:i/>
                <w:szCs w:val="22"/>
              </w:rPr>
              <w:t>8</w:t>
            </w:r>
            <w:r>
              <w:rPr>
                <w:rFonts w:hint="eastAsia"/>
                <w:i/>
                <w:szCs w:val="22"/>
              </w:rPr>
              <w:t>分，根据人员任职资格条件提升情况，差别赋0-2分。此项</w:t>
            </w:r>
            <w:r>
              <w:rPr>
                <w:i/>
                <w:szCs w:val="22"/>
              </w:rPr>
              <w:t>满分</w:t>
            </w:r>
            <w:r>
              <w:rPr>
                <w:rFonts w:hint="eastAsia"/>
                <w:i/>
                <w:szCs w:val="22"/>
              </w:rPr>
              <w:t>10分）</w:t>
            </w:r>
          </w:p>
          <w:p>
            <w:pPr>
              <w:pStyle w:val="7"/>
              <w:snapToGrid w:val="0"/>
              <w:spacing w:line="340" w:lineRule="exact"/>
              <w:rPr>
                <w:b/>
                <w:bCs/>
                <w:i/>
                <w:iCs/>
                <w:sz w:val="21"/>
                <w:szCs w:val="21"/>
              </w:rPr>
            </w:pPr>
            <w:r>
              <w:rPr>
                <w:rFonts w:hint="eastAsia"/>
                <w:b/>
                <w:bCs/>
                <w:i/>
                <w:iCs/>
                <w:sz w:val="21"/>
                <w:szCs w:val="21"/>
              </w:rPr>
              <w:t>注：1、项目组其他人员（不含代建项目经理）配备最低要求：</w:t>
            </w:r>
          </w:p>
          <w:p>
            <w:pPr>
              <w:pStyle w:val="7"/>
              <w:snapToGrid w:val="0"/>
              <w:spacing w:line="340" w:lineRule="exact"/>
              <w:rPr>
                <w:b/>
                <w:bCs/>
                <w:i/>
                <w:iCs/>
                <w:sz w:val="21"/>
                <w:szCs w:val="21"/>
              </w:rPr>
            </w:pPr>
            <w:r>
              <w:rPr>
                <w:rFonts w:hint="eastAsia"/>
                <w:b/>
                <w:bCs/>
                <w:i/>
                <w:iCs/>
                <w:sz w:val="21"/>
                <w:szCs w:val="21"/>
              </w:rPr>
              <w:t>总投资额≤5000万，人数为3人；5000万＜总投资额≤1亿元，人数为5人；1亿＜总投资额≤2亿元，人数为7人；2亿＜总投资额≤5亿元，人数为9人；总投资额＞5亿元，人数为11人。</w:t>
            </w:r>
          </w:p>
          <w:p>
            <w:pPr>
              <w:pStyle w:val="7"/>
              <w:snapToGrid w:val="0"/>
              <w:spacing w:line="340" w:lineRule="exact"/>
              <w:ind w:firstLine="420" w:firstLineChars="200"/>
              <w:rPr>
                <w:i/>
                <w:iCs/>
                <w:sz w:val="21"/>
                <w:szCs w:val="21"/>
              </w:rPr>
            </w:pPr>
            <w:r>
              <w:rPr>
                <w:rFonts w:hint="eastAsia"/>
                <w:b/>
                <w:bCs/>
                <w:i/>
                <w:iCs/>
                <w:sz w:val="21"/>
                <w:szCs w:val="21"/>
              </w:rPr>
              <w:t>2、以上人员均为现场常驻人员。</w:t>
            </w:r>
          </w:p>
          <w:p>
            <w:pPr>
              <w:pStyle w:val="7"/>
              <w:snapToGrid w:val="0"/>
              <w:spacing w:line="340" w:lineRule="exact"/>
              <w:ind w:firstLine="420" w:firstLineChars="200"/>
              <w:rPr>
                <w:b/>
                <w:bCs/>
                <w:i/>
                <w:iCs/>
                <w:sz w:val="21"/>
                <w:szCs w:val="21"/>
              </w:rPr>
            </w:pPr>
            <w:r>
              <w:rPr>
                <w:rFonts w:hint="eastAsia"/>
                <w:b/>
                <w:bCs/>
                <w:i/>
                <w:iCs/>
                <w:sz w:val="21"/>
                <w:szCs w:val="21"/>
              </w:rPr>
              <w:t>3、招标人可根据项目特点和实际情况对人员数量、资格、职称分别提出要求；岗位可增设可调整。</w:t>
            </w:r>
          </w:p>
          <w:p>
            <w:pPr>
              <w:pStyle w:val="7"/>
              <w:snapToGrid w:val="0"/>
              <w:spacing w:line="340" w:lineRule="exact"/>
              <w:ind w:firstLine="420" w:firstLineChars="200"/>
            </w:pPr>
            <w:r>
              <w:rPr>
                <w:rFonts w:hint="eastAsia"/>
                <w:b/>
                <w:bCs/>
                <w:i/>
                <w:iCs/>
                <w:sz w:val="21"/>
                <w:szCs w:val="21"/>
              </w:rPr>
              <w:t>4、投标人应根据企业实际和代建工作需要合理配置人员</w:t>
            </w:r>
            <w:r>
              <w:rPr>
                <w:rFonts w:hint="eastAsia"/>
                <w:b/>
                <w:bCs/>
                <w:sz w:val="21"/>
                <w:szCs w:val="21"/>
              </w:rPr>
              <w:t>。</w:t>
            </w:r>
          </w:p>
        </w:tc>
      </w:tr>
    </w:tbl>
    <w:p>
      <w:r>
        <w:br w:type="page"/>
      </w:r>
    </w:p>
    <w:tbl>
      <w:tblPr>
        <w:tblStyle w:val="22"/>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505" w:type="dxa"/>
            <w:gridSpan w:val="3"/>
            <w:vAlign w:val="center"/>
          </w:tcPr>
          <w:p>
            <w:pPr>
              <w:spacing w:line="440" w:lineRule="exact"/>
              <w:jc w:val="center"/>
              <w:rPr>
                <w:szCs w:val="21"/>
              </w:rPr>
            </w:pPr>
            <w:r>
              <w:rPr>
                <w:b/>
                <w:bCs/>
                <w:szCs w:val="21"/>
              </w:rPr>
              <w:t>2.2.4</w:t>
            </w:r>
            <w:r>
              <w:rPr>
                <w:rFonts w:hint="eastAsia"/>
                <w:b/>
                <w:bCs/>
                <w:szCs w:val="21"/>
              </w:rPr>
              <w:t>（</w:t>
            </w:r>
            <w:r>
              <w:rPr>
                <w:b/>
                <w:bCs/>
                <w:szCs w:val="21"/>
              </w:rPr>
              <w:t>2</w:t>
            </w:r>
            <w:r>
              <w:rPr>
                <w:rFonts w:hint="eastAsia"/>
                <w:b/>
                <w:bCs/>
                <w:szCs w:val="21"/>
              </w:rPr>
              <w:t>）可行性研究报告编制（满分100分）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vAlign w:val="center"/>
          </w:tcPr>
          <w:p>
            <w:pPr>
              <w:spacing w:line="440" w:lineRule="exact"/>
              <w:jc w:val="center"/>
              <w:rPr>
                <w:szCs w:val="21"/>
              </w:rPr>
            </w:pPr>
            <w:r>
              <w:rPr>
                <w:rFonts w:hint="eastAsia"/>
                <w:szCs w:val="21"/>
              </w:rPr>
              <w:t>序号</w:t>
            </w:r>
          </w:p>
        </w:tc>
        <w:tc>
          <w:tcPr>
            <w:tcW w:w="1276" w:type="dxa"/>
            <w:vAlign w:val="center"/>
          </w:tcPr>
          <w:p>
            <w:pPr>
              <w:spacing w:line="440" w:lineRule="exact"/>
              <w:jc w:val="center"/>
              <w:rPr>
                <w:szCs w:val="21"/>
              </w:rPr>
            </w:pPr>
            <w:r>
              <w:rPr>
                <w:szCs w:val="21"/>
              </w:rPr>
              <w:t>评分因素</w:t>
            </w:r>
          </w:p>
        </w:tc>
        <w:tc>
          <w:tcPr>
            <w:tcW w:w="6520" w:type="dxa"/>
            <w:vAlign w:val="center"/>
          </w:tcPr>
          <w:p>
            <w:pPr>
              <w:spacing w:line="440" w:lineRule="exact"/>
              <w:jc w:val="center"/>
              <w:rPr>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09" w:type="dxa"/>
            <w:vAlign w:val="center"/>
          </w:tcPr>
          <w:p>
            <w:pPr>
              <w:spacing w:line="440" w:lineRule="exact"/>
              <w:jc w:val="center"/>
              <w:rPr>
                <w:szCs w:val="21"/>
              </w:rPr>
            </w:pPr>
            <w:r>
              <w:rPr>
                <w:rFonts w:hint="eastAsia"/>
                <w:szCs w:val="21"/>
              </w:rPr>
              <w:t>1</w:t>
            </w:r>
          </w:p>
        </w:tc>
        <w:tc>
          <w:tcPr>
            <w:tcW w:w="1276" w:type="dxa"/>
            <w:vAlign w:val="center"/>
          </w:tcPr>
          <w:p>
            <w:pPr>
              <w:spacing w:line="440" w:lineRule="exact"/>
              <w:jc w:val="center"/>
              <w:rPr>
                <w:szCs w:val="21"/>
              </w:rPr>
            </w:pPr>
            <w:r>
              <w:rPr>
                <w:rFonts w:hint="eastAsia"/>
                <w:szCs w:val="21"/>
              </w:rPr>
              <w:t>投标报价</w:t>
            </w:r>
          </w:p>
          <w:p>
            <w:pPr>
              <w:spacing w:line="440" w:lineRule="exact"/>
              <w:jc w:val="center"/>
              <w:rPr>
                <w:szCs w:val="21"/>
              </w:rPr>
            </w:pPr>
            <w:r>
              <w:rPr>
                <w:rFonts w:hint="eastAsia"/>
                <w:szCs w:val="21"/>
              </w:rPr>
              <w:t>（下浮率）</w:t>
            </w:r>
          </w:p>
          <w:p>
            <w:pPr>
              <w:spacing w:line="440" w:lineRule="exact"/>
              <w:ind w:left="420" w:hanging="420"/>
              <w:jc w:val="center"/>
              <w:rPr>
                <w:szCs w:val="21"/>
              </w:rPr>
            </w:pPr>
            <w:r>
              <w:rPr>
                <w:rFonts w:hint="eastAsia"/>
                <w:szCs w:val="21"/>
              </w:rPr>
              <w:t>（满分30分）</w:t>
            </w:r>
          </w:p>
        </w:tc>
        <w:tc>
          <w:tcPr>
            <w:tcW w:w="6520" w:type="dxa"/>
            <w:vAlign w:val="center"/>
          </w:tcPr>
          <w:p>
            <w:pPr>
              <w:pStyle w:val="7"/>
              <w:snapToGrid w:val="0"/>
              <w:spacing w:line="340" w:lineRule="exact"/>
              <w:ind w:firstLine="420" w:firstLineChars="200"/>
              <w:rPr>
                <w:rFonts w:asciiTheme="minorEastAsia" w:hAnsiTheme="minorEastAsia"/>
                <w:sz w:val="21"/>
                <w:szCs w:val="22"/>
              </w:rPr>
            </w:pPr>
            <w:r>
              <w:rPr>
                <w:rFonts w:hint="eastAsia" w:asciiTheme="minorEastAsia" w:hAnsiTheme="minorEastAsia"/>
                <w:sz w:val="21"/>
                <w:szCs w:val="22"/>
              </w:rPr>
              <w:t>以评标基准价（下浮率）为基础，当投标报价（下浮率）等于评标基准价（下浮率）时得满分，投标报价（下浮率）每增加1%扣0.03分，每减少1%扣0.06分，扣完为止。</w:t>
            </w:r>
          </w:p>
          <w:p>
            <w:pPr>
              <w:snapToGrid w:val="0"/>
              <w:spacing w:line="340" w:lineRule="exact"/>
              <w:rPr>
                <w:rFonts w:asciiTheme="minorEastAsia" w:hAnsiTheme="minorEastAsia"/>
                <w:szCs w:val="22"/>
              </w:rPr>
            </w:pPr>
            <w:r>
              <w:rPr>
                <w:rFonts w:hint="eastAsia" w:asciiTheme="minorEastAsia" w:hAnsiTheme="minorEastAsia"/>
                <w:szCs w:val="22"/>
              </w:rPr>
              <w:t>评标基准价（下浮率）=各有效投标报价（下浮率）之和</w:t>
            </w:r>
            <w:r>
              <w:rPr>
                <w:rFonts w:hint="eastAsia" w:asciiTheme="minorEastAsia" w:hAnsiTheme="minorEastAsia"/>
              </w:rPr>
              <w:t>/</w:t>
            </w:r>
            <w:r>
              <w:rPr>
                <w:rFonts w:hint="eastAsia" w:asciiTheme="minorEastAsia" w:hAnsiTheme="minorEastAsia"/>
                <w:szCs w:val="22"/>
              </w:rPr>
              <w:t>有效投标单位个数。</w:t>
            </w:r>
          </w:p>
          <w:p>
            <w:pPr>
              <w:snapToGrid w:val="0"/>
              <w:spacing w:line="340" w:lineRule="exact"/>
              <w:rPr>
                <w:rFonts w:asciiTheme="minorEastAsia" w:hAnsiTheme="minorEastAsia"/>
              </w:rPr>
            </w:pPr>
            <w:r>
              <w:rPr>
                <w:rFonts w:hint="eastAsia" w:asciiTheme="minorEastAsia" w:hAnsiTheme="minorEastAsia"/>
              </w:rPr>
              <w:t>投标人数量≤5时，评标基准价采用全部有效投标报价计算；</w:t>
            </w:r>
          </w:p>
          <w:p>
            <w:pPr>
              <w:snapToGrid w:val="0"/>
              <w:spacing w:line="340" w:lineRule="exact"/>
              <w:rPr>
                <w:rFonts w:asciiTheme="minorEastAsia" w:hAnsiTheme="minorEastAsia"/>
              </w:rPr>
            </w:pPr>
            <w:r>
              <w:rPr>
                <w:rFonts w:hint="eastAsia" w:asciiTheme="minorEastAsia" w:hAnsiTheme="minorEastAsia"/>
              </w:rPr>
              <w:t>5＜投标人数量≤20时，评标基准价采用去除有效报价最高、最低各1个计算；</w:t>
            </w:r>
          </w:p>
          <w:p>
            <w:pPr>
              <w:snapToGrid w:val="0"/>
              <w:spacing w:line="340" w:lineRule="exact"/>
              <w:rPr>
                <w:rFonts w:asciiTheme="minorEastAsia" w:hAnsiTheme="minorEastAsia"/>
              </w:rPr>
            </w:pPr>
            <w:r>
              <w:rPr>
                <w:rFonts w:hint="eastAsia" w:asciiTheme="minorEastAsia" w:hAnsiTheme="minorEastAsia"/>
              </w:rPr>
              <w:t>投标人数量＞20时，评标基准价采用去除有效报价最高、最低各2个计算。</w:t>
            </w:r>
          </w:p>
          <w:p>
            <w:pPr>
              <w:snapToGrid w:val="0"/>
              <w:spacing w:line="340" w:lineRule="exact"/>
              <w:jc w:val="left"/>
              <w:rPr>
                <w:rFonts w:asciiTheme="minorEastAsia" w:hAnsiTheme="minorEastAsia"/>
              </w:rPr>
            </w:pPr>
            <w:r>
              <w:rPr>
                <w:rFonts w:asciiTheme="minorEastAsia" w:hAnsiTheme="minorEastAsia"/>
              </w:rPr>
              <w:t>计算</w:t>
            </w:r>
            <w:r>
              <w:rPr>
                <w:rFonts w:hint="eastAsia" w:asciiTheme="minorEastAsia" w:hAnsiTheme="minorEastAsia"/>
              </w:rPr>
              <w:t>公式如下：</w:t>
            </w:r>
          </w:p>
          <w:p>
            <w:pPr>
              <w:snapToGrid w:val="0"/>
              <w:spacing w:line="340" w:lineRule="exact"/>
              <w:jc w:val="left"/>
              <w:rPr>
                <w:rFonts w:asciiTheme="minorEastAsia" w:hAnsiTheme="minorEastAsia"/>
              </w:rPr>
            </w:pPr>
            <w:r>
              <w:rPr>
                <w:rFonts w:hint="eastAsia" w:asciiTheme="minorEastAsia" w:hAnsiTheme="minorEastAsia"/>
              </w:rPr>
              <w:t>①当投标报价大于基准价（下浮率）时，报价得分=30-（投标报价（下浮率）－基准价（下浮率））/基准价（下浮率）*0.03*100；</w:t>
            </w:r>
          </w:p>
          <w:p>
            <w:pPr>
              <w:snapToGrid w:val="0"/>
              <w:spacing w:line="340" w:lineRule="exact"/>
              <w:jc w:val="left"/>
              <w:rPr>
                <w:szCs w:val="21"/>
              </w:rPr>
            </w:pPr>
            <w:r>
              <w:rPr>
                <w:rFonts w:hint="eastAsia" w:asciiTheme="minorEastAsia" w:hAnsiTheme="minorEastAsia"/>
              </w:rPr>
              <w:t>②当投标报价小于基准价（下浮率）时，报价得分=</w:t>
            </w:r>
            <w:r>
              <w:rPr>
                <w:rFonts w:asciiTheme="minorEastAsia" w:hAnsiTheme="minorEastAsia"/>
              </w:rPr>
              <w:t>30</w:t>
            </w:r>
            <w:r>
              <w:rPr>
                <w:rFonts w:hint="eastAsia" w:asciiTheme="minorEastAsia" w:hAnsiTheme="minorEastAsia"/>
              </w:rPr>
              <w:t>-（基准价（下浮率）－投标报价（下浮率））/基准价（下浮率）*0.06*100。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9" w:type="dxa"/>
            <w:vMerge w:val="restart"/>
            <w:vAlign w:val="center"/>
          </w:tcPr>
          <w:p>
            <w:pPr>
              <w:spacing w:line="440" w:lineRule="exact"/>
              <w:jc w:val="center"/>
              <w:rPr>
                <w:szCs w:val="21"/>
              </w:rPr>
            </w:pPr>
            <w:r>
              <w:rPr>
                <w:rFonts w:hint="eastAsia"/>
                <w:szCs w:val="21"/>
              </w:rPr>
              <w:t>2</w:t>
            </w:r>
          </w:p>
        </w:tc>
        <w:tc>
          <w:tcPr>
            <w:tcW w:w="1276" w:type="dxa"/>
            <w:vMerge w:val="restart"/>
            <w:vAlign w:val="center"/>
          </w:tcPr>
          <w:p>
            <w:pPr>
              <w:spacing w:line="420" w:lineRule="atLeast"/>
              <w:jc w:val="center"/>
              <w:rPr>
                <w:szCs w:val="21"/>
              </w:rPr>
            </w:pPr>
            <w:r>
              <w:rPr>
                <w:rFonts w:hint="eastAsia"/>
                <w:szCs w:val="21"/>
              </w:rPr>
              <w:t>服务方案</w:t>
            </w:r>
          </w:p>
          <w:p>
            <w:pPr>
              <w:spacing w:line="420" w:lineRule="atLeast"/>
              <w:jc w:val="center"/>
              <w:rPr>
                <w:szCs w:val="21"/>
              </w:rPr>
            </w:pPr>
            <w:r>
              <w:rPr>
                <w:rFonts w:hint="eastAsia"/>
                <w:szCs w:val="21"/>
              </w:rPr>
              <w:t>（满分30分）</w:t>
            </w:r>
          </w:p>
        </w:tc>
        <w:tc>
          <w:tcPr>
            <w:tcW w:w="6520" w:type="dxa"/>
          </w:tcPr>
          <w:p>
            <w:pPr>
              <w:ind w:left="420" w:hanging="420"/>
              <w:rPr>
                <w:szCs w:val="21"/>
              </w:rPr>
            </w:pPr>
            <w:r>
              <w:rPr>
                <w:rFonts w:hint="eastAsia"/>
              </w:rPr>
              <w:t>1</w:t>
            </w:r>
            <w:r>
              <w:rPr>
                <w:rFonts w:hint="eastAsia"/>
                <w:szCs w:val="22"/>
              </w:rPr>
              <w:t>质量保证措施</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09" w:type="dxa"/>
            <w:vMerge w:val="continue"/>
            <w:vAlign w:val="center"/>
          </w:tcPr>
          <w:p/>
        </w:tc>
        <w:tc>
          <w:tcPr>
            <w:tcW w:w="1276" w:type="dxa"/>
            <w:vMerge w:val="continue"/>
            <w:vAlign w:val="center"/>
          </w:tcPr>
          <w:p>
            <w:pPr>
              <w:jc w:val="center"/>
            </w:pPr>
          </w:p>
        </w:tc>
        <w:tc>
          <w:tcPr>
            <w:tcW w:w="6520" w:type="dxa"/>
          </w:tcPr>
          <w:p>
            <w:pPr>
              <w:ind w:left="420" w:hanging="420"/>
            </w:pPr>
            <w:r>
              <w:rPr>
                <w:rFonts w:hint="eastAsia"/>
              </w:rPr>
              <w:t>2</w:t>
            </w:r>
            <w:r>
              <w:rPr>
                <w:rFonts w:hint="eastAsia"/>
                <w:szCs w:val="22"/>
              </w:rPr>
              <w:t>时限保证措施</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09" w:type="dxa"/>
            <w:vMerge w:val="continue"/>
            <w:vAlign w:val="center"/>
          </w:tcPr>
          <w:p/>
        </w:tc>
        <w:tc>
          <w:tcPr>
            <w:tcW w:w="1276" w:type="dxa"/>
            <w:vMerge w:val="continue"/>
            <w:vAlign w:val="center"/>
          </w:tcPr>
          <w:p>
            <w:pPr>
              <w:jc w:val="center"/>
            </w:pPr>
          </w:p>
        </w:tc>
        <w:tc>
          <w:tcPr>
            <w:tcW w:w="6520" w:type="dxa"/>
          </w:tcPr>
          <w:p>
            <w:pPr>
              <w:ind w:left="420" w:hanging="420"/>
            </w:pPr>
            <w:r>
              <w:rPr>
                <w:rFonts w:hint="eastAsia"/>
              </w:rPr>
              <w:t>3对项目</w:t>
            </w:r>
            <w:r>
              <w:t>理解和认识、</w:t>
            </w:r>
            <w:r>
              <w:rPr>
                <w:rFonts w:hint="eastAsia"/>
                <w:szCs w:val="22"/>
              </w:rPr>
              <w:t>工作流程及工作要点</w:t>
            </w:r>
            <w:r>
              <w:rPr>
                <w:rFonts w:hint="eastAsia"/>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09" w:type="dxa"/>
            <w:vMerge w:val="continue"/>
            <w:vAlign w:val="center"/>
          </w:tcPr>
          <w:p/>
        </w:tc>
        <w:tc>
          <w:tcPr>
            <w:tcW w:w="1276" w:type="dxa"/>
            <w:vMerge w:val="continue"/>
            <w:vAlign w:val="center"/>
          </w:tcPr>
          <w:p>
            <w:pPr>
              <w:jc w:val="center"/>
            </w:pPr>
          </w:p>
        </w:tc>
        <w:tc>
          <w:tcPr>
            <w:tcW w:w="6520" w:type="dxa"/>
          </w:tcPr>
          <w:p>
            <w:pPr>
              <w:ind w:left="420" w:hanging="420"/>
            </w:pPr>
            <w:r>
              <w:rPr>
                <w:rFonts w:hint="eastAsia"/>
              </w:rPr>
              <w:t>4人员配置及</w:t>
            </w:r>
            <w:r>
              <w:rPr>
                <w:rFonts w:hint="eastAsia"/>
                <w:szCs w:val="22"/>
              </w:rPr>
              <w:t>制度、岗位职责</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09" w:type="dxa"/>
            <w:vMerge w:val="continue"/>
            <w:vAlign w:val="center"/>
          </w:tcPr>
          <w:p/>
        </w:tc>
        <w:tc>
          <w:tcPr>
            <w:tcW w:w="1276" w:type="dxa"/>
            <w:vMerge w:val="continue"/>
            <w:vAlign w:val="center"/>
          </w:tcPr>
          <w:p>
            <w:pPr>
              <w:jc w:val="center"/>
            </w:pPr>
          </w:p>
        </w:tc>
        <w:tc>
          <w:tcPr>
            <w:tcW w:w="6520" w:type="dxa"/>
          </w:tcPr>
          <w:p>
            <w:pPr>
              <w:ind w:left="420" w:hanging="420"/>
            </w:pPr>
            <w:r>
              <w:rPr>
                <w:rFonts w:hint="eastAsia"/>
              </w:rPr>
              <w:t>5</w:t>
            </w:r>
            <w:r>
              <w:rPr>
                <w:rFonts w:hint="eastAsia"/>
                <w:szCs w:val="22"/>
              </w:rPr>
              <w:t>廉洁从业及保密措施</w:t>
            </w:r>
            <w:r>
              <w:rPr>
                <w:rFonts w:hint="eastAsia"/>
              </w:rPr>
              <w:t>：（0-</w:t>
            </w:r>
            <w:r>
              <w:t>4</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09" w:type="dxa"/>
            <w:vMerge w:val="continue"/>
            <w:vAlign w:val="center"/>
          </w:tcPr>
          <w:p/>
        </w:tc>
        <w:tc>
          <w:tcPr>
            <w:tcW w:w="1276" w:type="dxa"/>
            <w:vMerge w:val="continue"/>
            <w:vAlign w:val="center"/>
          </w:tcPr>
          <w:p>
            <w:pPr>
              <w:jc w:val="center"/>
            </w:pPr>
          </w:p>
        </w:tc>
        <w:tc>
          <w:tcPr>
            <w:tcW w:w="6520" w:type="dxa"/>
          </w:tcPr>
          <w:p>
            <w:pPr>
              <w:ind w:left="420" w:hanging="420"/>
            </w:pPr>
            <w:r>
              <w:rPr>
                <w:rFonts w:hint="eastAsia"/>
              </w:rPr>
              <w:t>6可研报告编制</w:t>
            </w:r>
            <w:r>
              <w:rPr>
                <w:rFonts w:hint="eastAsia"/>
                <w:szCs w:val="22"/>
              </w:rPr>
              <w:t>过程中重点难点的分析及解决办法</w:t>
            </w:r>
            <w:r>
              <w:rPr>
                <w:rFonts w:hint="eastAsia"/>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09" w:type="dxa"/>
            <w:vAlign w:val="center"/>
          </w:tcPr>
          <w:p>
            <w:pPr>
              <w:spacing w:line="440" w:lineRule="exact"/>
              <w:jc w:val="center"/>
              <w:rPr>
                <w:szCs w:val="21"/>
              </w:rPr>
            </w:pPr>
            <w:r>
              <w:rPr>
                <w:rFonts w:hint="eastAsia"/>
                <w:szCs w:val="21"/>
              </w:rPr>
              <w:t>3</w:t>
            </w:r>
          </w:p>
        </w:tc>
        <w:tc>
          <w:tcPr>
            <w:tcW w:w="1276" w:type="dxa"/>
            <w:vAlign w:val="center"/>
          </w:tcPr>
          <w:p>
            <w:pPr>
              <w:spacing w:line="420" w:lineRule="atLeast"/>
              <w:jc w:val="center"/>
              <w:rPr>
                <w:szCs w:val="21"/>
              </w:rPr>
            </w:pPr>
            <w:r>
              <w:rPr>
                <w:rFonts w:hint="eastAsia"/>
                <w:szCs w:val="21"/>
              </w:rPr>
              <w:t>企业业绩、人员配置及服务承诺</w:t>
            </w:r>
          </w:p>
          <w:p>
            <w:pPr>
              <w:spacing w:line="420" w:lineRule="atLeast"/>
              <w:jc w:val="center"/>
            </w:pPr>
            <w:r>
              <w:rPr>
                <w:rFonts w:hint="eastAsia"/>
                <w:szCs w:val="21"/>
              </w:rPr>
              <w:t>（满分40）</w:t>
            </w:r>
          </w:p>
        </w:tc>
        <w:tc>
          <w:tcPr>
            <w:tcW w:w="6520" w:type="dxa"/>
          </w:tcPr>
          <w:p>
            <w:pPr>
              <w:pStyle w:val="7"/>
              <w:snapToGrid w:val="0"/>
              <w:spacing w:line="340" w:lineRule="exact"/>
              <w:rPr>
                <w:rFonts w:ascii="Calibri" w:hAnsi="Calibri"/>
                <w:sz w:val="21"/>
                <w:szCs w:val="22"/>
              </w:rPr>
            </w:pPr>
            <w:r>
              <w:rPr>
                <w:rFonts w:hint="eastAsia" w:ascii="Calibri" w:hAnsi="Calibri"/>
                <w:sz w:val="21"/>
                <w:szCs w:val="22"/>
              </w:rPr>
              <w:t>1、企业</w:t>
            </w:r>
            <w:r>
              <w:rPr>
                <w:rFonts w:ascii="Calibri" w:hAnsi="Calibri"/>
                <w:sz w:val="21"/>
                <w:szCs w:val="22"/>
              </w:rPr>
              <w:t>业绩（24分）</w:t>
            </w:r>
          </w:p>
          <w:p>
            <w:pPr>
              <w:widowControl/>
              <w:snapToGrid w:val="0"/>
              <w:spacing w:line="340" w:lineRule="exact"/>
              <w:ind w:firstLine="420" w:firstLineChars="200"/>
              <w:jc w:val="left"/>
              <w:rPr>
                <w:szCs w:val="22"/>
              </w:rPr>
            </w:pPr>
            <w:r>
              <w:rPr>
                <w:rFonts w:hint="eastAsia" w:ascii="Times New Roman" w:hAnsi="Times New Roman"/>
                <w:szCs w:val="22"/>
              </w:rPr>
              <w:t>近</w:t>
            </w:r>
            <w:r>
              <w:rPr>
                <w:rFonts w:hint="eastAsia" w:ascii="Times New Roman" w:hAnsi="Times New Roman"/>
                <w:szCs w:val="22"/>
                <w:u w:val="single"/>
              </w:rPr>
              <w:t xml:space="preserve">   </w:t>
            </w:r>
            <w:r>
              <w:rPr>
                <w:rFonts w:hint="eastAsia" w:ascii="Times New Roman" w:hAnsi="Times New Roman"/>
                <w:szCs w:val="22"/>
              </w:rPr>
              <w:t>年（20</w:t>
            </w:r>
            <w:r>
              <w:rPr>
                <w:rFonts w:hint="eastAsia" w:ascii="Times New Roman" w:hAnsi="Times New Roman"/>
                <w:szCs w:val="22"/>
                <w:u w:val="single"/>
              </w:rPr>
              <w:t xml:space="preserve">  </w:t>
            </w:r>
            <w:r>
              <w:rPr>
                <w:rFonts w:hint="eastAsia" w:ascii="Times New Roman" w:hAnsi="Times New Roman"/>
                <w:szCs w:val="22"/>
              </w:rPr>
              <w:t>年</w:t>
            </w:r>
            <w:r>
              <w:rPr>
                <w:rFonts w:hint="eastAsia" w:ascii="Times New Roman" w:hAnsi="Times New Roman"/>
                <w:szCs w:val="22"/>
                <w:u w:val="single"/>
              </w:rPr>
              <w:t xml:space="preserve">   </w:t>
            </w:r>
            <w:r>
              <w:rPr>
                <w:rFonts w:hint="eastAsia" w:ascii="Times New Roman" w:hAnsi="Times New Roman"/>
                <w:szCs w:val="22"/>
              </w:rPr>
              <w:t>月）</w:t>
            </w:r>
            <w:r>
              <w:rPr>
                <w:rFonts w:hint="eastAsia"/>
                <w:szCs w:val="22"/>
              </w:rPr>
              <w:t>，提供企业类似项目业绩：单项合同金额≥</w:t>
            </w:r>
            <w:r>
              <w:rPr>
                <w:rFonts w:hint="eastAsia"/>
                <w:szCs w:val="22"/>
                <w:u w:val="single"/>
              </w:rPr>
              <w:t xml:space="preserve">    </w:t>
            </w:r>
            <w:r>
              <w:rPr>
                <w:rFonts w:hint="eastAsia"/>
                <w:szCs w:val="22"/>
              </w:rPr>
              <w:t>万元的类似项目业绩，每项得6分；单项合同金额≥</w:t>
            </w:r>
            <w:r>
              <w:rPr>
                <w:rFonts w:hint="eastAsia"/>
                <w:szCs w:val="22"/>
                <w:u w:val="single"/>
              </w:rPr>
              <w:t xml:space="preserve">    </w:t>
            </w:r>
            <w:r>
              <w:rPr>
                <w:rFonts w:hint="eastAsia"/>
                <w:szCs w:val="22"/>
              </w:rPr>
              <w:t>万元但＜</w:t>
            </w:r>
            <w:r>
              <w:rPr>
                <w:rFonts w:hint="eastAsia"/>
                <w:szCs w:val="22"/>
                <w:u w:val="single"/>
              </w:rPr>
              <w:t xml:space="preserve">     </w:t>
            </w:r>
            <w:r>
              <w:rPr>
                <w:rFonts w:hint="eastAsia"/>
                <w:szCs w:val="22"/>
              </w:rPr>
              <w:t>万元的类似项目业绩，每项得3分。满分24分。</w:t>
            </w:r>
          </w:p>
          <w:p>
            <w:pPr>
              <w:snapToGrid w:val="0"/>
              <w:spacing w:line="340" w:lineRule="exact"/>
              <w:rPr>
                <w:szCs w:val="22"/>
              </w:rPr>
            </w:pPr>
            <w:r>
              <w:rPr>
                <w:rFonts w:hint="eastAsia"/>
                <w:szCs w:val="22"/>
              </w:rPr>
              <w:t>（注：①类似业绩是指</w:t>
            </w:r>
            <w:r>
              <w:rPr>
                <w:rFonts w:hint="eastAsia"/>
                <w:szCs w:val="22"/>
                <w:u w:val="single"/>
              </w:rPr>
              <w:t xml:space="preserve"> </w:t>
            </w:r>
            <w:r>
              <w:rPr>
                <w:rFonts w:hint="eastAsia"/>
                <w:i/>
                <w:szCs w:val="22"/>
                <w:u w:val="single"/>
              </w:rPr>
              <w:t>（类别、规模）</w:t>
            </w:r>
            <w:r>
              <w:rPr>
                <w:rFonts w:hint="eastAsia"/>
                <w:szCs w:val="22"/>
              </w:rPr>
              <w:t xml:space="preserve">项目业绩，以合同内容为准；②时间以合同签订日期为准。）   </w:t>
            </w:r>
          </w:p>
          <w:p>
            <w:pPr>
              <w:pStyle w:val="7"/>
              <w:snapToGrid w:val="0"/>
              <w:spacing w:line="340" w:lineRule="exact"/>
              <w:rPr>
                <w:rFonts w:ascii="Calibri" w:hAnsi="Calibri"/>
                <w:sz w:val="21"/>
                <w:szCs w:val="22"/>
              </w:rPr>
            </w:pPr>
            <w:r>
              <w:rPr>
                <w:rFonts w:hint="eastAsia" w:ascii="Calibri" w:hAnsi="Calibri"/>
                <w:sz w:val="21"/>
                <w:szCs w:val="22"/>
              </w:rPr>
              <w:t>2、人员配置（12分）</w:t>
            </w:r>
          </w:p>
          <w:p>
            <w:pPr>
              <w:pStyle w:val="7"/>
              <w:snapToGrid w:val="0"/>
              <w:spacing w:line="340" w:lineRule="exact"/>
              <w:ind w:firstLine="420" w:firstLineChars="200"/>
              <w:rPr>
                <w:rFonts w:ascii="Times New Roman" w:hAnsi="Times New Roman"/>
                <w:sz w:val="21"/>
                <w:szCs w:val="22"/>
              </w:rPr>
            </w:pPr>
            <w:r>
              <w:rPr>
                <w:rFonts w:hint="eastAsia" w:ascii="Times New Roman" w:hAnsi="Times New Roman"/>
                <w:sz w:val="21"/>
                <w:szCs w:val="22"/>
              </w:rPr>
              <w:t>①专业负责人（6分）</w:t>
            </w:r>
          </w:p>
          <w:p>
            <w:pPr>
              <w:pStyle w:val="7"/>
              <w:snapToGrid w:val="0"/>
              <w:spacing w:line="340" w:lineRule="exact"/>
              <w:ind w:firstLine="420" w:firstLineChars="200"/>
              <w:rPr>
                <w:rFonts w:ascii="Times New Roman" w:hAnsi="Times New Roman"/>
                <w:sz w:val="21"/>
                <w:szCs w:val="22"/>
              </w:rPr>
            </w:pPr>
            <w:r>
              <w:rPr>
                <w:rFonts w:hint="eastAsia" w:ascii="Times New Roman" w:hAnsi="Times New Roman"/>
                <w:sz w:val="21"/>
                <w:szCs w:val="22"/>
              </w:rPr>
              <w:t>资格及职称（3分）：拟派专业负责人为</w:t>
            </w:r>
            <w:r>
              <w:rPr>
                <w:rFonts w:hint="eastAsia" w:ascii="Times New Roman" w:hAnsi="Times New Roman"/>
                <w:i/>
                <w:sz w:val="21"/>
                <w:szCs w:val="22"/>
                <w:u w:val="single"/>
              </w:rPr>
              <w:t>（专业工程）</w:t>
            </w:r>
            <w:r>
              <w:rPr>
                <w:rFonts w:hint="eastAsia" w:ascii="Times New Roman" w:hAnsi="Times New Roman"/>
                <w:sz w:val="21"/>
                <w:szCs w:val="22"/>
              </w:rPr>
              <w:t>咨询工程师且具备高级职称得3分；专业负责人为</w:t>
            </w:r>
            <w:r>
              <w:rPr>
                <w:rFonts w:hint="eastAsia" w:ascii="Times New Roman" w:hAnsi="Times New Roman"/>
                <w:i/>
                <w:sz w:val="21"/>
                <w:szCs w:val="22"/>
                <w:u w:val="single"/>
              </w:rPr>
              <w:t>（专业工程）</w:t>
            </w:r>
            <w:r>
              <w:rPr>
                <w:rFonts w:hint="eastAsia" w:ascii="Times New Roman" w:hAnsi="Times New Roman"/>
                <w:sz w:val="21"/>
                <w:szCs w:val="22"/>
              </w:rPr>
              <w:t>咨询工程师且具备中级职称得2分；其他不得分。</w:t>
            </w:r>
          </w:p>
          <w:p>
            <w:pPr>
              <w:pStyle w:val="7"/>
              <w:snapToGrid w:val="0"/>
              <w:spacing w:line="340" w:lineRule="exact"/>
              <w:ind w:firstLine="420" w:firstLineChars="200"/>
              <w:rPr>
                <w:rFonts w:ascii="Times New Roman" w:hAnsi="Times New Roman"/>
                <w:sz w:val="21"/>
                <w:szCs w:val="22"/>
              </w:rPr>
            </w:pPr>
            <w:r>
              <w:rPr>
                <w:rFonts w:hint="eastAsia" w:ascii="Times New Roman" w:hAnsi="Times New Roman"/>
                <w:sz w:val="21"/>
                <w:szCs w:val="22"/>
              </w:rPr>
              <w:t>业绩（3分）：近</w:t>
            </w:r>
            <w:r>
              <w:rPr>
                <w:rFonts w:hint="eastAsia" w:ascii="Times New Roman" w:hAnsi="Times New Roman"/>
                <w:sz w:val="21"/>
                <w:szCs w:val="22"/>
                <w:u w:val="single"/>
              </w:rPr>
              <w:t xml:space="preserve">   </w:t>
            </w:r>
            <w:r>
              <w:rPr>
                <w:rFonts w:hint="eastAsia" w:ascii="Times New Roman" w:hAnsi="Times New Roman"/>
                <w:sz w:val="21"/>
                <w:szCs w:val="22"/>
              </w:rPr>
              <w:t>年（20</w:t>
            </w:r>
            <w:r>
              <w:rPr>
                <w:rFonts w:hint="eastAsia" w:ascii="Times New Roman" w:hAnsi="Times New Roman"/>
                <w:sz w:val="21"/>
                <w:szCs w:val="22"/>
                <w:u w:val="single"/>
              </w:rPr>
              <w:t xml:space="preserve">  </w:t>
            </w:r>
            <w:r>
              <w:rPr>
                <w:rFonts w:hint="eastAsia" w:ascii="Times New Roman" w:hAnsi="Times New Roman"/>
                <w:sz w:val="21"/>
                <w:szCs w:val="22"/>
              </w:rPr>
              <w:t>年</w:t>
            </w:r>
            <w:r>
              <w:rPr>
                <w:rFonts w:hint="eastAsia" w:ascii="Times New Roman" w:hAnsi="Times New Roman"/>
                <w:sz w:val="21"/>
                <w:szCs w:val="22"/>
                <w:u w:val="single"/>
              </w:rPr>
              <w:t xml:space="preserve">   </w:t>
            </w:r>
            <w:r>
              <w:rPr>
                <w:rFonts w:hint="eastAsia" w:ascii="Times New Roman" w:hAnsi="Times New Roman"/>
                <w:sz w:val="21"/>
                <w:szCs w:val="22"/>
              </w:rPr>
              <w:t>月），有类似项目可研报告编制业绩，每项得1分。</w:t>
            </w:r>
          </w:p>
          <w:p>
            <w:pPr>
              <w:snapToGrid w:val="0"/>
              <w:spacing w:line="340" w:lineRule="exact"/>
              <w:rPr>
                <w:szCs w:val="22"/>
              </w:rPr>
            </w:pPr>
            <w:r>
              <w:rPr>
                <w:rFonts w:hint="eastAsia"/>
                <w:szCs w:val="22"/>
              </w:rPr>
              <w:t>（注：①类似项目可研报告编制业绩指</w:t>
            </w:r>
            <w:r>
              <w:rPr>
                <w:rFonts w:hint="eastAsia"/>
                <w:i/>
                <w:szCs w:val="22"/>
                <w:u w:val="single"/>
              </w:rPr>
              <w:t>（类别、规模）</w:t>
            </w:r>
            <w:r>
              <w:rPr>
                <w:rFonts w:hint="eastAsia"/>
                <w:szCs w:val="22"/>
              </w:rPr>
              <w:t>项目业绩，以合同内容为准；</w:t>
            </w:r>
            <w:r>
              <w:rPr>
                <w:rFonts w:hint="eastAsia" w:ascii="Times New Roman" w:hAnsi="Times New Roman"/>
                <w:szCs w:val="22"/>
              </w:rPr>
              <w:t>②</w:t>
            </w:r>
            <w:r>
              <w:rPr>
                <w:rFonts w:hint="eastAsia"/>
                <w:szCs w:val="22"/>
              </w:rPr>
              <w:t>时间以合同签订日期为准。）</w:t>
            </w:r>
          </w:p>
          <w:p>
            <w:pPr>
              <w:pStyle w:val="7"/>
              <w:snapToGrid w:val="0"/>
              <w:spacing w:line="340" w:lineRule="exact"/>
              <w:ind w:left="420"/>
              <w:rPr>
                <w:rFonts w:ascii="Times New Roman" w:hAnsi="Times New Roman"/>
                <w:sz w:val="21"/>
                <w:szCs w:val="22"/>
              </w:rPr>
            </w:pPr>
            <w:r>
              <w:rPr>
                <w:rFonts w:hint="eastAsia" w:ascii="Times New Roman" w:hAnsi="Times New Roman"/>
                <w:sz w:val="21"/>
                <w:szCs w:val="22"/>
              </w:rPr>
              <w:t>②其他人员配置（6分）</w:t>
            </w:r>
          </w:p>
          <w:p>
            <w:pPr>
              <w:snapToGrid w:val="0"/>
              <w:spacing w:line="340" w:lineRule="exact"/>
              <w:ind w:firstLine="420" w:firstLineChars="200"/>
            </w:pPr>
            <w:r>
              <w:rPr>
                <w:rFonts w:hint="eastAsia"/>
                <w:szCs w:val="22"/>
              </w:rPr>
              <w:t>拟派本项目人员中，每提供一个</w:t>
            </w:r>
            <w:r>
              <w:rPr>
                <w:rFonts w:hint="eastAsia" w:ascii="Calibri" w:hAnsi="Calibri"/>
                <w:szCs w:val="22"/>
              </w:rPr>
              <w:t>咨询工程师（投资）、注册造价工程师、注册建筑师、注册结构工程师、注册土木工程师（岩土）、注册建造师，一级</w:t>
            </w:r>
            <w:r>
              <w:rPr>
                <w:rFonts w:hint="eastAsia"/>
                <w:szCs w:val="22"/>
              </w:rPr>
              <w:t>得</w:t>
            </w:r>
            <w:r>
              <w:rPr>
                <w:szCs w:val="22"/>
              </w:rPr>
              <w:t>3</w:t>
            </w:r>
            <w:r>
              <w:rPr>
                <w:rFonts w:hint="eastAsia"/>
                <w:szCs w:val="22"/>
              </w:rPr>
              <w:t>分，</w:t>
            </w:r>
            <w:r>
              <w:rPr>
                <w:rFonts w:hint="eastAsia" w:ascii="Calibri" w:hAnsi="Calibri"/>
                <w:szCs w:val="22"/>
              </w:rPr>
              <w:t>二级得</w:t>
            </w:r>
            <w:r>
              <w:rPr>
                <w:rFonts w:ascii="Calibri" w:hAnsi="Calibri"/>
                <w:szCs w:val="22"/>
              </w:rPr>
              <w:t>2</w:t>
            </w:r>
            <w:r>
              <w:rPr>
                <w:rFonts w:hint="eastAsia" w:ascii="Calibri" w:hAnsi="Calibri"/>
                <w:szCs w:val="22"/>
              </w:rPr>
              <w:t>分，未实行分级的自动划分为一级；</w:t>
            </w:r>
            <w:r>
              <w:rPr>
                <w:rFonts w:hint="eastAsia"/>
                <w:szCs w:val="22"/>
              </w:rPr>
              <w:t>每提供一个</w:t>
            </w:r>
            <w:r>
              <w:rPr>
                <w:rFonts w:hint="eastAsia" w:ascii="Calibri" w:hAnsi="Calibri"/>
                <w:szCs w:val="22"/>
              </w:rPr>
              <w:t>工程类或经济类高级职称得</w:t>
            </w:r>
            <w:r>
              <w:rPr>
                <w:rFonts w:ascii="Calibri" w:hAnsi="Calibri"/>
                <w:szCs w:val="22"/>
              </w:rPr>
              <w:t>3</w:t>
            </w:r>
            <w:r>
              <w:rPr>
                <w:rFonts w:hint="eastAsia" w:ascii="Calibri" w:hAnsi="Calibri"/>
                <w:szCs w:val="22"/>
              </w:rPr>
              <w:t>分，中级职称得</w:t>
            </w:r>
            <w:r>
              <w:rPr>
                <w:rFonts w:ascii="Calibri" w:hAnsi="Calibri"/>
                <w:szCs w:val="22"/>
              </w:rPr>
              <w:t>2</w:t>
            </w:r>
            <w:r>
              <w:rPr>
                <w:rFonts w:hint="eastAsia" w:ascii="Calibri" w:hAnsi="Calibri"/>
                <w:szCs w:val="22"/>
              </w:rPr>
              <w:t>分；同一人提供多个证书的只计其中最高分；</w:t>
            </w:r>
            <w:r>
              <w:rPr>
                <w:rFonts w:hint="eastAsia"/>
                <w:szCs w:val="22"/>
              </w:rPr>
              <w:t>满分</w:t>
            </w:r>
            <w:r>
              <w:rPr>
                <w:szCs w:val="22"/>
              </w:rPr>
              <w:t>6</w:t>
            </w:r>
            <w:r>
              <w:rPr>
                <w:rFonts w:hint="eastAsia"/>
                <w:szCs w:val="22"/>
              </w:rPr>
              <w:t>分。</w:t>
            </w:r>
          </w:p>
          <w:p>
            <w:pPr>
              <w:pStyle w:val="7"/>
              <w:snapToGrid w:val="0"/>
              <w:spacing w:line="340" w:lineRule="exact"/>
              <w:rPr>
                <w:rFonts w:ascii="Calibri" w:hAnsi="Calibri"/>
                <w:sz w:val="21"/>
                <w:szCs w:val="22"/>
              </w:rPr>
            </w:pPr>
            <w:r>
              <w:rPr>
                <w:rFonts w:ascii="Calibri" w:hAnsi="Calibri"/>
                <w:sz w:val="21"/>
                <w:szCs w:val="22"/>
              </w:rPr>
              <w:t>3</w:t>
            </w:r>
            <w:r>
              <w:rPr>
                <w:rFonts w:hint="eastAsia" w:ascii="Calibri" w:hAnsi="Calibri"/>
                <w:sz w:val="21"/>
                <w:szCs w:val="22"/>
              </w:rPr>
              <w:t>、服务承诺（</w:t>
            </w:r>
            <w:r>
              <w:rPr>
                <w:rFonts w:ascii="Calibri" w:hAnsi="Calibri"/>
                <w:sz w:val="21"/>
                <w:szCs w:val="22"/>
              </w:rPr>
              <w:t>4</w:t>
            </w:r>
            <w:r>
              <w:rPr>
                <w:rFonts w:hint="eastAsia" w:ascii="Calibri" w:hAnsi="Calibri"/>
                <w:sz w:val="21"/>
                <w:szCs w:val="22"/>
              </w:rPr>
              <w:t>分）</w:t>
            </w:r>
          </w:p>
          <w:p>
            <w:pPr>
              <w:pStyle w:val="7"/>
              <w:snapToGrid w:val="0"/>
              <w:spacing w:line="340" w:lineRule="exact"/>
              <w:ind w:firstLine="420" w:firstLineChars="200"/>
            </w:pPr>
            <w:r>
              <w:rPr>
                <w:rFonts w:hint="eastAsia" w:ascii="Times New Roman" w:hAnsi="Times New Roman"/>
                <w:sz w:val="21"/>
                <w:szCs w:val="22"/>
              </w:rPr>
              <w:t>根据投标人针对本项目服务的承诺进行横向对比，差别赋分（0-</w:t>
            </w:r>
            <w:r>
              <w:rPr>
                <w:rFonts w:ascii="Times New Roman" w:hAnsi="Times New Roman"/>
                <w:sz w:val="21"/>
                <w:szCs w:val="22"/>
              </w:rPr>
              <w:t>4</w:t>
            </w:r>
            <w:r>
              <w:rPr>
                <w:rFonts w:hint="eastAsia" w:ascii="Times New Roman" w:hAnsi="Times New Roman"/>
                <w:sz w:val="21"/>
                <w:szCs w:val="22"/>
              </w:rPr>
              <w:t>）。</w:t>
            </w:r>
          </w:p>
        </w:tc>
      </w:tr>
    </w:tbl>
    <w:p>
      <w:r>
        <w:rPr>
          <w:rFonts w:hint="eastAsia"/>
        </w:rPr>
        <w:br w:type="page"/>
      </w:r>
    </w:p>
    <w:tbl>
      <w:tblPr>
        <w:tblStyle w:val="22"/>
        <w:tblW w:w="848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6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487" w:type="dxa"/>
            <w:gridSpan w:val="3"/>
            <w:vAlign w:val="center"/>
          </w:tcPr>
          <w:p>
            <w:pPr>
              <w:spacing w:line="440" w:lineRule="exact"/>
              <w:jc w:val="center"/>
              <w:rPr>
                <w:szCs w:val="21"/>
              </w:rPr>
            </w:pPr>
            <w:r>
              <w:rPr>
                <w:b/>
                <w:bCs/>
                <w:szCs w:val="21"/>
              </w:rPr>
              <w:t>2.2.4</w:t>
            </w:r>
            <w:r>
              <w:rPr>
                <w:rFonts w:hint="eastAsia"/>
                <w:b/>
                <w:bCs/>
                <w:szCs w:val="21"/>
              </w:rPr>
              <w:t>（3） 勘察（满分100分）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09" w:type="dxa"/>
            <w:vAlign w:val="center"/>
          </w:tcPr>
          <w:p>
            <w:pPr>
              <w:spacing w:line="440" w:lineRule="exact"/>
              <w:jc w:val="center"/>
              <w:rPr>
                <w:szCs w:val="21"/>
              </w:rPr>
            </w:pPr>
            <w:r>
              <w:rPr>
                <w:rFonts w:hint="eastAsia"/>
                <w:szCs w:val="21"/>
              </w:rPr>
              <w:t>序号</w:t>
            </w:r>
          </w:p>
        </w:tc>
        <w:tc>
          <w:tcPr>
            <w:tcW w:w="1276" w:type="dxa"/>
            <w:vAlign w:val="center"/>
          </w:tcPr>
          <w:p>
            <w:pPr>
              <w:spacing w:line="440" w:lineRule="exact"/>
              <w:jc w:val="center"/>
              <w:rPr>
                <w:szCs w:val="21"/>
              </w:rPr>
            </w:pPr>
            <w:r>
              <w:rPr>
                <w:szCs w:val="21"/>
              </w:rPr>
              <w:t>评分因素</w:t>
            </w:r>
          </w:p>
        </w:tc>
        <w:tc>
          <w:tcPr>
            <w:tcW w:w="6502" w:type="dxa"/>
            <w:vAlign w:val="center"/>
          </w:tcPr>
          <w:p>
            <w:pPr>
              <w:spacing w:line="440" w:lineRule="exact"/>
              <w:jc w:val="center"/>
              <w:rPr>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09" w:type="dxa"/>
            <w:vAlign w:val="center"/>
          </w:tcPr>
          <w:p>
            <w:pPr>
              <w:spacing w:line="440" w:lineRule="exact"/>
              <w:jc w:val="center"/>
              <w:rPr>
                <w:szCs w:val="21"/>
              </w:rPr>
            </w:pPr>
            <w:r>
              <w:rPr>
                <w:rFonts w:hint="eastAsia"/>
                <w:szCs w:val="21"/>
              </w:rPr>
              <w:t>1</w:t>
            </w:r>
          </w:p>
        </w:tc>
        <w:tc>
          <w:tcPr>
            <w:tcW w:w="1276" w:type="dxa"/>
            <w:vAlign w:val="center"/>
          </w:tcPr>
          <w:p>
            <w:pPr>
              <w:spacing w:line="440" w:lineRule="exact"/>
              <w:jc w:val="center"/>
              <w:rPr>
                <w:szCs w:val="21"/>
              </w:rPr>
            </w:pPr>
            <w:r>
              <w:rPr>
                <w:rFonts w:hint="eastAsia"/>
                <w:szCs w:val="21"/>
              </w:rPr>
              <w:t>投标报价</w:t>
            </w:r>
          </w:p>
          <w:p>
            <w:pPr>
              <w:spacing w:line="440" w:lineRule="exact"/>
              <w:jc w:val="center"/>
              <w:rPr>
                <w:szCs w:val="21"/>
              </w:rPr>
            </w:pPr>
            <w:r>
              <w:rPr>
                <w:rFonts w:hint="eastAsia"/>
                <w:szCs w:val="21"/>
              </w:rPr>
              <w:t>（下浮率）</w:t>
            </w:r>
          </w:p>
          <w:p>
            <w:pPr>
              <w:spacing w:line="440" w:lineRule="exact"/>
              <w:ind w:left="420" w:hanging="420"/>
              <w:jc w:val="center"/>
              <w:rPr>
                <w:szCs w:val="21"/>
              </w:rPr>
            </w:pPr>
            <w:r>
              <w:rPr>
                <w:rFonts w:hint="eastAsia"/>
                <w:szCs w:val="21"/>
              </w:rPr>
              <w:t>（满分30分）</w:t>
            </w:r>
          </w:p>
        </w:tc>
        <w:tc>
          <w:tcPr>
            <w:tcW w:w="6502" w:type="dxa"/>
            <w:vAlign w:val="center"/>
          </w:tcPr>
          <w:p>
            <w:pPr>
              <w:pStyle w:val="7"/>
              <w:spacing w:line="320" w:lineRule="exact"/>
              <w:ind w:firstLine="420" w:firstLineChars="200"/>
              <w:rPr>
                <w:rFonts w:asciiTheme="minorEastAsia" w:hAnsiTheme="minorEastAsia"/>
                <w:sz w:val="21"/>
                <w:szCs w:val="22"/>
              </w:rPr>
            </w:pPr>
            <w:r>
              <w:rPr>
                <w:rFonts w:hint="eastAsia" w:asciiTheme="minorEastAsia" w:hAnsiTheme="minorEastAsia"/>
                <w:sz w:val="21"/>
                <w:szCs w:val="22"/>
              </w:rPr>
              <w:t>以评标基准价（下浮率）为基础，当投标报价（下浮率）等于评标基准价（下浮率）时得满分，投标报价（下浮率）每增加1%扣0.03分，每减少1%扣0.06分，扣完为止。</w:t>
            </w:r>
          </w:p>
          <w:p>
            <w:pPr>
              <w:spacing w:line="320" w:lineRule="exact"/>
              <w:rPr>
                <w:rFonts w:asciiTheme="minorEastAsia" w:hAnsiTheme="minorEastAsia"/>
                <w:szCs w:val="22"/>
              </w:rPr>
            </w:pPr>
            <w:r>
              <w:rPr>
                <w:rFonts w:hint="eastAsia" w:asciiTheme="minorEastAsia" w:hAnsiTheme="minorEastAsia"/>
                <w:szCs w:val="22"/>
              </w:rPr>
              <w:t>评标基准价（下浮率）=各有效投标报价（下浮率）之和</w:t>
            </w:r>
            <w:r>
              <w:rPr>
                <w:rFonts w:hint="eastAsia" w:asciiTheme="minorEastAsia" w:hAnsiTheme="minorEastAsia"/>
              </w:rPr>
              <w:t>/</w:t>
            </w:r>
            <w:r>
              <w:rPr>
                <w:rFonts w:hint="eastAsia" w:asciiTheme="minorEastAsia" w:hAnsiTheme="minorEastAsia"/>
                <w:szCs w:val="22"/>
              </w:rPr>
              <w:t>有效投标单位个数。</w:t>
            </w:r>
          </w:p>
          <w:p>
            <w:pPr>
              <w:spacing w:line="320" w:lineRule="exact"/>
              <w:rPr>
                <w:rFonts w:asciiTheme="minorEastAsia" w:hAnsiTheme="minorEastAsia"/>
              </w:rPr>
            </w:pPr>
            <w:r>
              <w:rPr>
                <w:rFonts w:hint="eastAsia" w:asciiTheme="minorEastAsia" w:hAnsiTheme="minorEastAsia"/>
              </w:rPr>
              <w:t>投标人数量≤5时，评标基准价采用全部有效投标报价计算；</w:t>
            </w:r>
          </w:p>
          <w:p>
            <w:pPr>
              <w:spacing w:line="320" w:lineRule="exact"/>
              <w:rPr>
                <w:rFonts w:asciiTheme="minorEastAsia" w:hAnsiTheme="minorEastAsia"/>
              </w:rPr>
            </w:pPr>
            <w:r>
              <w:rPr>
                <w:rFonts w:hint="eastAsia" w:asciiTheme="minorEastAsia" w:hAnsiTheme="minorEastAsia"/>
              </w:rPr>
              <w:t>5＜投标人数量≤20时，评标基准价采用去除有效报价最高、最低各1个计算；</w:t>
            </w:r>
          </w:p>
          <w:p>
            <w:pPr>
              <w:spacing w:line="320" w:lineRule="exact"/>
              <w:rPr>
                <w:rFonts w:asciiTheme="minorEastAsia" w:hAnsiTheme="minorEastAsia"/>
              </w:rPr>
            </w:pPr>
            <w:r>
              <w:rPr>
                <w:rFonts w:hint="eastAsia" w:asciiTheme="minorEastAsia" w:hAnsiTheme="minorEastAsia"/>
              </w:rPr>
              <w:t>投标人数量＞20时，评标基准价采用去除有效报价最高、最低各2个计算。</w:t>
            </w:r>
          </w:p>
          <w:p>
            <w:pPr>
              <w:spacing w:line="320" w:lineRule="exact"/>
              <w:jc w:val="left"/>
              <w:rPr>
                <w:rFonts w:asciiTheme="minorEastAsia" w:hAnsiTheme="minorEastAsia"/>
              </w:rPr>
            </w:pPr>
            <w:r>
              <w:rPr>
                <w:rFonts w:asciiTheme="minorEastAsia" w:hAnsiTheme="minorEastAsia"/>
              </w:rPr>
              <w:t>计算</w:t>
            </w:r>
            <w:r>
              <w:rPr>
                <w:rFonts w:hint="eastAsia" w:asciiTheme="minorEastAsia" w:hAnsiTheme="minorEastAsia"/>
              </w:rPr>
              <w:t>公式如下：</w:t>
            </w:r>
          </w:p>
          <w:p>
            <w:pPr>
              <w:spacing w:line="320" w:lineRule="exact"/>
              <w:jc w:val="left"/>
            </w:pPr>
            <w:r>
              <w:rPr>
                <w:rFonts w:hint="eastAsia"/>
              </w:rPr>
              <w:t>①当投标报价大于基准价</w:t>
            </w:r>
            <w:r>
              <w:rPr>
                <w:rFonts w:hint="eastAsia"/>
                <w:szCs w:val="22"/>
              </w:rPr>
              <w:t>（下浮率）</w:t>
            </w:r>
            <w:r>
              <w:rPr>
                <w:rFonts w:hint="eastAsia"/>
              </w:rPr>
              <w:t>时，报价得分=30-（投标报价</w:t>
            </w:r>
            <w:r>
              <w:rPr>
                <w:rFonts w:hint="eastAsia"/>
                <w:szCs w:val="22"/>
              </w:rPr>
              <w:t>（下浮率）－</w:t>
            </w:r>
            <w:r>
              <w:rPr>
                <w:rFonts w:hint="eastAsia"/>
              </w:rPr>
              <w:t>基准价</w:t>
            </w:r>
            <w:r>
              <w:rPr>
                <w:rFonts w:hint="eastAsia"/>
                <w:szCs w:val="22"/>
              </w:rPr>
              <w:t>（下浮率）</w:t>
            </w:r>
            <w:r>
              <w:rPr>
                <w:rFonts w:hint="eastAsia"/>
              </w:rPr>
              <w:t>）/基准价</w:t>
            </w:r>
            <w:r>
              <w:rPr>
                <w:rFonts w:hint="eastAsia"/>
                <w:szCs w:val="22"/>
              </w:rPr>
              <w:t>（下浮率）</w:t>
            </w:r>
            <w:r>
              <w:rPr>
                <w:rFonts w:hint="eastAsia"/>
              </w:rPr>
              <w:t>*</w:t>
            </w:r>
            <w:r>
              <w:rPr>
                <w:rFonts w:hint="eastAsia"/>
                <w:szCs w:val="22"/>
              </w:rPr>
              <w:t>0.03</w:t>
            </w:r>
            <w:r>
              <w:rPr>
                <w:rFonts w:hint="eastAsia"/>
              </w:rPr>
              <w:t>*100；</w:t>
            </w:r>
          </w:p>
          <w:p>
            <w:pPr>
              <w:spacing w:line="320" w:lineRule="exact"/>
              <w:jc w:val="left"/>
              <w:rPr>
                <w:szCs w:val="21"/>
              </w:rPr>
            </w:pPr>
            <w:r>
              <w:rPr>
                <w:rFonts w:hint="eastAsia"/>
              </w:rPr>
              <w:t>②当投标报价小于基准价</w:t>
            </w:r>
            <w:r>
              <w:rPr>
                <w:rFonts w:hint="eastAsia"/>
                <w:szCs w:val="22"/>
              </w:rPr>
              <w:t>（下浮率）</w:t>
            </w:r>
            <w:r>
              <w:rPr>
                <w:rFonts w:hint="eastAsia"/>
              </w:rPr>
              <w:t>时，报价得分=</w:t>
            </w:r>
            <w:r>
              <w:t>30</w:t>
            </w:r>
            <w:r>
              <w:rPr>
                <w:rFonts w:hint="eastAsia"/>
              </w:rPr>
              <w:t>-（基准价</w:t>
            </w:r>
            <w:r>
              <w:rPr>
                <w:rFonts w:hint="eastAsia"/>
                <w:szCs w:val="22"/>
              </w:rPr>
              <w:t>（下浮率）－</w:t>
            </w:r>
            <w:r>
              <w:rPr>
                <w:rFonts w:hint="eastAsia"/>
              </w:rPr>
              <w:t>投标报价</w:t>
            </w:r>
            <w:r>
              <w:rPr>
                <w:rFonts w:hint="eastAsia"/>
                <w:szCs w:val="22"/>
              </w:rPr>
              <w:t>（下浮率）</w:t>
            </w:r>
            <w:r>
              <w:rPr>
                <w:rFonts w:hint="eastAsia"/>
              </w:rPr>
              <w:t>）/基准价</w:t>
            </w:r>
            <w:r>
              <w:rPr>
                <w:rFonts w:hint="eastAsia"/>
                <w:szCs w:val="22"/>
              </w:rPr>
              <w:t>（下浮率）</w:t>
            </w:r>
            <w:r>
              <w:rPr>
                <w:rFonts w:hint="eastAsia"/>
              </w:rPr>
              <w:t>*</w:t>
            </w:r>
            <w:r>
              <w:rPr>
                <w:rFonts w:hint="eastAsia"/>
                <w:szCs w:val="22"/>
              </w:rPr>
              <w:t>0.06</w:t>
            </w: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9" w:type="dxa"/>
            <w:vMerge w:val="restart"/>
            <w:vAlign w:val="center"/>
          </w:tcPr>
          <w:p>
            <w:pPr>
              <w:spacing w:line="440" w:lineRule="exact"/>
              <w:jc w:val="center"/>
              <w:rPr>
                <w:szCs w:val="21"/>
              </w:rPr>
            </w:pPr>
            <w:r>
              <w:rPr>
                <w:rFonts w:hint="eastAsia"/>
                <w:szCs w:val="21"/>
              </w:rPr>
              <w:t>2</w:t>
            </w:r>
          </w:p>
        </w:tc>
        <w:tc>
          <w:tcPr>
            <w:tcW w:w="1276" w:type="dxa"/>
            <w:vMerge w:val="restart"/>
            <w:vAlign w:val="center"/>
          </w:tcPr>
          <w:p>
            <w:pPr>
              <w:spacing w:line="440" w:lineRule="exact"/>
              <w:jc w:val="center"/>
              <w:rPr>
                <w:szCs w:val="21"/>
              </w:rPr>
            </w:pPr>
            <w:r>
              <w:rPr>
                <w:rFonts w:ascii="宋体" w:hAnsi="宋体"/>
              </w:rPr>
              <w:t>勘察纲要</w:t>
            </w:r>
          </w:p>
          <w:p>
            <w:pPr>
              <w:spacing w:line="420" w:lineRule="atLeast"/>
              <w:jc w:val="center"/>
              <w:rPr>
                <w:szCs w:val="21"/>
              </w:rPr>
            </w:pPr>
            <w:r>
              <w:rPr>
                <w:rFonts w:hint="eastAsia"/>
                <w:szCs w:val="21"/>
              </w:rPr>
              <w:t>（满分30分）</w:t>
            </w:r>
          </w:p>
        </w:tc>
        <w:tc>
          <w:tcPr>
            <w:tcW w:w="6502" w:type="dxa"/>
          </w:tcPr>
          <w:p>
            <w:pPr>
              <w:rPr>
                <w:szCs w:val="21"/>
              </w:rPr>
            </w:pPr>
            <w:r>
              <w:rPr>
                <w:rFonts w:hint="eastAsia"/>
              </w:rPr>
              <w:t>1勘察范围、勘察内容：（0-3分）。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09" w:type="dxa"/>
            <w:vMerge w:val="continue"/>
            <w:vAlign w:val="center"/>
          </w:tcPr>
          <w:p/>
        </w:tc>
        <w:tc>
          <w:tcPr>
            <w:tcW w:w="1276" w:type="dxa"/>
            <w:vMerge w:val="continue"/>
            <w:vAlign w:val="center"/>
          </w:tcPr>
          <w:p>
            <w:pPr>
              <w:jc w:val="center"/>
            </w:pPr>
          </w:p>
        </w:tc>
        <w:tc>
          <w:tcPr>
            <w:tcW w:w="6502" w:type="dxa"/>
          </w:tcPr>
          <w:p>
            <w:r>
              <w:rPr>
                <w:rFonts w:hint="eastAsia"/>
              </w:rPr>
              <w:t>2勘察依据、勘察工作目标：（0-3分）。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09" w:type="dxa"/>
            <w:vMerge w:val="continue"/>
            <w:vAlign w:val="center"/>
          </w:tcPr>
          <w:p/>
        </w:tc>
        <w:tc>
          <w:tcPr>
            <w:tcW w:w="1276" w:type="dxa"/>
            <w:vMerge w:val="continue"/>
            <w:vAlign w:val="center"/>
          </w:tcPr>
          <w:p>
            <w:pPr>
              <w:jc w:val="center"/>
            </w:pPr>
          </w:p>
        </w:tc>
        <w:tc>
          <w:tcPr>
            <w:tcW w:w="6502" w:type="dxa"/>
          </w:tcPr>
          <w:p>
            <w:r>
              <w:rPr>
                <w:rFonts w:hint="eastAsia"/>
              </w:rPr>
              <w:t>3勘察机构设置和岗位职责：（0-3分）。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09" w:type="dxa"/>
            <w:vMerge w:val="continue"/>
            <w:vAlign w:val="center"/>
          </w:tcPr>
          <w:p/>
        </w:tc>
        <w:tc>
          <w:tcPr>
            <w:tcW w:w="1276" w:type="dxa"/>
            <w:vMerge w:val="continue"/>
            <w:vAlign w:val="center"/>
          </w:tcPr>
          <w:p>
            <w:pPr>
              <w:jc w:val="center"/>
            </w:pPr>
          </w:p>
        </w:tc>
        <w:tc>
          <w:tcPr>
            <w:tcW w:w="6502" w:type="dxa"/>
          </w:tcPr>
          <w:p>
            <w:r>
              <w:rPr>
                <w:rFonts w:hint="eastAsia"/>
              </w:rPr>
              <w:t>4勘察说明和勘察方案：（0-6分）。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09" w:type="dxa"/>
            <w:vMerge w:val="continue"/>
            <w:vAlign w:val="center"/>
          </w:tcPr>
          <w:p/>
        </w:tc>
        <w:tc>
          <w:tcPr>
            <w:tcW w:w="1276" w:type="dxa"/>
            <w:vMerge w:val="continue"/>
            <w:vAlign w:val="center"/>
          </w:tcPr>
          <w:p>
            <w:pPr>
              <w:jc w:val="center"/>
            </w:pPr>
          </w:p>
        </w:tc>
        <w:tc>
          <w:tcPr>
            <w:tcW w:w="6502" w:type="dxa"/>
          </w:tcPr>
          <w:p>
            <w:r>
              <w:rPr>
                <w:rFonts w:hint="eastAsia"/>
              </w:rPr>
              <w:t>5勘察质量、进度、保密等保证措施：（0-6分）。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09" w:type="dxa"/>
            <w:vMerge w:val="continue"/>
            <w:vAlign w:val="center"/>
          </w:tcPr>
          <w:p/>
        </w:tc>
        <w:tc>
          <w:tcPr>
            <w:tcW w:w="1276" w:type="dxa"/>
            <w:vMerge w:val="continue"/>
            <w:vAlign w:val="center"/>
          </w:tcPr>
          <w:p>
            <w:pPr>
              <w:jc w:val="center"/>
            </w:pPr>
          </w:p>
        </w:tc>
        <w:tc>
          <w:tcPr>
            <w:tcW w:w="6502" w:type="dxa"/>
          </w:tcPr>
          <w:p>
            <w:r>
              <w:rPr>
                <w:rFonts w:hint="eastAsia"/>
              </w:rPr>
              <w:t>6勘察安全保证措施：（0-3分）。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9" w:type="dxa"/>
            <w:vMerge w:val="continue"/>
            <w:vAlign w:val="center"/>
          </w:tcPr>
          <w:p/>
        </w:tc>
        <w:tc>
          <w:tcPr>
            <w:tcW w:w="1276" w:type="dxa"/>
            <w:vMerge w:val="continue"/>
            <w:vAlign w:val="center"/>
          </w:tcPr>
          <w:p>
            <w:pPr>
              <w:jc w:val="center"/>
            </w:pPr>
          </w:p>
        </w:tc>
        <w:tc>
          <w:tcPr>
            <w:tcW w:w="6502" w:type="dxa"/>
          </w:tcPr>
          <w:p>
            <w:r>
              <w:rPr>
                <w:rFonts w:hint="eastAsia"/>
              </w:rPr>
              <w:t>7勘察工作重点、难点分析：（0-3分）。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vMerge w:val="continue"/>
            <w:vAlign w:val="center"/>
          </w:tcPr>
          <w:p/>
        </w:tc>
        <w:tc>
          <w:tcPr>
            <w:tcW w:w="1276" w:type="dxa"/>
            <w:vMerge w:val="continue"/>
            <w:vAlign w:val="center"/>
          </w:tcPr>
          <w:p>
            <w:pPr>
              <w:jc w:val="center"/>
            </w:pPr>
          </w:p>
        </w:tc>
        <w:tc>
          <w:tcPr>
            <w:tcW w:w="6502" w:type="dxa"/>
          </w:tcPr>
          <w:p>
            <w:r>
              <w:rPr>
                <w:rFonts w:hint="eastAsia"/>
              </w:rPr>
              <w:t>8合理化建议：（0-3分）。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09" w:type="dxa"/>
            <w:vAlign w:val="center"/>
          </w:tcPr>
          <w:p>
            <w:pPr>
              <w:spacing w:line="440" w:lineRule="exact"/>
              <w:jc w:val="center"/>
              <w:rPr>
                <w:szCs w:val="21"/>
              </w:rPr>
            </w:pPr>
            <w:r>
              <w:rPr>
                <w:rFonts w:hint="eastAsia"/>
                <w:szCs w:val="21"/>
              </w:rPr>
              <w:t>3</w:t>
            </w:r>
          </w:p>
        </w:tc>
        <w:tc>
          <w:tcPr>
            <w:tcW w:w="1276" w:type="dxa"/>
            <w:vAlign w:val="center"/>
          </w:tcPr>
          <w:p>
            <w:pPr>
              <w:spacing w:line="440" w:lineRule="exact"/>
              <w:jc w:val="center"/>
            </w:pPr>
            <w:r>
              <w:rPr>
                <w:rFonts w:hint="eastAsia"/>
                <w:szCs w:val="21"/>
              </w:rPr>
              <w:t>企业业绩、拟投入设备、</w:t>
            </w:r>
            <w:r>
              <w:rPr>
                <w:rFonts w:hint="eastAsia"/>
              </w:rPr>
              <w:t>人员配置及服务承诺（满分40分）</w:t>
            </w:r>
          </w:p>
        </w:tc>
        <w:tc>
          <w:tcPr>
            <w:tcW w:w="6502" w:type="dxa"/>
          </w:tcPr>
          <w:p>
            <w:pPr>
              <w:snapToGrid w:val="0"/>
              <w:spacing w:line="260" w:lineRule="exact"/>
              <w:jc w:val="left"/>
            </w:pPr>
            <w:r>
              <w:rPr>
                <w:rFonts w:hint="eastAsia"/>
              </w:rPr>
              <w:t>1、企业业绩（12分）</w:t>
            </w:r>
          </w:p>
          <w:p>
            <w:pPr>
              <w:pStyle w:val="2"/>
              <w:snapToGrid w:val="0"/>
              <w:spacing w:line="260" w:lineRule="exact"/>
              <w:ind w:firstLine="420" w:firstLineChars="200"/>
              <w:outlineLvl w:val="9"/>
              <w:rPr>
                <w:rFonts w:ascii="Times New Roman" w:hAnsi="Times New Roman" w:eastAsiaTheme="minorEastAsia" w:cstheme="minorBidi"/>
                <w:b w:val="0"/>
                <w:bCs w:val="0"/>
                <w:kern w:val="2"/>
              </w:rPr>
            </w:pPr>
            <w:r>
              <w:rPr>
                <w:rFonts w:hint="eastAsia" w:ascii="Times New Roman" w:hAnsi="Times New Roman" w:eastAsiaTheme="minorEastAsia" w:cstheme="minorBidi"/>
                <w:b w:val="0"/>
                <w:bCs w:val="0"/>
                <w:kern w:val="2"/>
              </w:rPr>
              <w:t>近</w:t>
            </w:r>
            <w:r>
              <w:rPr>
                <w:rFonts w:hint="eastAsia" w:ascii="Times New Roman" w:hAnsi="Times New Roman" w:eastAsiaTheme="minorEastAsia" w:cstheme="minorBidi"/>
                <w:b w:val="0"/>
                <w:bCs w:val="0"/>
                <w:kern w:val="2"/>
                <w:u w:val="single"/>
              </w:rPr>
              <w:t xml:space="preserve">   </w:t>
            </w:r>
            <w:r>
              <w:rPr>
                <w:rFonts w:hint="eastAsia" w:ascii="Times New Roman" w:hAnsi="Times New Roman" w:eastAsiaTheme="minorEastAsia" w:cstheme="minorBidi"/>
                <w:b w:val="0"/>
                <w:bCs w:val="0"/>
                <w:kern w:val="2"/>
              </w:rPr>
              <w:t>年（20</w:t>
            </w:r>
            <w:r>
              <w:rPr>
                <w:rFonts w:hint="eastAsia" w:ascii="Times New Roman" w:hAnsi="Times New Roman" w:eastAsiaTheme="minorEastAsia" w:cstheme="minorBidi"/>
                <w:b w:val="0"/>
                <w:bCs w:val="0"/>
                <w:kern w:val="2"/>
                <w:u w:val="single"/>
              </w:rPr>
              <w:t xml:space="preserve">  </w:t>
            </w:r>
            <w:r>
              <w:rPr>
                <w:rFonts w:hint="eastAsia" w:ascii="Times New Roman" w:hAnsi="Times New Roman" w:eastAsiaTheme="minorEastAsia" w:cstheme="minorBidi"/>
                <w:b w:val="0"/>
                <w:bCs w:val="0"/>
                <w:kern w:val="2"/>
              </w:rPr>
              <w:t>年</w:t>
            </w:r>
            <w:r>
              <w:rPr>
                <w:rFonts w:hint="eastAsia" w:ascii="Times New Roman" w:hAnsi="Times New Roman" w:eastAsiaTheme="minorEastAsia" w:cstheme="minorBidi"/>
                <w:b w:val="0"/>
                <w:bCs w:val="0"/>
                <w:kern w:val="2"/>
                <w:u w:val="single"/>
              </w:rPr>
              <w:t xml:space="preserve">   </w:t>
            </w:r>
            <w:r>
              <w:rPr>
                <w:rFonts w:hint="eastAsia" w:ascii="Times New Roman" w:hAnsi="Times New Roman" w:eastAsiaTheme="minorEastAsia" w:cstheme="minorBidi"/>
                <w:b w:val="0"/>
                <w:bCs w:val="0"/>
                <w:kern w:val="2"/>
              </w:rPr>
              <w:t>月）</w:t>
            </w:r>
            <w:r>
              <w:rPr>
                <w:rFonts w:ascii="Times New Roman" w:hAnsi="Times New Roman" w:eastAsiaTheme="minorEastAsia" w:cstheme="minorBidi"/>
                <w:b w:val="0"/>
                <w:bCs w:val="0"/>
                <w:kern w:val="2"/>
              </w:rPr>
              <w:t>，</w:t>
            </w:r>
            <w:r>
              <w:rPr>
                <w:rFonts w:hint="eastAsia" w:ascii="Times New Roman" w:hAnsi="Times New Roman" w:eastAsiaTheme="minorEastAsia" w:cstheme="minorBidi"/>
                <w:b w:val="0"/>
                <w:bCs w:val="0"/>
                <w:kern w:val="2"/>
              </w:rPr>
              <w:t>提供</w:t>
            </w:r>
            <w:r>
              <w:rPr>
                <w:rFonts w:ascii="Times New Roman" w:hAnsi="Times New Roman" w:eastAsiaTheme="minorEastAsia" w:cstheme="minorBidi"/>
                <w:b w:val="0"/>
                <w:bCs w:val="0"/>
                <w:kern w:val="2"/>
              </w:rPr>
              <w:t>类似项目业绩，每项得</w:t>
            </w:r>
            <w:r>
              <w:rPr>
                <w:rFonts w:hint="eastAsia" w:ascii="Times New Roman" w:hAnsi="Times New Roman" w:eastAsiaTheme="minorEastAsia" w:cstheme="minorBidi"/>
                <w:b w:val="0"/>
                <w:bCs w:val="0"/>
                <w:kern w:val="2"/>
              </w:rPr>
              <w:t>3</w:t>
            </w:r>
            <w:r>
              <w:rPr>
                <w:rFonts w:ascii="Times New Roman" w:hAnsi="Times New Roman" w:eastAsiaTheme="minorEastAsia" w:cstheme="minorBidi"/>
                <w:b w:val="0"/>
                <w:bCs w:val="0"/>
                <w:kern w:val="2"/>
              </w:rPr>
              <w:t>分</w:t>
            </w:r>
            <w:r>
              <w:rPr>
                <w:rFonts w:hint="eastAsia" w:ascii="Times New Roman" w:hAnsi="Times New Roman" w:eastAsiaTheme="minorEastAsia" w:cstheme="minorBidi"/>
                <w:b w:val="0"/>
                <w:bCs w:val="0"/>
                <w:kern w:val="2"/>
              </w:rPr>
              <w:t>。</w:t>
            </w:r>
          </w:p>
          <w:p>
            <w:pPr>
              <w:pStyle w:val="2"/>
              <w:snapToGrid w:val="0"/>
              <w:spacing w:line="260" w:lineRule="exact"/>
              <w:outlineLvl w:val="9"/>
              <w:rPr>
                <w:rFonts w:ascii="Times New Roman" w:hAnsi="Times New Roman" w:eastAsiaTheme="minorEastAsia" w:cstheme="minorBidi"/>
                <w:b w:val="0"/>
                <w:bCs w:val="0"/>
                <w:kern w:val="2"/>
              </w:rPr>
            </w:pPr>
            <w:r>
              <w:rPr>
                <w:rFonts w:hint="eastAsia" w:ascii="Times New Roman" w:hAnsi="Times New Roman" w:eastAsiaTheme="minorEastAsia" w:cstheme="minorBidi"/>
                <w:b w:val="0"/>
                <w:bCs w:val="0"/>
                <w:kern w:val="2"/>
              </w:rPr>
              <w:t>（注：①类似业绩是指</w:t>
            </w:r>
            <w:r>
              <w:rPr>
                <w:rFonts w:hint="eastAsia" w:ascii="Times New Roman" w:hAnsi="Times New Roman" w:eastAsiaTheme="minorEastAsia" w:cstheme="minorBidi"/>
                <w:b w:val="0"/>
                <w:bCs w:val="0"/>
                <w:i/>
                <w:kern w:val="2"/>
                <w:u w:val="single"/>
              </w:rPr>
              <w:t xml:space="preserve"> （类别、规模）</w:t>
            </w:r>
            <w:r>
              <w:rPr>
                <w:rFonts w:hint="eastAsia" w:ascii="Times New Roman" w:hAnsi="Times New Roman" w:eastAsiaTheme="minorEastAsia" w:cstheme="minorBidi"/>
                <w:b w:val="0"/>
                <w:bCs w:val="0"/>
                <w:kern w:val="2"/>
              </w:rPr>
              <w:t>项目业绩，以合同内容为准；②时间以合同签订日期为准。）</w:t>
            </w:r>
          </w:p>
          <w:p>
            <w:pPr>
              <w:snapToGrid w:val="0"/>
              <w:spacing w:line="260" w:lineRule="exact"/>
              <w:jc w:val="left"/>
            </w:pPr>
            <w:r>
              <w:rPr>
                <w:rFonts w:hint="eastAsia"/>
              </w:rPr>
              <w:t>2、拟投入设备（8分）</w:t>
            </w:r>
          </w:p>
          <w:p>
            <w:pPr>
              <w:pStyle w:val="7"/>
              <w:snapToGrid w:val="0"/>
              <w:spacing w:line="260" w:lineRule="exact"/>
              <w:ind w:firstLine="420" w:firstLineChars="200"/>
              <w:rPr>
                <w:rFonts w:ascii="Times New Roman" w:hAnsi="Times New Roman"/>
                <w:sz w:val="21"/>
              </w:rPr>
            </w:pPr>
            <w:r>
              <w:rPr>
                <w:rFonts w:hint="eastAsia" w:ascii="Times New Roman" w:hAnsi="Times New Roman"/>
                <w:sz w:val="21"/>
              </w:rPr>
              <w:t>现场勘察设备在基本满足工程要求的基础上，由评委根据各投标单位配备检测设备进行比较自主打分。（4-8分）</w:t>
            </w:r>
          </w:p>
          <w:p>
            <w:pPr>
              <w:snapToGrid w:val="0"/>
              <w:spacing w:line="260" w:lineRule="exact"/>
              <w:jc w:val="left"/>
            </w:pPr>
            <w:r>
              <w:rPr>
                <w:rFonts w:hint="eastAsia"/>
              </w:rPr>
              <w:t>3、人员配置（16分）</w:t>
            </w:r>
          </w:p>
          <w:p>
            <w:pPr>
              <w:pStyle w:val="7"/>
              <w:snapToGrid w:val="0"/>
              <w:spacing w:line="260" w:lineRule="exact"/>
              <w:rPr>
                <w:rFonts w:ascii="Times New Roman" w:hAnsi="Times New Roman"/>
                <w:sz w:val="21"/>
              </w:rPr>
            </w:pPr>
            <w:r>
              <w:rPr>
                <w:rFonts w:hint="eastAsia" w:ascii="Times New Roman" w:hAnsi="Times New Roman"/>
                <w:sz w:val="21"/>
              </w:rPr>
              <w:t>①专业负责人资历（8分）</w:t>
            </w:r>
          </w:p>
          <w:p>
            <w:pPr>
              <w:pStyle w:val="7"/>
              <w:snapToGrid w:val="0"/>
              <w:spacing w:line="260" w:lineRule="exact"/>
              <w:ind w:firstLine="420" w:firstLineChars="200"/>
              <w:rPr>
                <w:rFonts w:ascii="Times New Roman" w:hAnsi="Times New Roman"/>
                <w:sz w:val="21"/>
              </w:rPr>
            </w:pPr>
            <w:r>
              <w:rPr>
                <w:rFonts w:hint="eastAsia" w:ascii="Times New Roman" w:hAnsi="Times New Roman"/>
                <w:sz w:val="21"/>
              </w:rPr>
              <w:t>学历（2分）：工程类相关专业本科及以上学历者，得2分，其他不得分。</w:t>
            </w:r>
          </w:p>
          <w:p>
            <w:pPr>
              <w:pStyle w:val="7"/>
              <w:snapToGrid w:val="0"/>
              <w:spacing w:line="260" w:lineRule="exact"/>
              <w:ind w:firstLine="420" w:firstLineChars="200"/>
              <w:rPr>
                <w:rFonts w:ascii="Times New Roman" w:hAnsi="Times New Roman"/>
                <w:sz w:val="21"/>
              </w:rPr>
            </w:pPr>
            <w:r>
              <w:rPr>
                <w:rFonts w:hint="eastAsia" w:ascii="Times New Roman" w:hAnsi="Times New Roman"/>
                <w:sz w:val="21"/>
              </w:rPr>
              <w:t>职称（2分）：高级职称得2分，中级职称得1分，其他不得分。</w:t>
            </w:r>
          </w:p>
          <w:p>
            <w:pPr>
              <w:pStyle w:val="7"/>
              <w:snapToGrid w:val="0"/>
              <w:spacing w:line="260" w:lineRule="exact"/>
              <w:ind w:firstLine="420" w:firstLineChars="200"/>
              <w:rPr>
                <w:rFonts w:ascii="Times New Roman" w:hAnsi="Times New Roman"/>
                <w:sz w:val="21"/>
                <w:szCs w:val="22"/>
              </w:rPr>
            </w:pPr>
            <w:r>
              <w:rPr>
                <w:rFonts w:hint="eastAsia" w:ascii="Times New Roman" w:hAnsi="Times New Roman"/>
                <w:sz w:val="21"/>
                <w:szCs w:val="22"/>
              </w:rPr>
              <w:t>业绩（4分）：近</w:t>
            </w:r>
            <w:r>
              <w:rPr>
                <w:rFonts w:hint="eastAsia" w:ascii="Times New Roman" w:hAnsi="Times New Roman"/>
                <w:sz w:val="21"/>
                <w:szCs w:val="22"/>
                <w:u w:val="single"/>
              </w:rPr>
              <w:t xml:space="preserve">   </w:t>
            </w:r>
            <w:r>
              <w:rPr>
                <w:rFonts w:hint="eastAsia" w:ascii="Times New Roman" w:hAnsi="Times New Roman"/>
                <w:sz w:val="21"/>
                <w:szCs w:val="22"/>
              </w:rPr>
              <w:t>年（20</w:t>
            </w:r>
            <w:r>
              <w:rPr>
                <w:rFonts w:hint="eastAsia" w:ascii="Times New Roman" w:hAnsi="Times New Roman"/>
                <w:sz w:val="21"/>
                <w:szCs w:val="22"/>
                <w:u w:val="single"/>
              </w:rPr>
              <w:t xml:space="preserve">  </w:t>
            </w:r>
            <w:r>
              <w:rPr>
                <w:rFonts w:hint="eastAsia" w:ascii="Times New Roman" w:hAnsi="Times New Roman"/>
                <w:sz w:val="21"/>
                <w:szCs w:val="22"/>
              </w:rPr>
              <w:t>年</w:t>
            </w:r>
            <w:r>
              <w:rPr>
                <w:rFonts w:hint="eastAsia" w:ascii="Times New Roman" w:hAnsi="Times New Roman"/>
                <w:sz w:val="21"/>
                <w:szCs w:val="22"/>
                <w:u w:val="single"/>
              </w:rPr>
              <w:t xml:space="preserve">   </w:t>
            </w:r>
            <w:r>
              <w:rPr>
                <w:rFonts w:hint="eastAsia" w:ascii="Times New Roman" w:hAnsi="Times New Roman"/>
                <w:sz w:val="21"/>
                <w:szCs w:val="22"/>
              </w:rPr>
              <w:t>月），担任过类似项目负责人业绩，每项得2分。</w:t>
            </w:r>
          </w:p>
          <w:p>
            <w:pPr>
              <w:snapToGrid w:val="0"/>
              <w:spacing w:line="260" w:lineRule="exact"/>
              <w:rPr>
                <w:szCs w:val="22"/>
              </w:rPr>
            </w:pPr>
            <w:r>
              <w:rPr>
                <w:rFonts w:hint="eastAsia"/>
                <w:szCs w:val="22"/>
              </w:rPr>
              <w:t>（注：①类似业绩是指</w:t>
            </w:r>
            <w:r>
              <w:rPr>
                <w:rFonts w:hint="eastAsia"/>
                <w:szCs w:val="22"/>
                <w:u w:val="single"/>
              </w:rPr>
              <w:t xml:space="preserve"> </w:t>
            </w:r>
            <w:r>
              <w:rPr>
                <w:rFonts w:hint="eastAsia"/>
                <w:i/>
                <w:szCs w:val="22"/>
                <w:u w:val="single"/>
              </w:rPr>
              <w:t>（类别、规模）</w:t>
            </w:r>
            <w:r>
              <w:rPr>
                <w:rFonts w:hint="eastAsia"/>
                <w:szCs w:val="22"/>
              </w:rPr>
              <w:t>项目业绩，以合同内容为准；</w:t>
            </w:r>
            <w:r>
              <w:rPr>
                <w:rFonts w:hint="eastAsia" w:ascii="Times New Roman" w:hAnsi="Times New Roman"/>
                <w:szCs w:val="22"/>
              </w:rPr>
              <w:t>②</w:t>
            </w:r>
            <w:r>
              <w:rPr>
                <w:rFonts w:hint="eastAsia"/>
                <w:szCs w:val="22"/>
              </w:rPr>
              <w:t>时间以合同签订日期为准。）</w:t>
            </w:r>
          </w:p>
          <w:p>
            <w:pPr>
              <w:pStyle w:val="7"/>
              <w:snapToGrid w:val="0"/>
              <w:spacing w:line="260" w:lineRule="exact"/>
              <w:ind w:firstLine="420" w:firstLineChars="200"/>
              <w:rPr>
                <w:rFonts w:ascii="Times New Roman" w:hAnsi="Times New Roman"/>
                <w:sz w:val="21"/>
              </w:rPr>
            </w:pPr>
            <w:r>
              <w:rPr>
                <w:rFonts w:hint="eastAsia" w:ascii="Times New Roman" w:hAnsi="Times New Roman"/>
                <w:sz w:val="21"/>
              </w:rPr>
              <w:t>②项目组其他人员配置（8分）</w:t>
            </w:r>
          </w:p>
          <w:p>
            <w:pPr>
              <w:pStyle w:val="7"/>
              <w:snapToGrid w:val="0"/>
              <w:spacing w:line="260" w:lineRule="exact"/>
              <w:ind w:firstLine="420" w:firstLineChars="200"/>
              <w:rPr>
                <w:rFonts w:ascii="Times New Roman" w:hAnsi="Times New Roman"/>
                <w:sz w:val="21"/>
              </w:rPr>
            </w:pPr>
            <w:r>
              <w:rPr>
                <w:rFonts w:hint="eastAsia" w:ascii="Times New Roman" w:hAnsi="Times New Roman"/>
                <w:sz w:val="21"/>
              </w:rPr>
              <w:t>在满足工程要求的基础上，根据测试、试验、审核、审定等主要勘察人员配置情况，横向对比差别赋分4-8分。</w:t>
            </w:r>
          </w:p>
          <w:p>
            <w:pPr>
              <w:pStyle w:val="7"/>
              <w:snapToGrid w:val="0"/>
              <w:spacing w:line="260" w:lineRule="exact"/>
            </w:pPr>
            <w:r>
              <w:rPr>
                <w:rFonts w:hint="eastAsia" w:ascii="Times New Roman" w:hAnsi="Times New Roman"/>
                <w:sz w:val="21"/>
              </w:rPr>
              <w:t>4、</w:t>
            </w:r>
            <w:r>
              <w:rPr>
                <w:rFonts w:hint="eastAsia" w:ascii="Times New Roman" w:hAnsi="Times New Roman"/>
                <w:sz w:val="21"/>
                <w:szCs w:val="22"/>
              </w:rPr>
              <w:t>服务承诺（满分4分）</w:t>
            </w:r>
          </w:p>
          <w:p>
            <w:pPr>
              <w:spacing w:line="270" w:lineRule="exact"/>
            </w:pPr>
            <w:r>
              <w:rPr>
                <w:rFonts w:hint="eastAsia"/>
                <w:szCs w:val="22"/>
              </w:rPr>
              <w:t>根据投标人针对本项目服务的承诺进行横向对比，差别赋分（0-4）。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87" w:type="dxa"/>
            <w:gridSpan w:val="3"/>
            <w:vAlign w:val="center"/>
          </w:tcPr>
          <w:p>
            <w:pPr>
              <w:spacing w:line="440" w:lineRule="exact"/>
              <w:jc w:val="center"/>
              <w:rPr>
                <w:szCs w:val="21"/>
              </w:rPr>
            </w:pPr>
            <w:r>
              <w:rPr>
                <w:b/>
                <w:bCs/>
                <w:szCs w:val="21"/>
              </w:rPr>
              <w:t>2.2.4</w:t>
            </w:r>
            <w:r>
              <w:rPr>
                <w:rFonts w:hint="eastAsia"/>
                <w:b/>
                <w:bCs/>
                <w:szCs w:val="21"/>
              </w:rPr>
              <w:t>（4）造价咨询（满分100分）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9" w:type="dxa"/>
            <w:vAlign w:val="center"/>
          </w:tcPr>
          <w:p>
            <w:pPr>
              <w:spacing w:line="440" w:lineRule="exact"/>
              <w:jc w:val="center"/>
              <w:rPr>
                <w:szCs w:val="21"/>
              </w:rPr>
            </w:pPr>
            <w:r>
              <w:rPr>
                <w:rFonts w:hint="eastAsia"/>
                <w:szCs w:val="21"/>
              </w:rPr>
              <w:t>序号</w:t>
            </w:r>
          </w:p>
        </w:tc>
        <w:tc>
          <w:tcPr>
            <w:tcW w:w="1276" w:type="dxa"/>
            <w:vAlign w:val="center"/>
          </w:tcPr>
          <w:p>
            <w:pPr>
              <w:spacing w:line="440" w:lineRule="exact"/>
              <w:jc w:val="center"/>
              <w:rPr>
                <w:szCs w:val="21"/>
              </w:rPr>
            </w:pPr>
            <w:r>
              <w:rPr>
                <w:szCs w:val="21"/>
              </w:rPr>
              <w:t>评分因素</w:t>
            </w:r>
          </w:p>
        </w:tc>
        <w:tc>
          <w:tcPr>
            <w:tcW w:w="6502" w:type="dxa"/>
            <w:vAlign w:val="center"/>
          </w:tcPr>
          <w:p>
            <w:pPr>
              <w:spacing w:line="440" w:lineRule="exact"/>
              <w:jc w:val="center"/>
              <w:rPr>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440" w:lineRule="exact"/>
              <w:jc w:val="center"/>
              <w:rPr>
                <w:szCs w:val="21"/>
              </w:rPr>
            </w:pPr>
            <w:r>
              <w:rPr>
                <w:rFonts w:hint="eastAsia"/>
                <w:szCs w:val="21"/>
              </w:rPr>
              <w:t>1</w:t>
            </w:r>
          </w:p>
        </w:tc>
        <w:tc>
          <w:tcPr>
            <w:tcW w:w="1276" w:type="dxa"/>
            <w:vAlign w:val="center"/>
          </w:tcPr>
          <w:p>
            <w:pPr>
              <w:spacing w:line="440" w:lineRule="exact"/>
              <w:jc w:val="center"/>
              <w:rPr>
                <w:szCs w:val="21"/>
              </w:rPr>
            </w:pPr>
            <w:r>
              <w:rPr>
                <w:rFonts w:hint="eastAsia"/>
                <w:szCs w:val="21"/>
              </w:rPr>
              <w:t>投标报价</w:t>
            </w:r>
          </w:p>
          <w:p>
            <w:pPr>
              <w:spacing w:line="440" w:lineRule="exact"/>
              <w:jc w:val="center"/>
              <w:rPr>
                <w:szCs w:val="21"/>
              </w:rPr>
            </w:pPr>
            <w:r>
              <w:rPr>
                <w:rFonts w:hint="eastAsia"/>
                <w:szCs w:val="21"/>
              </w:rPr>
              <w:t>（下浮率）</w:t>
            </w:r>
          </w:p>
          <w:p>
            <w:pPr>
              <w:spacing w:line="440" w:lineRule="exact"/>
              <w:jc w:val="center"/>
              <w:rPr>
                <w:szCs w:val="21"/>
              </w:rPr>
            </w:pPr>
            <w:r>
              <w:rPr>
                <w:rFonts w:hint="eastAsia"/>
                <w:szCs w:val="21"/>
              </w:rPr>
              <w:t>（满分30分）</w:t>
            </w:r>
          </w:p>
        </w:tc>
        <w:tc>
          <w:tcPr>
            <w:tcW w:w="6502" w:type="dxa"/>
            <w:vAlign w:val="center"/>
          </w:tcPr>
          <w:p>
            <w:pPr>
              <w:pStyle w:val="7"/>
              <w:spacing w:line="360" w:lineRule="exact"/>
              <w:ind w:firstLine="420" w:firstLineChars="200"/>
              <w:rPr>
                <w:rFonts w:asciiTheme="minorEastAsia" w:hAnsiTheme="minorEastAsia"/>
                <w:sz w:val="21"/>
                <w:szCs w:val="22"/>
              </w:rPr>
            </w:pPr>
            <w:r>
              <w:rPr>
                <w:rFonts w:hint="eastAsia" w:asciiTheme="minorEastAsia" w:hAnsiTheme="minorEastAsia"/>
                <w:sz w:val="21"/>
                <w:szCs w:val="22"/>
              </w:rPr>
              <w:t>以评标基准价（下浮率）为基础，当投标报价（下浮率）等于评标基准价（下浮率）时得满分，投标报价（下浮率）每增加1%扣0.03分，每减少1%扣0.06分，扣完为止。</w:t>
            </w:r>
          </w:p>
          <w:p>
            <w:pPr>
              <w:spacing w:line="360" w:lineRule="exact"/>
              <w:rPr>
                <w:rFonts w:asciiTheme="minorEastAsia" w:hAnsiTheme="minorEastAsia"/>
                <w:szCs w:val="22"/>
              </w:rPr>
            </w:pPr>
            <w:r>
              <w:rPr>
                <w:rFonts w:hint="eastAsia" w:asciiTheme="minorEastAsia" w:hAnsiTheme="minorEastAsia"/>
                <w:szCs w:val="22"/>
              </w:rPr>
              <w:t>评标基准价（下浮率）=各有效投标报价（下浮率）之和</w:t>
            </w:r>
            <w:r>
              <w:rPr>
                <w:rFonts w:hint="eastAsia" w:asciiTheme="minorEastAsia" w:hAnsiTheme="minorEastAsia"/>
              </w:rPr>
              <w:t>/</w:t>
            </w:r>
            <w:r>
              <w:rPr>
                <w:rFonts w:hint="eastAsia" w:asciiTheme="minorEastAsia" w:hAnsiTheme="minorEastAsia"/>
                <w:szCs w:val="22"/>
              </w:rPr>
              <w:t>有效投标单位个数。</w:t>
            </w:r>
          </w:p>
          <w:p>
            <w:pPr>
              <w:spacing w:line="360" w:lineRule="exact"/>
              <w:rPr>
                <w:rFonts w:asciiTheme="minorEastAsia" w:hAnsiTheme="minorEastAsia"/>
              </w:rPr>
            </w:pPr>
            <w:r>
              <w:rPr>
                <w:rFonts w:hint="eastAsia" w:asciiTheme="minorEastAsia" w:hAnsiTheme="minorEastAsia"/>
              </w:rPr>
              <w:t>投标人数量≤5时，评标基准价采用全部有效投标报价计算；</w:t>
            </w:r>
          </w:p>
          <w:p>
            <w:pPr>
              <w:spacing w:line="360" w:lineRule="exact"/>
              <w:rPr>
                <w:rFonts w:asciiTheme="minorEastAsia" w:hAnsiTheme="minorEastAsia"/>
              </w:rPr>
            </w:pPr>
            <w:r>
              <w:rPr>
                <w:rFonts w:hint="eastAsia" w:asciiTheme="minorEastAsia" w:hAnsiTheme="minorEastAsia"/>
              </w:rPr>
              <w:t>5＜投标人数量≤20时，评标基准价采用去除有效报价最高、最低各1个计算；</w:t>
            </w:r>
          </w:p>
          <w:p>
            <w:pPr>
              <w:spacing w:line="360" w:lineRule="exact"/>
              <w:rPr>
                <w:rFonts w:asciiTheme="minorEastAsia" w:hAnsiTheme="minorEastAsia"/>
              </w:rPr>
            </w:pPr>
            <w:r>
              <w:rPr>
                <w:rFonts w:hint="eastAsia" w:asciiTheme="minorEastAsia" w:hAnsiTheme="minorEastAsia"/>
              </w:rPr>
              <w:t>投标人数量＞20时，评标基准价采用去除有效报价最高、最低各2个计算。</w:t>
            </w:r>
          </w:p>
          <w:p>
            <w:pPr>
              <w:spacing w:line="360" w:lineRule="exact"/>
              <w:jc w:val="left"/>
              <w:rPr>
                <w:rFonts w:asciiTheme="minorEastAsia" w:hAnsiTheme="minorEastAsia"/>
              </w:rPr>
            </w:pPr>
            <w:r>
              <w:rPr>
                <w:rFonts w:asciiTheme="minorEastAsia" w:hAnsiTheme="minorEastAsia"/>
              </w:rPr>
              <w:t>计算</w:t>
            </w:r>
            <w:r>
              <w:rPr>
                <w:rFonts w:hint="eastAsia" w:asciiTheme="minorEastAsia" w:hAnsiTheme="minorEastAsia"/>
              </w:rPr>
              <w:t>公式如下：</w:t>
            </w:r>
          </w:p>
          <w:p>
            <w:pPr>
              <w:spacing w:line="360" w:lineRule="exact"/>
              <w:jc w:val="left"/>
            </w:pPr>
            <w:r>
              <w:rPr>
                <w:rFonts w:hint="eastAsia"/>
              </w:rPr>
              <w:t>①当投标报价大于基准价</w:t>
            </w:r>
            <w:r>
              <w:rPr>
                <w:rFonts w:hint="eastAsia"/>
                <w:szCs w:val="22"/>
              </w:rPr>
              <w:t>（下浮率）</w:t>
            </w:r>
            <w:r>
              <w:rPr>
                <w:rFonts w:hint="eastAsia"/>
              </w:rPr>
              <w:t>时，报价得分=30-（投标报价</w:t>
            </w:r>
            <w:r>
              <w:rPr>
                <w:rFonts w:hint="eastAsia"/>
                <w:szCs w:val="22"/>
              </w:rPr>
              <w:t>（下浮率）－</w:t>
            </w:r>
            <w:r>
              <w:rPr>
                <w:rFonts w:hint="eastAsia"/>
              </w:rPr>
              <w:t>基准价</w:t>
            </w:r>
            <w:r>
              <w:rPr>
                <w:rFonts w:hint="eastAsia"/>
                <w:szCs w:val="22"/>
              </w:rPr>
              <w:t>（下浮率）</w:t>
            </w:r>
            <w:r>
              <w:rPr>
                <w:rFonts w:hint="eastAsia"/>
              </w:rPr>
              <w:t>）/基准价</w:t>
            </w:r>
            <w:r>
              <w:rPr>
                <w:rFonts w:hint="eastAsia"/>
                <w:szCs w:val="22"/>
              </w:rPr>
              <w:t>（下浮率）</w:t>
            </w:r>
            <w:r>
              <w:rPr>
                <w:rFonts w:hint="eastAsia"/>
              </w:rPr>
              <w:t>*</w:t>
            </w:r>
            <w:r>
              <w:rPr>
                <w:rFonts w:hint="eastAsia"/>
                <w:szCs w:val="22"/>
              </w:rPr>
              <w:t>0.03</w:t>
            </w:r>
            <w:r>
              <w:rPr>
                <w:rFonts w:hint="eastAsia"/>
              </w:rPr>
              <w:t>*100；</w:t>
            </w:r>
          </w:p>
          <w:p>
            <w:pPr>
              <w:jc w:val="left"/>
              <w:rPr>
                <w:szCs w:val="21"/>
              </w:rPr>
            </w:pPr>
            <w:r>
              <w:rPr>
                <w:rFonts w:hint="eastAsia"/>
              </w:rPr>
              <w:t>②当投标报价小于基准价</w:t>
            </w:r>
            <w:r>
              <w:rPr>
                <w:rFonts w:hint="eastAsia"/>
                <w:szCs w:val="22"/>
              </w:rPr>
              <w:t>（下浮率）</w:t>
            </w:r>
            <w:r>
              <w:rPr>
                <w:rFonts w:hint="eastAsia"/>
              </w:rPr>
              <w:t>时，报价得分=</w:t>
            </w:r>
            <w:r>
              <w:t>30</w:t>
            </w:r>
            <w:r>
              <w:rPr>
                <w:rFonts w:hint="eastAsia"/>
              </w:rPr>
              <w:t>-（基准价</w:t>
            </w:r>
            <w:r>
              <w:rPr>
                <w:rFonts w:hint="eastAsia"/>
                <w:szCs w:val="22"/>
              </w:rPr>
              <w:t>（下浮率）－</w:t>
            </w:r>
            <w:r>
              <w:rPr>
                <w:rFonts w:hint="eastAsia"/>
              </w:rPr>
              <w:t>投标报价</w:t>
            </w:r>
            <w:r>
              <w:rPr>
                <w:rFonts w:hint="eastAsia"/>
                <w:szCs w:val="22"/>
              </w:rPr>
              <w:t>（下浮率）</w:t>
            </w:r>
            <w:r>
              <w:rPr>
                <w:rFonts w:hint="eastAsia"/>
              </w:rPr>
              <w:t>）/基准价</w:t>
            </w:r>
            <w:r>
              <w:rPr>
                <w:rFonts w:hint="eastAsia"/>
                <w:szCs w:val="22"/>
              </w:rPr>
              <w:t>（下浮率）</w:t>
            </w:r>
            <w:r>
              <w:rPr>
                <w:rFonts w:hint="eastAsia"/>
              </w:rPr>
              <w:t>*</w:t>
            </w:r>
            <w:r>
              <w:rPr>
                <w:rFonts w:hint="eastAsia"/>
                <w:szCs w:val="22"/>
              </w:rPr>
              <w:t>0.06</w:t>
            </w: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09" w:type="dxa"/>
            <w:vMerge w:val="restart"/>
            <w:vAlign w:val="center"/>
          </w:tcPr>
          <w:p>
            <w:pPr>
              <w:spacing w:line="440" w:lineRule="exact"/>
              <w:jc w:val="center"/>
              <w:rPr>
                <w:szCs w:val="21"/>
              </w:rPr>
            </w:pPr>
            <w:r>
              <w:rPr>
                <w:rFonts w:hint="eastAsia"/>
                <w:szCs w:val="21"/>
              </w:rPr>
              <w:t>2</w:t>
            </w:r>
          </w:p>
        </w:tc>
        <w:tc>
          <w:tcPr>
            <w:tcW w:w="1276" w:type="dxa"/>
            <w:vMerge w:val="restart"/>
            <w:vAlign w:val="center"/>
          </w:tcPr>
          <w:p>
            <w:pPr>
              <w:spacing w:line="420" w:lineRule="atLeast"/>
              <w:jc w:val="center"/>
              <w:rPr>
                <w:szCs w:val="21"/>
              </w:rPr>
            </w:pPr>
            <w:r>
              <w:rPr>
                <w:rFonts w:hint="eastAsia"/>
                <w:szCs w:val="21"/>
              </w:rPr>
              <w:t>实施方案</w:t>
            </w:r>
          </w:p>
          <w:p>
            <w:pPr>
              <w:spacing w:line="420" w:lineRule="atLeast"/>
              <w:jc w:val="center"/>
              <w:rPr>
                <w:szCs w:val="21"/>
              </w:rPr>
            </w:pPr>
            <w:r>
              <w:rPr>
                <w:rFonts w:hint="eastAsia"/>
                <w:szCs w:val="21"/>
              </w:rPr>
              <w:t>（满分30分）</w:t>
            </w:r>
          </w:p>
        </w:tc>
        <w:tc>
          <w:tcPr>
            <w:tcW w:w="6502" w:type="dxa"/>
          </w:tcPr>
          <w:p>
            <w:pPr>
              <w:snapToGrid w:val="0"/>
              <w:rPr>
                <w:szCs w:val="21"/>
              </w:rPr>
            </w:pPr>
            <w:r>
              <w:rPr>
                <w:rFonts w:hint="eastAsia"/>
              </w:rPr>
              <w:t>1</w:t>
            </w:r>
            <w:r>
              <w:rPr>
                <w:rFonts w:hint="eastAsia" w:ascii="宋体" w:hAnsi="宋体"/>
                <w:szCs w:val="21"/>
              </w:rPr>
              <w:t>造价咨询服</w:t>
            </w:r>
            <w:r>
              <w:rPr>
                <w:rFonts w:hint="eastAsia"/>
                <w:szCs w:val="22"/>
              </w:rPr>
              <w:t>务的质量保证措施</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09" w:type="dxa"/>
            <w:vMerge w:val="continue"/>
            <w:vAlign w:val="center"/>
          </w:tcPr>
          <w:p/>
        </w:tc>
        <w:tc>
          <w:tcPr>
            <w:tcW w:w="1276" w:type="dxa"/>
            <w:vMerge w:val="continue"/>
            <w:vAlign w:val="center"/>
          </w:tcPr>
          <w:p>
            <w:pPr>
              <w:jc w:val="center"/>
            </w:pPr>
          </w:p>
        </w:tc>
        <w:tc>
          <w:tcPr>
            <w:tcW w:w="6502" w:type="dxa"/>
          </w:tcPr>
          <w:p>
            <w:pPr>
              <w:snapToGrid w:val="0"/>
            </w:pPr>
            <w:r>
              <w:rPr>
                <w:rFonts w:hint="eastAsia"/>
              </w:rPr>
              <w:t>2</w:t>
            </w:r>
            <w:r>
              <w:rPr>
                <w:rFonts w:hint="eastAsia" w:ascii="宋体" w:hAnsi="宋体"/>
                <w:szCs w:val="21"/>
              </w:rPr>
              <w:t>造价咨询服务的</w:t>
            </w:r>
            <w:r>
              <w:rPr>
                <w:rFonts w:hint="eastAsia"/>
                <w:szCs w:val="22"/>
              </w:rPr>
              <w:t>时限保证措施</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09" w:type="dxa"/>
            <w:vMerge w:val="continue"/>
            <w:vAlign w:val="center"/>
          </w:tcPr>
          <w:p/>
        </w:tc>
        <w:tc>
          <w:tcPr>
            <w:tcW w:w="1276" w:type="dxa"/>
            <w:vMerge w:val="continue"/>
            <w:vAlign w:val="center"/>
          </w:tcPr>
          <w:p>
            <w:pPr>
              <w:jc w:val="center"/>
            </w:pPr>
          </w:p>
        </w:tc>
        <w:tc>
          <w:tcPr>
            <w:tcW w:w="6502" w:type="dxa"/>
          </w:tcPr>
          <w:p>
            <w:pPr>
              <w:snapToGrid w:val="0"/>
            </w:pPr>
            <w:r>
              <w:rPr>
                <w:rFonts w:hint="eastAsia"/>
              </w:rPr>
              <w:t>3</w:t>
            </w:r>
            <w:r>
              <w:rPr>
                <w:rFonts w:hint="eastAsia" w:ascii="宋体" w:hAnsi="宋体"/>
                <w:szCs w:val="21"/>
              </w:rPr>
              <w:t>造价咨询服务</w:t>
            </w:r>
            <w:r>
              <w:rPr>
                <w:rFonts w:hint="eastAsia"/>
                <w:szCs w:val="22"/>
              </w:rPr>
              <w:t>工作流程及工作要点</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9" w:type="dxa"/>
            <w:vMerge w:val="continue"/>
            <w:vAlign w:val="center"/>
          </w:tcPr>
          <w:p/>
        </w:tc>
        <w:tc>
          <w:tcPr>
            <w:tcW w:w="1276" w:type="dxa"/>
            <w:vMerge w:val="continue"/>
            <w:vAlign w:val="center"/>
          </w:tcPr>
          <w:p>
            <w:pPr>
              <w:jc w:val="center"/>
            </w:pPr>
          </w:p>
        </w:tc>
        <w:tc>
          <w:tcPr>
            <w:tcW w:w="6502" w:type="dxa"/>
          </w:tcPr>
          <w:p>
            <w:pPr>
              <w:snapToGrid w:val="0"/>
            </w:pPr>
            <w:r>
              <w:rPr>
                <w:rFonts w:hint="eastAsia"/>
              </w:rPr>
              <w:t>4</w:t>
            </w:r>
            <w:r>
              <w:rPr>
                <w:rFonts w:hint="eastAsia" w:ascii="宋体" w:hAnsi="宋体"/>
                <w:szCs w:val="21"/>
              </w:rPr>
              <w:t>造价咨询服务</w:t>
            </w:r>
            <w:r>
              <w:rPr>
                <w:rFonts w:hint="eastAsia"/>
                <w:szCs w:val="22"/>
              </w:rPr>
              <w:t>制度及岗位职责</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09" w:type="dxa"/>
            <w:vMerge w:val="continue"/>
            <w:vAlign w:val="center"/>
          </w:tcPr>
          <w:p/>
        </w:tc>
        <w:tc>
          <w:tcPr>
            <w:tcW w:w="1276" w:type="dxa"/>
            <w:vMerge w:val="continue"/>
            <w:vAlign w:val="center"/>
          </w:tcPr>
          <w:p>
            <w:pPr>
              <w:jc w:val="center"/>
            </w:pPr>
          </w:p>
        </w:tc>
        <w:tc>
          <w:tcPr>
            <w:tcW w:w="6502" w:type="dxa"/>
          </w:tcPr>
          <w:p>
            <w:pPr>
              <w:snapToGrid w:val="0"/>
            </w:pPr>
            <w:r>
              <w:rPr>
                <w:rFonts w:hint="eastAsia"/>
              </w:rPr>
              <w:t>5</w:t>
            </w:r>
            <w:r>
              <w:rPr>
                <w:rFonts w:hint="eastAsia"/>
                <w:szCs w:val="22"/>
              </w:rPr>
              <w:t>廉洁从业及保密措施</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tc>
        <w:tc>
          <w:tcPr>
            <w:tcW w:w="1276" w:type="dxa"/>
            <w:vMerge w:val="continue"/>
            <w:vAlign w:val="center"/>
          </w:tcPr>
          <w:p>
            <w:pPr>
              <w:jc w:val="center"/>
            </w:pPr>
          </w:p>
        </w:tc>
        <w:tc>
          <w:tcPr>
            <w:tcW w:w="6502" w:type="dxa"/>
          </w:tcPr>
          <w:p>
            <w:pPr>
              <w:snapToGrid w:val="0"/>
            </w:pPr>
            <w:r>
              <w:rPr>
                <w:rFonts w:hint="eastAsia"/>
              </w:rPr>
              <w:t>6</w:t>
            </w:r>
            <w:r>
              <w:rPr>
                <w:rFonts w:hint="eastAsia" w:ascii="宋体" w:hAnsi="宋体"/>
                <w:szCs w:val="21"/>
              </w:rPr>
              <w:t>造价咨询服务</w:t>
            </w:r>
            <w:r>
              <w:rPr>
                <w:rFonts w:hint="eastAsia"/>
                <w:szCs w:val="22"/>
              </w:rPr>
              <w:t>过程中重点难点的分析及解决办法</w:t>
            </w:r>
            <w:r>
              <w:rPr>
                <w:rFonts w:hint="eastAsia"/>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440" w:lineRule="exact"/>
              <w:jc w:val="center"/>
              <w:rPr>
                <w:szCs w:val="21"/>
              </w:rPr>
            </w:pPr>
            <w:r>
              <w:rPr>
                <w:rFonts w:hint="eastAsia"/>
                <w:szCs w:val="21"/>
              </w:rPr>
              <w:t>3</w:t>
            </w:r>
          </w:p>
        </w:tc>
        <w:tc>
          <w:tcPr>
            <w:tcW w:w="1276" w:type="dxa"/>
            <w:vAlign w:val="center"/>
          </w:tcPr>
          <w:p>
            <w:pPr>
              <w:spacing w:line="440" w:lineRule="exact"/>
              <w:jc w:val="center"/>
              <w:rPr>
                <w:szCs w:val="21"/>
              </w:rPr>
            </w:pPr>
            <w:r>
              <w:rPr>
                <w:rFonts w:hint="eastAsia"/>
                <w:szCs w:val="21"/>
              </w:rPr>
              <w:t>企业业绩及</w:t>
            </w:r>
          </w:p>
          <w:p>
            <w:pPr>
              <w:spacing w:line="440" w:lineRule="exact"/>
              <w:jc w:val="center"/>
              <w:rPr>
                <w:szCs w:val="21"/>
              </w:rPr>
            </w:pPr>
            <w:r>
              <w:rPr>
                <w:rFonts w:hint="eastAsia"/>
                <w:szCs w:val="21"/>
              </w:rPr>
              <w:t>人员配置</w:t>
            </w:r>
          </w:p>
          <w:p>
            <w:pPr>
              <w:spacing w:line="440" w:lineRule="exact"/>
              <w:jc w:val="center"/>
              <w:rPr>
                <w:szCs w:val="21"/>
              </w:rPr>
            </w:pPr>
            <w:r>
              <w:rPr>
                <w:rFonts w:hint="eastAsia"/>
                <w:szCs w:val="21"/>
              </w:rPr>
              <w:t>（满分40分）</w:t>
            </w:r>
          </w:p>
        </w:tc>
        <w:tc>
          <w:tcPr>
            <w:tcW w:w="6502" w:type="dxa"/>
          </w:tcPr>
          <w:p>
            <w:pPr>
              <w:spacing w:line="270" w:lineRule="exact"/>
              <w:jc w:val="left"/>
            </w:pPr>
            <w:r>
              <w:rPr>
                <w:rFonts w:hint="eastAsia"/>
              </w:rPr>
              <w:t>1、企业业绩（20分）</w:t>
            </w:r>
          </w:p>
          <w:p>
            <w:pPr>
              <w:spacing w:line="270" w:lineRule="exact"/>
              <w:ind w:firstLine="420" w:firstLineChars="200"/>
              <w:jc w:val="left"/>
              <w:rPr>
                <w:szCs w:val="22"/>
              </w:rPr>
            </w:pPr>
            <w:r>
              <w:rPr>
                <w:rFonts w:hint="eastAsia" w:ascii="Times New Roman" w:hAnsi="Times New Roman"/>
                <w:szCs w:val="22"/>
              </w:rPr>
              <w:t>近</w:t>
            </w:r>
            <w:r>
              <w:rPr>
                <w:rFonts w:hint="eastAsia" w:ascii="Times New Roman" w:hAnsi="Times New Roman"/>
                <w:szCs w:val="22"/>
                <w:u w:val="single"/>
              </w:rPr>
              <w:t xml:space="preserve">   </w:t>
            </w:r>
            <w:r>
              <w:rPr>
                <w:rFonts w:hint="eastAsia" w:ascii="Times New Roman" w:hAnsi="Times New Roman"/>
                <w:szCs w:val="22"/>
              </w:rPr>
              <w:t>年（20</w:t>
            </w:r>
            <w:r>
              <w:rPr>
                <w:rFonts w:hint="eastAsia" w:ascii="Times New Roman" w:hAnsi="Times New Roman"/>
                <w:szCs w:val="22"/>
                <w:u w:val="single"/>
              </w:rPr>
              <w:t xml:space="preserve">  </w:t>
            </w:r>
            <w:r>
              <w:rPr>
                <w:rFonts w:hint="eastAsia" w:ascii="Times New Roman" w:hAnsi="Times New Roman"/>
                <w:szCs w:val="22"/>
              </w:rPr>
              <w:t>年</w:t>
            </w:r>
            <w:r>
              <w:rPr>
                <w:rFonts w:hint="eastAsia" w:ascii="Times New Roman" w:hAnsi="Times New Roman"/>
                <w:szCs w:val="22"/>
                <w:u w:val="single"/>
              </w:rPr>
              <w:t xml:space="preserve">   </w:t>
            </w:r>
            <w:r>
              <w:rPr>
                <w:rFonts w:hint="eastAsia" w:ascii="Times New Roman" w:hAnsi="Times New Roman"/>
                <w:szCs w:val="22"/>
              </w:rPr>
              <w:t>月）</w:t>
            </w:r>
            <w:r>
              <w:rPr>
                <w:rFonts w:hint="eastAsia"/>
                <w:szCs w:val="22"/>
              </w:rPr>
              <w:t>，提供企业类似项目业绩：单项合同金额≥</w:t>
            </w:r>
            <w:r>
              <w:rPr>
                <w:rFonts w:hint="eastAsia"/>
                <w:szCs w:val="22"/>
                <w:u w:val="single"/>
              </w:rPr>
              <w:t xml:space="preserve">   </w:t>
            </w:r>
            <w:r>
              <w:rPr>
                <w:rFonts w:hint="eastAsia"/>
                <w:szCs w:val="22"/>
              </w:rPr>
              <w:t>万元的类似项目业绩，每项得4分；单项合同金额≥</w:t>
            </w:r>
            <w:r>
              <w:rPr>
                <w:rFonts w:hint="eastAsia"/>
                <w:szCs w:val="22"/>
                <w:u w:val="single"/>
              </w:rPr>
              <w:t xml:space="preserve">    </w:t>
            </w:r>
            <w:r>
              <w:rPr>
                <w:rFonts w:hint="eastAsia"/>
                <w:szCs w:val="22"/>
              </w:rPr>
              <w:t>万元但＜</w:t>
            </w:r>
            <w:r>
              <w:rPr>
                <w:rFonts w:hint="eastAsia"/>
                <w:szCs w:val="22"/>
                <w:u w:val="single"/>
              </w:rPr>
              <w:t xml:space="preserve">     </w:t>
            </w:r>
            <w:r>
              <w:rPr>
                <w:rFonts w:hint="eastAsia"/>
                <w:szCs w:val="22"/>
              </w:rPr>
              <w:t xml:space="preserve">万元的类似项目业绩，每项得2分。 </w:t>
            </w:r>
          </w:p>
          <w:p>
            <w:pPr>
              <w:spacing w:line="270" w:lineRule="exact"/>
              <w:jc w:val="left"/>
            </w:pPr>
            <w:r>
              <w:rPr>
                <w:rFonts w:hint="eastAsia"/>
                <w:szCs w:val="22"/>
              </w:rPr>
              <w:t xml:space="preserve">（注：①类似业绩是指 </w:t>
            </w:r>
            <w:r>
              <w:rPr>
                <w:rFonts w:hint="eastAsia"/>
                <w:i/>
                <w:szCs w:val="22"/>
                <w:u w:val="single"/>
              </w:rPr>
              <w:t>（类别、规模）</w:t>
            </w:r>
            <w:r>
              <w:rPr>
                <w:rFonts w:hint="eastAsia"/>
                <w:szCs w:val="22"/>
              </w:rPr>
              <w:t>项目业绩，以合同内容为准；②时间以合同签订日期为准。）</w:t>
            </w:r>
          </w:p>
          <w:p>
            <w:pPr>
              <w:spacing w:line="270" w:lineRule="exact"/>
              <w:jc w:val="left"/>
            </w:pPr>
            <w:r>
              <w:rPr>
                <w:rFonts w:hint="eastAsia"/>
              </w:rPr>
              <w:t>2、人员配置（20分）</w:t>
            </w:r>
          </w:p>
          <w:p>
            <w:pPr>
              <w:pStyle w:val="7"/>
              <w:spacing w:line="310" w:lineRule="exact"/>
              <w:ind w:firstLine="420" w:firstLineChars="200"/>
              <w:rPr>
                <w:rFonts w:ascii="Times New Roman" w:hAnsi="Times New Roman"/>
                <w:sz w:val="21"/>
                <w:szCs w:val="22"/>
              </w:rPr>
            </w:pPr>
            <w:r>
              <w:rPr>
                <w:rFonts w:hint="eastAsia" w:ascii="Times New Roman" w:hAnsi="Times New Roman"/>
                <w:sz w:val="21"/>
                <w:szCs w:val="22"/>
              </w:rPr>
              <w:t>①专业负责人（11分）</w:t>
            </w:r>
          </w:p>
          <w:p>
            <w:pPr>
              <w:pStyle w:val="7"/>
              <w:spacing w:line="310" w:lineRule="exact"/>
              <w:ind w:firstLine="420" w:firstLineChars="200"/>
              <w:rPr>
                <w:rFonts w:ascii="Times New Roman" w:hAnsi="Times New Roman"/>
                <w:sz w:val="21"/>
                <w:szCs w:val="22"/>
              </w:rPr>
            </w:pPr>
            <w:r>
              <w:rPr>
                <w:rFonts w:hint="eastAsia" w:ascii="Times New Roman" w:hAnsi="Times New Roman"/>
                <w:sz w:val="21"/>
                <w:szCs w:val="22"/>
              </w:rPr>
              <w:t>资格及职称（5分）：拟派专业负责人为一级造价工程师且具备高级职称得5分；专业负责人为一级造价工程师且具备中级职称得3分，其他不得分。</w:t>
            </w:r>
          </w:p>
          <w:p>
            <w:pPr>
              <w:pStyle w:val="7"/>
              <w:spacing w:line="310" w:lineRule="exact"/>
              <w:ind w:firstLine="420" w:firstLineChars="200"/>
              <w:rPr>
                <w:rFonts w:ascii="Times New Roman" w:hAnsi="Times New Roman"/>
                <w:sz w:val="21"/>
                <w:szCs w:val="22"/>
              </w:rPr>
            </w:pPr>
            <w:r>
              <w:rPr>
                <w:rFonts w:hint="eastAsia" w:ascii="Times New Roman" w:hAnsi="Times New Roman"/>
                <w:sz w:val="21"/>
                <w:szCs w:val="22"/>
              </w:rPr>
              <w:t>业绩（6分）：近</w:t>
            </w:r>
            <w:r>
              <w:rPr>
                <w:rFonts w:hint="eastAsia" w:ascii="Times New Roman" w:hAnsi="Times New Roman"/>
                <w:sz w:val="21"/>
                <w:szCs w:val="22"/>
                <w:u w:val="single"/>
              </w:rPr>
              <w:t xml:space="preserve">   </w:t>
            </w:r>
            <w:r>
              <w:rPr>
                <w:rFonts w:hint="eastAsia" w:ascii="Times New Roman" w:hAnsi="Times New Roman"/>
                <w:sz w:val="21"/>
                <w:szCs w:val="22"/>
              </w:rPr>
              <w:t>年（20</w:t>
            </w:r>
            <w:r>
              <w:rPr>
                <w:rFonts w:hint="eastAsia" w:ascii="Times New Roman" w:hAnsi="Times New Roman"/>
                <w:sz w:val="21"/>
                <w:szCs w:val="22"/>
                <w:u w:val="single"/>
              </w:rPr>
              <w:t xml:space="preserve">  </w:t>
            </w:r>
            <w:r>
              <w:rPr>
                <w:rFonts w:hint="eastAsia" w:ascii="Times New Roman" w:hAnsi="Times New Roman"/>
                <w:sz w:val="21"/>
                <w:szCs w:val="22"/>
              </w:rPr>
              <w:t>年</w:t>
            </w:r>
            <w:r>
              <w:rPr>
                <w:rFonts w:hint="eastAsia" w:ascii="Times New Roman" w:hAnsi="Times New Roman"/>
                <w:sz w:val="21"/>
                <w:szCs w:val="22"/>
                <w:u w:val="single"/>
              </w:rPr>
              <w:t xml:space="preserve">   </w:t>
            </w:r>
            <w:r>
              <w:rPr>
                <w:rFonts w:hint="eastAsia" w:ascii="Times New Roman" w:hAnsi="Times New Roman"/>
                <w:sz w:val="21"/>
                <w:szCs w:val="22"/>
              </w:rPr>
              <w:t>月），担任过类似项目负责人业绩，每项得2分。</w:t>
            </w:r>
          </w:p>
          <w:p>
            <w:pPr>
              <w:snapToGrid w:val="0"/>
              <w:spacing w:line="260" w:lineRule="exact"/>
              <w:rPr>
                <w:szCs w:val="22"/>
              </w:rPr>
            </w:pPr>
            <w:r>
              <w:rPr>
                <w:rFonts w:hint="eastAsia"/>
                <w:szCs w:val="22"/>
              </w:rPr>
              <w:t>（注：①类似业绩是指</w:t>
            </w:r>
            <w:r>
              <w:rPr>
                <w:rFonts w:hint="eastAsia"/>
                <w:szCs w:val="22"/>
                <w:u w:val="single"/>
              </w:rPr>
              <w:t xml:space="preserve"> </w:t>
            </w:r>
            <w:r>
              <w:rPr>
                <w:rFonts w:hint="eastAsia"/>
                <w:i/>
                <w:szCs w:val="22"/>
                <w:u w:val="single"/>
              </w:rPr>
              <w:t>（类别、规模）</w:t>
            </w:r>
            <w:r>
              <w:rPr>
                <w:rFonts w:hint="eastAsia"/>
                <w:szCs w:val="22"/>
              </w:rPr>
              <w:t>项目业绩，以合同内容为准；</w:t>
            </w:r>
            <w:r>
              <w:rPr>
                <w:rFonts w:hint="eastAsia" w:ascii="Times New Roman" w:hAnsi="Times New Roman"/>
                <w:szCs w:val="22"/>
              </w:rPr>
              <w:t>②</w:t>
            </w:r>
            <w:r>
              <w:rPr>
                <w:rFonts w:hint="eastAsia"/>
                <w:szCs w:val="22"/>
              </w:rPr>
              <w:t>时间以合同签订日期为准。）</w:t>
            </w:r>
          </w:p>
          <w:p>
            <w:pPr>
              <w:pStyle w:val="7"/>
              <w:spacing w:line="310" w:lineRule="exact"/>
              <w:ind w:left="420"/>
              <w:rPr>
                <w:rFonts w:ascii="Times New Roman" w:hAnsi="Times New Roman"/>
                <w:sz w:val="21"/>
                <w:szCs w:val="22"/>
              </w:rPr>
            </w:pPr>
            <w:r>
              <w:rPr>
                <w:rFonts w:hint="eastAsia" w:ascii="Times New Roman" w:hAnsi="Times New Roman"/>
                <w:sz w:val="21"/>
                <w:szCs w:val="22"/>
              </w:rPr>
              <w:t>②其他人员配置（9分）</w:t>
            </w:r>
          </w:p>
          <w:p>
            <w:pPr>
              <w:pStyle w:val="7"/>
              <w:spacing w:line="310" w:lineRule="exact"/>
              <w:ind w:firstLine="420" w:firstLineChars="200"/>
              <w:rPr>
                <w:rFonts w:ascii="Times New Roman" w:hAnsi="Times New Roman"/>
                <w:sz w:val="21"/>
                <w:szCs w:val="22"/>
              </w:rPr>
            </w:pPr>
            <w:r>
              <w:rPr>
                <w:rFonts w:hint="eastAsia" w:ascii="Times New Roman" w:hAnsi="Times New Roman"/>
                <w:sz w:val="21"/>
                <w:szCs w:val="22"/>
              </w:rPr>
              <w:t>拟派本项目人员中，每提供一名一级造价工程师或高级职称得</w:t>
            </w:r>
            <w:r>
              <w:rPr>
                <w:rFonts w:ascii="Times New Roman" w:hAnsi="Times New Roman"/>
                <w:sz w:val="21"/>
                <w:szCs w:val="22"/>
              </w:rPr>
              <w:t>4</w:t>
            </w:r>
            <w:r>
              <w:rPr>
                <w:rFonts w:hint="eastAsia" w:ascii="Times New Roman" w:hAnsi="Times New Roman"/>
                <w:sz w:val="21"/>
                <w:szCs w:val="22"/>
              </w:rPr>
              <w:t>分，中级职称或二级造价工程师得</w:t>
            </w:r>
            <w:r>
              <w:rPr>
                <w:rFonts w:ascii="Times New Roman" w:hAnsi="Times New Roman"/>
                <w:sz w:val="21"/>
                <w:szCs w:val="22"/>
              </w:rPr>
              <w:t>3</w:t>
            </w:r>
            <w:r>
              <w:rPr>
                <w:rFonts w:hint="eastAsia" w:ascii="Times New Roman" w:hAnsi="Times New Roman"/>
                <w:sz w:val="21"/>
                <w:szCs w:val="22"/>
              </w:rPr>
              <w:t>分，初级职称得</w:t>
            </w:r>
            <w:r>
              <w:rPr>
                <w:rFonts w:ascii="Times New Roman" w:hAnsi="Times New Roman"/>
                <w:sz w:val="21"/>
                <w:szCs w:val="22"/>
              </w:rPr>
              <w:t>2</w:t>
            </w:r>
            <w:r>
              <w:rPr>
                <w:rFonts w:hint="eastAsia" w:ascii="Times New Roman" w:hAnsi="Times New Roman"/>
                <w:sz w:val="21"/>
                <w:szCs w:val="22"/>
              </w:rPr>
              <w:t>分；同一人提供多个证书的只计其中最高分；最高得</w:t>
            </w:r>
            <w:r>
              <w:rPr>
                <w:rFonts w:ascii="Times New Roman" w:hAnsi="Times New Roman"/>
                <w:sz w:val="21"/>
                <w:szCs w:val="22"/>
              </w:rPr>
              <w:t>9</w:t>
            </w:r>
            <w:r>
              <w:rPr>
                <w:rFonts w:hint="eastAsia" w:ascii="Times New Roman" w:hAnsi="Times New Roman"/>
                <w:sz w:val="21"/>
                <w:szCs w:val="22"/>
              </w:rPr>
              <w:t>分。</w:t>
            </w:r>
          </w:p>
          <w:p>
            <w:pPr>
              <w:spacing w:line="310" w:lineRule="exact"/>
            </w:pPr>
            <w:r>
              <w:rPr>
                <w:rFonts w:hint="eastAsia"/>
                <w:b/>
                <w:bCs/>
                <w:i/>
                <w:iCs/>
              </w:rPr>
              <w:t>注：招标人可根据项目特点对专业技术人员规定驻场时间。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87" w:type="dxa"/>
            <w:gridSpan w:val="3"/>
            <w:vAlign w:val="center"/>
          </w:tcPr>
          <w:p>
            <w:pPr>
              <w:spacing w:line="440" w:lineRule="exact"/>
              <w:jc w:val="center"/>
              <w:rPr>
                <w:szCs w:val="21"/>
              </w:rPr>
            </w:pPr>
            <w:r>
              <w:rPr>
                <w:b/>
                <w:bCs/>
                <w:szCs w:val="21"/>
              </w:rPr>
              <w:t>2.2.4</w:t>
            </w:r>
            <w:r>
              <w:rPr>
                <w:rFonts w:hint="eastAsia"/>
                <w:b/>
                <w:bCs/>
                <w:szCs w:val="21"/>
              </w:rPr>
              <w:t>（5）招标代理（满分100分）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09" w:type="dxa"/>
            <w:vAlign w:val="center"/>
          </w:tcPr>
          <w:p>
            <w:pPr>
              <w:spacing w:line="440" w:lineRule="exact"/>
              <w:jc w:val="center"/>
              <w:rPr>
                <w:szCs w:val="21"/>
              </w:rPr>
            </w:pPr>
            <w:r>
              <w:rPr>
                <w:rFonts w:hint="eastAsia"/>
                <w:szCs w:val="21"/>
              </w:rPr>
              <w:t>序号</w:t>
            </w:r>
          </w:p>
        </w:tc>
        <w:tc>
          <w:tcPr>
            <w:tcW w:w="1276" w:type="dxa"/>
            <w:vAlign w:val="center"/>
          </w:tcPr>
          <w:p>
            <w:pPr>
              <w:spacing w:line="440" w:lineRule="exact"/>
              <w:jc w:val="center"/>
              <w:rPr>
                <w:szCs w:val="21"/>
              </w:rPr>
            </w:pPr>
            <w:r>
              <w:rPr>
                <w:szCs w:val="21"/>
              </w:rPr>
              <w:t>评分因素</w:t>
            </w:r>
          </w:p>
        </w:tc>
        <w:tc>
          <w:tcPr>
            <w:tcW w:w="6502" w:type="dxa"/>
            <w:vAlign w:val="center"/>
          </w:tcPr>
          <w:p>
            <w:pPr>
              <w:spacing w:line="440" w:lineRule="exact"/>
              <w:jc w:val="center"/>
              <w:rPr>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09" w:type="dxa"/>
            <w:vAlign w:val="center"/>
          </w:tcPr>
          <w:p>
            <w:pPr>
              <w:spacing w:line="440" w:lineRule="exact"/>
              <w:jc w:val="center"/>
              <w:rPr>
                <w:szCs w:val="21"/>
              </w:rPr>
            </w:pPr>
            <w:r>
              <w:rPr>
                <w:rFonts w:hint="eastAsia"/>
                <w:szCs w:val="21"/>
              </w:rPr>
              <w:t>1</w:t>
            </w:r>
          </w:p>
        </w:tc>
        <w:tc>
          <w:tcPr>
            <w:tcW w:w="1276" w:type="dxa"/>
            <w:vAlign w:val="center"/>
          </w:tcPr>
          <w:p>
            <w:pPr>
              <w:spacing w:line="440" w:lineRule="exact"/>
              <w:jc w:val="center"/>
              <w:rPr>
                <w:szCs w:val="21"/>
              </w:rPr>
            </w:pPr>
            <w:r>
              <w:rPr>
                <w:rFonts w:hint="eastAsia"/>
                <w:szCs w:val="21"/>
              </w:rPr>
              <w:t>投标报价</w:t>
            </w:r>
          </w:p>
          <w:p>
            <w:pPr>
              <w:spacing w:line="440" w:lineRule="exact"/>
              <w:jc w:val="center"/>
              <w:rPr>
                <w:szCs w:val="21"/>
              </w:rPr>
            </w:pPr>
            <w:r>
              <w:rPr>
                <w:rFonts w:hint="eastAsia"/>
                <w:szCs w:val="21"/>
              </w:rPr>
              <w:t>（下浮率）</w:t>
            </w:r>
          </w:p>
          <w:p>
            <w:pPr>
              <w:spacing w:line="440" w:lineRule="exact"/>
              <w:ind w:left="420" w:hanging="420"/>
              <w:jc w:val="center"/>
              <w:rPr>
                <w:szCs w:val="21"/>
              </w:rPr>
            </w:pPr>
            <w:r>
              <w:rPr>
                <w:rFonts w:hint="eastAsia"/>
                <w:szCs w:val="21"/>
              </w:rPr>
              <w:t>（满分30分）</w:t>
            </w:r>
          </w:p>
        </w:tc>
        <w:tc>
          <w:tcPr>
            <w:tcW w:w="6502" w:type="dxa"/>
            <w:vAlign w:val="center"/>
          </w:tcPr>
          <w:p>
            <w:pPr>
              <w:pStyle w:val="7"/>
              <w:snapToGrid w:val="0"/>
              <w:spacing w:line="300" w:lineRule="exact"/>
              <w:ind w:firstLine="420" w:firstLineChars="200"/>
              <w:rPr>
                <w:rFonts w:asciiTheme="minorEastAsia" w:hAnsiTheme="minorEastAsia"/>
                <w:sz w:val="21"/>
                <w:szCs w:val="22"/>
              </w:rPr>
            </w:pPr>
            <w:r>
              <w:rPr>
                <w:rFonts w:hint="eastAsia" w:asciiTheme="minorEastAsia" w:hAnsiTheme="minorEastAsia"/>
                <w:sz w:val="21"/>
                <w:szCs w:val="22"/>
              </w:rPr>
              <w:t>以评标基准价（下浮率）为基础，当投标报价（下浮率）等于评标基准价（下浮率）时得满分，投标报价（下浮率）每增加1%扣0.03分，每减少1%扣0.06分，扣完为止。</w:t>
            </w:r>
          </w:p>
          <w:p>
            <w:pPr>
              <w:snapToGrid w:val="0"/>
              <w:spacing w:line="300" w:lineRule="exact"/>
              <w:rPr>
                <w:rFonts w:asciiTheme="minorEastAsia" w:hAnsiTheme="minorEastAsia"/>
                <w:szCs w:val="22"/>
              </w:rPr>
            </w:pPr>
            <w:r>
              <w:rPr>
                <w:rFonts w:hint="eastAsia" w:asciiTheme="minorEastAsia" w:hAnsiTheme="minorEastAsia"/>
                <w:szCs w:val="22"/>
              </w:rPr>
              <w:t>评标基准价（下浮率）=各有效投标报价（下浮率）之和</w:t>
            </w:r>
            <w:r>
              <w:rPr>
                <w:rFonts w:hint="eastAsia" w:asciiTheme="minorEastAsia" w:hAnsiTheme="minorEastAsia"/>
              </w:rPr>
              <w:t>/</w:t>
            </w:r>
            <w:r>
              <w:rPr>
                <w:rFonts w:hint="eastAsia" w:asciiTheme="minorEastAsia" w:hAnsiTheme="minorEastAsia"/>
                <w:szCs w:val="22"/>
              </w:rPr>
              <w:t>有效投标单位个数。</w:t>
            </w:r>
          </w:p>
          <w:p>
            <w:pPr>
              <w:snapToGrid w:val="0"/>
              <w:spacing w:line="300" w:lineRule="exact"/>
              <w:rPr>
                <w:rFonts w:asciiTheme="minorEastAsia" w:hAnsiTheme="minorEastAsia"/>
              </w:rPr>
            </w:pPr>
            <w:r>
              <w:rPr>
                <w:rFonts w:hint="eastAsia" w:asciiTheme="minorEastAsia" w:hAnsiTheme="minorEastAsia"/>
              </w:rPr>
              <w:t>投标人数量≤5时，评标基准价采用全部有效投标报价计算；</w:t>
            </w:r>
          </w:p>
          <w:p>
            <w:pPr>
              <w:snapToGrid w:val="0"/>
              <w:spacing w:line="300" w:lineRule="exact"/>
              <w:rPr>
                <w:rFonts w:asciiTheme="minorEastAsia" w:hAnsiTheme="minorEastAsia"/>
              </w:rPr>
            </w:pPr>
            <w:r>
              <w:rPr>
                <w:rFonts w:hint="eastAsia" w:asciiTheme="minorEastAsia" w:hAnsiTheme="minorEastAsia"/>
              </w:rPr>
              <w:t>5＜投标人数量≤20时，评标基准价采用去除有效报价最高、最低各1个计算；</w:t>
            </w:r>
          </w:p>
          <w:p>
            <w:pPr>
              <w:snapToGrid w:val="0"/>
              <w:spacing w:line="300" w:lineRule="exact"/>
              <w:rPr>
                <w:rFonts w:asciiTheme="minorEastAsia" w:hAnsiTheme="minorEastAsia"/>
              </w:rPr>
            </w:pPr>
            <w:r>
              <w:rPr>
                <w:rFonts w:hint="eastAsia" w:asciiTheme="minorEastAsia" w:hAnsiTheme="minorEastAsia"/>
              </w:rPr>
              <w:t>投标人数量＞20时，评标基准价采用去除有效报价最高、最低各2个计算。</w:t>
            </w:r>
          </w:p>
          <w:p>
            <w:pPr>
              <w:snapToGrid w:val="0"/>
              <w:spacing w:line="300" w:lineRule="exact"/>
              <w:jc w:val="left"/>
              <w:rPr>
                <w:rFonts w:asciiTheme="minorEastAsia" w:hAnsiTheme="minorEastAsia"/>
              </w:rPr>
            </w:pPr>
            <w:r>
              <w:rPr>
                <w:rFonts w:asciiTheme="minorEastAsia" w:hAnsiTheme="minorEastAsia"/>
              </w:rPr>
              <w:t>计算</w:t>
            </w:r>
            <w:r>
              <w:rPr>
                <w:rFonts w:hint="eastAsia" w:asciiTheme="minorEastAsia" w:hAnsiTheme="minorEastAsia"/>
              </w:rPr>
              <w:t>公式如下：</w:t>
            </w:r>
          </w:p>
          <w:p>
            <w:pPr>
              <w:snapToGrid w:val="0"/>
              <w:spacing w:line="300" w:lineRule="exact"/>
              <w:jc w:val="left"/>
            </w:pPr>
            <w:r>
              <w:rPr>
                <w:rFonts w:hint="eastAsia"/>
              </w:rPr>
              <w:t>①当投标报价大于基准价</w:t>
            </w:r>
            <w:r>
              <w:rPr>
                <w:rFonts w:hint="eastAsia"/>
                <w:szCs w:val="22"/>
              </w:rPr>
              <w:t>（下浮率）</w:t>
            </w:r>
            <w:r>
              <w:rPr>
                <w:rFonts w:hint="eastAsia"/>
              </w:rPr>
              <w:t>时，报价得分=30-（投标报价</w:t>
            </w:r>
            <w:r>
              <w:rPr>
                <w:rFonts w:hint="eastAsia"/>
                <w:szCs w:val="22"/>
              </w:rPr>
              <w:t>（下浮率）－</w:t>
            </w:r>
            <w:r>
              <w:rPr>
                <w:rFonts w:hint="eastAsia"/>
              </w:rPr>
              <w:t>基准价</w:t>
            </w:r>
            <w:r>
              <w:rPr>
                <w:rFonts w:hint="eastAsia"/>
                <w:szCs w:val="22"/>
              </w:rPr>
              <w:t>（下浮率）</w:t>
            </w:r>
            <w:r>
              <w:rPr>
                <w:rFonts w:hint="eastAsia"/>
              </w:rPr>
              <w:t>）/基准价</w:t>
            </w:r>
            <w:r>
              <w:rPr>
                <w:rFonts w:hint="eastAsia"/>
                <w:szCs w:val="22"/>
              </w:rPr>
              <w:t>（下浮率）</w:t>
            </w:r>
            <w:r>
              <w:rPr>
                <w:rFonts w:hint="eastAsia"/>
              </w:rPr>
              <w:t>*</w:t>
            </w:r>
            <w:r>
              <w:rPr>
                <w:rFonts w:hint="eastAsia"/>
                <w:szCs w:val="22"/>
              </w:rPr>
              <w:t>0.03</w:t>
            </w:r>
            <w:r>
              <w:rPr>
                <w:rFonts w:hint="eastAsia"/>
              </w:rPr>
              <w:t>*100；</w:t>
            </w:r>
          </w:p>
          <w:p>
            <w:pPr>
              <w:snapToGrid w:val="0"/>
              <w:spacing w:line="300" w:lineRule="exact"/>
              <w:jc w:val="left"/>
              <w:rPr>
                <w:szCs w:val="21"/>
              </w:rPr>
            </w:pPr>
            <w:r>
              <w:rPr>
                <w:rFonts w:hint="eastAsia"/>
              </w:rPr>
              <w:t>②当投标报价小于基准价</w:t>
            </w:r>
            <w:r>
              <w:rPr>
                <w:rFonts w:hint="eastAsia"/>
                <w:szCs w:val="22"/>
              </w:rPr>
              <w:t>（下浮率）</w:t>
            </w:r>
            <w:r>
              <w:rPr>
                <w:rFonts w:hint="eastAsia"/>
              </w:rPr>
              <w:t>时，报价得分=</w:t>
            </w:r>
            <w:r>
              <w:t>30</w:t>
            </w:r>
            <w:r>
              <w:rPr>
                <w:rFonts w:hint="eastAsia"/>
              </w:rPr>
              <w:t>-（基准价</w:t>
            </w:r>
            <w:r>
              <w:rPr>
                <w:rFonts w:hint="eastAsia"/>
                <w:szCs w:val="22"/>
              </w:rPr>
              <w:t>（下浮率）－</w:t>
            </w:r>
            <w:r>
              <w:rPr>
                <w:rFonts w:hint="eastAsia"/>
              </w:rPr>
              <w:t>投标报价</w:t>
            </w:r>
            <w:r>
              <w:rPr>
                <w:rFonts w:hint="eastAsia"/>
                <w:szCs w:val="22"/>
              </w:rPr>
              <w:t>（下浮率）</w:t>
            </w:r>
            <w:r>
              <w:rPr>
                <w:rFonts w:hint="eastAsia"/>
              </w:rPr>
              <w:t>）/基准价</w:t>
            </w:r>
            <w:r>
              <w:rPr>
                <w:rFonts w:hint="eastAsia"/>
                <w:szCs w:val="22"/>
              </w:rPr>
              <w:t>（下浮率）</w:t>
            </w:r>
            <w:r>
              <w:rPr>
                <w:rFonts w:hint="eastAsia"/>
              </w:rPr>
              <w:t>*</w:t>
            </w:r>
            <w:r>
              <w:rPr>
                <w:rFonts w:hint="eastAsia"/>
                <w:szCs w:val="22"/>
              </w:rPr>
              <w:t>0.06</w:t>
            </w: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pPr>
              <w:spacing w:line="440" w:lineRule="exact"/>
              <w:jc w:val="center"/>
              <w:rPr>
                <w:szCs w:val="21"/>
              </w:rPr>
            </w:pPr>
            <w:r>
              <w:rPr>
                <w:rFonts w:hint="eastAsia"/>
                <w:szCs w:val="21"/>
              </w:rPr>
              <w:t>2</w:t>
            </w:r>
          </w:p>
        </w:tc>
        <w:tc>
          <w:tcPr>
            <w:tcW w:w="1276" w:type="dxa"/>
            <w:vMerge w:val="restart"/>
            <w:vAlign w:val="center"/>
          </w:tcPr>
          <w:p>
            <w:pPr>
              <w:spacing w:line="420" w:lineRule="atLeast"/>
              <w:jc w:val="center"/>
              <w:rPr>
                <w:szCs w:val="21"/>
              </w:rPr>
            </w:pPr>
            <w:r>
              <w:rPr>
                <w:rFonts w:hint="eastAsia"/>
                <w:szCs w:val="21"/>
              </w:rPr>
              <w:t>实施方案</w:t>
            </w:r>
          </w:p>
          <w:p>
            <w:pPr>
              <w:spacing w:line="420" w:lineRule="atLeast"/>
              <w:jc w:val="center"/>
              <w:rPr>
                <w:szCs w:val="21"/>
              </w:rPr>
            </w:pPr>
            <w:r>
              <w:rPr>
                <w:rFonts w:hint="eastAsia"/>
                <w:szCs w:val="21"/>
              </w:rPr>
              <w:t>（满分30分）</w:t>
            </w:r>
          </w:p>
        </w:tc>
        <w:tc>
          <w:tcPr>
            <w:tcW w:w="6502" w:type="dxa"/>
          </w:tcPr>
          <w:p>
            <w:pPr>
              <w:spacing w:line="330" w:lineRule="exact"/>
              <w:rPr>
                <w:szCs w:val="21"/>
              </w:rPr>
            </w:pPr>
            <w:r>
              <w:rPr>
                <w:rFonts w:hint="eastAsia"/>
              </w:rPr>
              <w:t>1</w:t>
            </w:r>
            <w:r>
              <w:rPr>
                <w:rFonts w:hint="eastAsia"/>
                <w:szCs w:val="22"/>
              </w:rPr>
              <w:t>服务质量保证措施</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9" w:type="dxa"/>
            <w:vMerge w:val="continue"/>
            <w:vAlign w:val="center"/>
          </w:tcPr>
          <w:p/>
        </w:tc>
        <w:tc>
          <w:tcPr>
            <w:tcW w:w="1276" w:type="dxa"/>
            <w:vMerge w:val="continue"/>
            <w:vAlign w:val="center"/>
          </w:tcPr>
          <w:p>
            <w:pPr>
              <w:jc w:val="center"/>
            </w:pPr>
          </w:p>
        </w:tc>
        <w:tc>
          <w:tcPr>
            <w:tcW w:w="6502" w:type="dxa"/>
          </w:tcPr>
          <w:p>
            <w:pPr>
              <w:spacing w:line="330" w:lineRule="exact"/>
            </w:pPr>
            <w:r>
              <w:rPr>
                <w:rFonts w:hint="eastAsia"/>
              </w:rPr>
              <w:t>2</w:t>
            </w:r>
            <w:r>
              <w:rPr>
                <w:rFonts w:hint="eastAsia"/>
                <w:szCs w:val="22"/>
              </w:rPr>
              <w:t>招标代理工作的时限保证措施</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9" w:type="dxa"/>
            <w:vMerge w:val="continue"/>
            <w:vAlign w:val="center"/>
          </w:tcPr>
          <w:p/>
        </w:tc>
        <w:tc>
          <w:tcPr>
            <w:tcW w:w="1276" w:type="dxa"/>
            <w:vMerge w:val="continue"/>
            <w:vAlign w:val="center"/>
          </w:tcPr>
          <w:p>
            <w:pPr>
              <w:jc w:val="center"/>
            </w:pPr>
          </w:p>
        </w:tc>
        <w:tc>
          <w:tcPr>
            <w:tcW w:w="6502" w:type="dxa"/>
          </w:tcPr>
          <w:p>
            <w:pPr>
              <w:spacing w:line="330" w:lineRule="exact"/>
            </w:pPr>
            <w:r>
              <w:rPr>
                <w:rFonts w:hint="eastAsia"/>
              </w:rPr>
              <w:t>3</w:t>
            </w:r>
            <w:r>
              <w:rPr>
                <w:rFonts w:hint="eastAsia"/>
                <w:szCs w:val="22"/>
              </w:rPr>
              <w:t>招标代理工作流程及工作要点</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vAlign w:val="center"/>
          </w:tcPr>
          <w:p/>
        </w:tc>
        <w:tc>
          <w:tcPr>
            <w:tcW w:w="1276" w:type="dxa"/>
            <w:vMerge w:val="continue"/>
            <w:vAlign w:val="center"/>
          </w:tcPr>
          <w:p>
            <w:pPr>
              <w:jc w:val="center"/>
            </w:pPr>
          </w:p>
        </w:tc>
        <w:tc>
          <w:tcPr>
            <w:tcW w:w="6502" w:type="dxa"/>
          </w:tcPr>
          <w:p>
            <w:pPr>
              <w:spacing w:line="330" w:lineRule="exact"/>
            </w:pPr>
            <w:r>
              <w:rPr>
                <w:rFonts w:hint="eastAsia"/>
              </w:rPr>
              <w:t>4</w:t>
            </w:r>
            <w:r>
              <w:rPr>
                <w:rFonts w:hint="eastAsia"/>
                <w:szCs w:val="22"/>
              </w:rPr>
              <w:t>招标代理工作制度及岗位职责</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vAlign w:val="center"/>
          </w:tcPr>
          <w:p/>
        </w:tc>
        <w:tc>
          <w:tcPr>
            <w:tcW w:w="1276" w:type="dxa"/>
            <w:vMerge w:val="continue"/>
            <w:vAlign w:val="center"/>
          </w:tcPr>
          <w:p>
            <w:pPr>
              <w:jc w:val="center"/>
            </w:pPr>
          </w:p>
        </w:tc>
        <w:tc>
          <w:tcPr>
            <w:tcW w:w="6502" w:type="dxa"/>
          </w:tcPr>
          <w:p>
            <w:pPr>
              <w:spacing w:line="330" w:lineRule="exact"/>
            </w:pPr>
            <w:r>
              <w:rPr>
                <w:rFonts w:hint="eastAsia"/>
              </w:rPr>
              <w:t>5</w:t>
            </w:r>
            <w:r>
              <w:rPr>
                <w:rFonts w:hint="eastAsia"/>
                <w:szCs w:val="22"/>
              </w:rPr>
              <w:t>廉洁从业及保密措施</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09" w:type="dxa"/>
            <w:vMerge w:val="continue"/>
            <w:vAlign w:val="center"/>
          </w:tcPr>
          <w:p/>
        </w:tc>
        <w:tc>
          <w:tcPr>
            <w:tcW w:w="1276" w:type="dxa"/>
            <w:vMerge w:val="continue"/>
            <w:vAlign w:val="center"/>
          </w:tcPr>
          <w:p>
            <w:pPr>
              <w:jc w:val="center"/>
            </w:pPr>
          </w:p>
        </w:tc>
        <w:tc>
          <w:tcPr>
            <w:tcW w:w="6502" w:type="dxa"/>
          </w:tcPr>
          <w:p>
            <w:pPr>
              <w:spacing w:line="330" w:lineRule="exact"/>
            </w:pPr>
            <w:r>
              <w:rPr>
                <w:rFonts w:hint="eastAsia"/>
              </w:rPr>
              <w:t>6</w:t>
            </w:r>
            <w:r>
              <w:rPr>
                <w:rFonts w:hint="eastAsia"/>
                <w:szCs w:val="22"/>
              </w:rPr>
              <w:t>招标代理过程中重点难点的分析及解决办法</w:t>
            </w:r>
            <w:r>
              <w:rPr>
                <w:rFonts w:hint="eastAsia"/>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9" w:type="dxa"/>
            <w:vAlign w:val="center"/>
          </w:tcPr>
          <w:p>
            <w:pPr>
              <w:spacing w:line="440" w:lineRule="exact"/>
              <w:jc w:val="center"/>
              <w:rPr>
                <w:szCs w:val="21"/>
              </w:rPr>
            </w:pPr>
            <w:r>
              <w:rPr>
                <w:rFonts w:hint="eastAsia"/>
                <w:szCs w:val="21"/>
              </w:rPr>
              <w:t>3</w:t>
            </w:r>
          </w:p>
        </w:tc>
        <w:tc>
          <w:tcPr>
            <w:tcW w:w="1276" w:type="dxa"/>
            <w:vAlign w:val="center"/>
          </w:tcPr>
          <w:p>
            <w:pPr>
              <w:spacing w:line="440" w:lineRule="exact"/>
              <w:jc w:val="center"/>
              <w:rPr>
                <w:szCs w:val="21"/>
              </w:rPr>
            </w:pPr>
            <w:r>
              <w:rPr>
                <w:rFonts w:hint="eastAsia"/>
                <w:szCs w:val="21"/>
              </w:rPr>
              <w:t>企业业绩及</w:t>
            </w:r>
          </w:p>
          <w:p>
            <w:pPr>
              <w:spacing w:line="440" w:lineRule="exact"/>
              <w:jc w:val="center"/>
              <w:rPr>
                <w:szCs w:val="21"/>
              </w:rPr>
            </w:pPr>
            <w:r>
              <w:rPr>
                <w:rFonts w:hint="eastAsia"/>
                <w:szCs w:val="21"/>
              </w:rPr>
              <w:t>人员配置</w:t>
            </w:r>
          </w:p>
          <w:p>
            <w:pPr>
              <w:spacing w:line="440" w:lineRule="exact"/>
              <w:jc w:val="center"/>
              <w:rPr>
                <w:szCs w:val="21"/>
              </w:rPr>
            </w:pPr>
            <w:r>
              <w:rPr>
                <w:rFonts w:hint="eastAsia"/>
                <w:szCs w:val="21"/>
              </w:rPr>
              <w:t>（满分40分）</w:t>
            </w:r>
          </w:p>
        </w:tc>
        <w:tc>
          <w:tcPr>
            <w:tcW w:w="6502" w:type="dxa"/>
          </w:tcPr>
          <w:p>
            <w:pPr>
              <w:snapToGrid w:val="0"/>
              <w:spacing w:line="280" w:lineRule="exact"/>
              <w:jc w:val="left"/>
            </w:pPr>
            <w:r>
              <w:rPr>
                <w:rFonts w:hint="eastAsia"/>
              </w:rPr>
              <w:t>1、企业业绩（20分）</w:t>
            </w:r>
          </w:p>
          <w:p>
            <w:pPr>
              <w:snapToGrid w:val="0"/>
              <w:spacing w:line="280" w:lineRule="exact"/>
              <w:ind w:firstLine="420" w:firstLineChars="200"/>
              <w:jc w:val="left"/>
              <w:rPr>
                <w:szCs w:val="22"/>
              </w:rPr>
            </w:pPr>
            <w:r>
              <w:rPr>
                <w:rFonts w:hint="eastAsia" w:ascii="Times New Roman" w:hAnsi="Times New Roman"/>
                <w:szCs w:val="22"/>
              </w:rPr>
              <w:t>近</w:t>
            </w:r>
            <w:r>
              <w:rPr>
                <w:rFonts w:hint="eastAsia" w:ascii="Times New Roman" w:hAnsi="Times New Roman"/>
                <w:szCs w:val="22"/>
                <w:u w:val="single"/>
              </w:rPr>
              <w:t xml:space="preserve">   </w:t>
            </w:r>
            <w:r>
              <w:rPr>
                <w:rFonts w:hint="eastAsia" w:ascii="Times New Roman" w:hAnsi="Times New Roman"/>
                <w:szCs w:val="22"/>
              </w:rPr>
              <w:t>年（20</w:t>
            </w:r>
            <w:r>
              <w:rPr>
                <w:rFonts w:hint="eastAsia" w:ascii="Times New Roman" w:hAnsi="Times New Roman"/>
                <w:szCs w:val="22"/>
                <w:u w:val="single"/>
              </w:rPr>
              <w:t xml:space="preserve">  </w:t>
            </w:r>
            <w:r>
              <w:rPr>
                <w:rFonts w:hint="eastAsia" w:ascii="Times New Roman" w:hAnsi="Times New Roman"/>
                <w:szCs w:val="22"/>
              </w:rPr>
              <w:t>年</w:t>
            </w:r>
            <w:r>
              <w:rPr>
                <w:rFonts w:hint="eastAsia" w:ascii="Times New Roman" w:hAnsi="Times New Roman"/>
                <w:szCs w:val="22"/>
                <w:u w:val="single"/>
              </w:rPr>
              <w:t xml:space="preserve">   </w:t>
            </w:r>
            <w:r>
              <w:rPr>
                <w:rFonts w:hint="eastAsia" w:ascii="Times New Roman" w:hAnsi="Times New Roman"/>
                <w:szCs w:val="22"/>
              </w:rPr>
              <w:t>月）</w:t>
            </w:r>
            <w:r>
              <w:rPr>
                <w:rFonts w:hint="eastAsia"/>
                <w:szCs w:val="22"/>
              </w:rPr>
              <w:t>，提供企业类似项目业绩：单项合同金额≥</w:t>
            </w:r>
            <w:r>
              <w:rPr>
                <w:rFonts w:hint="eastAsia"/>
                <w:szCs w:val="22"/>
                <w:u w:val="single"/>
              </w:rPr>
              <w:t xml:space="preserve">   </w:t>
            </w:r>
            <w:r>
              <w:rPr>
                <w:rFonts w:hint="eastAsia"/>
                <w:szCs w:val="22"/>
              </w:rPr>
              <w:t>万元的类似项目业绩，每项得5分；单项合同金额≥</w:t>
            </w:r>
            <w:r>
              <w:rPr>
                <w:rFonts w:hint="eastAsia"/>
                <w:szCs w:val="22"/>
                <w:u w:val="single"/>
              </w:rPr>
              <w:t xml:space="preserve">    </w:t>
            </w:r>
            <w:r>
              <w:rPr>
                <w:rFonts w:hint="eastAsia"/>
                <w:szCs w:val="22"/>
              </w:rPr>
              <w:t>万元但＜</w:t>
            </w:r>
            <w:r>
              <w:rPr>
                <w:rFonts w:hint="eastAsia"/>
                <w:szCs w:val="22"/>
                <w:u w:val="single"/>
              </w:rPr>
              <w:t xml:space="preserve">     </w:t>
            </w:r>
            <w:r>
              <w:rPr>
                <w:rFonts w:hint="eastAsia"/>
                <w:szCs w:val="22"/>
              </w:rPr>
              <w:t xml:space="preserve">万元的类似项目业绩，每项得2分。 </w:t>
            </w:r>
          </w:p>
          <w:p>
            <w:pPr>
              <w:snapToGrid w:val="0"/>
              <w:spacing w:line="280" w:lineRule="exact"/>
              <w:rPr>
                <w:szCs w:val="22"/>
              </w:rPr>
            </w:pPr>
            <w:r>
              <w:rPr>
                <w:rFonts w:hint="eastAsia"/>
                <w:szCs w:val="22"/>
              </w:rPr>
              <w:t>（注：①类似业绩是指</w:t>
            </w:r>
            <w:r>
              <w:rPr>
                <w:rFonts w:hint="eastAsia"/>
                <w:szCs w:val="22"/>
                <w:u w:val="single"/>
              </w:rPr>
              <w:t xml:space="preserve"> </w:t>
            </w:r>
            <w:r>
              <w:rPr>
                <w:rFonts w:hint="eastAsia"/>
                <w:i/>
                <w:szCs w:val="22"/>
                <w:u w:val="single"/>
              </w:rPr>
              <w:t>（类别、规模）</w:t>
            </w:r>
            <w:r>
              <w:rPr>
                <w:rFonts w:hint="eastAsia"/>
                <w:szCs w:val="22"/>
              </w:rPr>
              <w:t>项目业绩，以合同内容为准；</w:t>
            </w:r>
            <w:r>
              <w:rPr>
                <w:rFonts w:hint="eastAsia" w:ascii="Times New Roman" w:hAnsi="Times New Roman"/>
                <w:szCs w:val="22"/>
              </w:rPr>
              <w:t>②</w:t>
            </w:r>
            <w:r>
              <w:rPr>
                <w:rFonts w:hint="eastAsia"/>
                <w:szCs w:val="22"/>
              </w:rPr>
              <w:t>时间以合同签订日期为准。）</w:t>
            </w:r>
          </w:p>
          <w:p>
            <w:pPr>
              <w:snapToGrid w:val="0"/>
              <w:spacing w:line="280" w:lineRule="exact"/>
              <w:jc w:val="left"/>
            </w:pPr>
            <w:r>
              <w:rPr>
                <w:rFonts w:hint="eastAsia"/>
              </w:rPr>
              <w:t>2、人员配置（20分）</w:t>
            </w:r>
          </w:p>
          <w:p>
            <w:pPr>
              <w:pStyle w:val="7"/>
              <w:snapToGrid w:val="0"/>
              <w:spacing w:line="280" w:lineRule="exact"/>
              <w:ind w:firstLine="420" w:firstLineChars="200"/>
              <w:rPr>
                <w:rFonts w:ascii="Times New Roman" w:hAnsi="Times New Roman"/>
                <w:sz w:val="21"/>
                <w:szCs w:val="22"/>
              </w:rPr>
            </w:pPr>
            <w:r>
              <w:rPr>
                <w:rFonts w:hint="eastAsia" w:ascii="Times New Roman" w:hAnsi="Times New Roman"/>
                <w:sz w:val="21"/>
                <w:szCs w:val="22"/>
              </w:rPr>
              <w:t>①专业负责人（8分）</w:t>
            </w:r>
          </w:p>
          <w:p>
            <w:pPr>
              <w:pStyle w:val="7"/>
              <w:snapToGrid w:val="0"/>
              <w:spacing w:line="280" w:lineRule="exact"/>
              <w:ind w:firstLine="420" w:firstLineChars="200"/>
              <w:rPr>
                <w:rFonts w:ascii="Times New Roman" w:hAnsi="Times New Roman"/>
                <w:sz w:val="21"/>
                <w:szCs w:val="22"/>
              </w:rPr>
            </w:pPr>
            <w:r>
              <w:rPr>
                <w:rFonts w:hint="eastAsia" w:ascii="Times New Roman" w:hAnsi="Times New Roman"/>
                <w:sz w:val="21"/>
                <w:szCs w:val="22"/>
              </w:rPr>
              <w:t>职称（4分）：拟派专业负责人为高级职称得4分，</w:t>
            </w:r>
            <w:r>
              <w:rPr>
                <w:rFonts w:ascii="Times New Roman" w:hAnsi="Times New Roman"/>
                <w:sz w:val="21"/>
                <w:szCs w:val="22"/>
              </w:rPr>
              <w:t>中级职称得</w:t>
            </w:r>
            <w:r>
              <w:rPr>
                <w:rFonts w:hint="eastAsia" w:ascii="Times New Roman" w:hAnsi="Times New Roman"/>
                <w:sz w:val="21"/>
                <w:szCs w:val="22"/>
              </w:rPr>
              <w:t>2分。</w:t>
            </w:r>
          </w:p>
          <w:p>
            <w:pPr>
              <w:pStyle w:val="7"/>
              <w:snapToGrid w:val="0"/>
              <w:spacing w:line="280" w:lineRule="exact"/>
              <w:ind w:firstLine="420" w:firstLineChars="200"/>
              <w:rPr>
                <w:rFonts w:ascii="Times New Roman" w:hAnsi="Times New Roman"/>
                <w:sz w:val="21"/>
                <w:szCs w:val="22"/>
              </w:rPr>
            </w:pPr>
            <w:r>
              <w:rPr>
                <w:rFonts w:hint="eastAsia" w:ascii="Times New Roman" w:hAnsi="Times New Roman"/>
                <w:sz w:val="21"/>
                <w:szCs w:val="22"/>
              </w:rPr>
              <w:t>业绩（4分）：近</w:t>
            </w:r>
            <w:r>
              <w:rPr>
                <w:rFonts w:hint="eastAsia" w:ascii="Times New Roman" w:hAnsi="Times New Roman"/>
                <w:sz w:val="21"/>
                <w:szCs w:val="22"/>
                <w:u w:val="single"/>
              </w:rPr>
              <w:t xml:space="preserve">   </w:t>
            </w:r>
            <w:r>
              <w:rPr>
                <w:rFonts w:hint="eastAsia" w:ascii="Times New Roman" w:hAnsi="Times New Roman"/>
                <w:sz w:val="21"/>
                <w:szCs w:val="22"/>
              </w:rPr>
              <w:t>年（20</w:t>
            </w:r>
            <w:r>
              <w:rPr>
                <w:rFonts w:hint="eastAsia" w:ascii="Times New Roman" w:hAnsi="Times New Roman"/>
                <w:sz w:val="21"/>
                <w:szCs w:val="22"/>
                <w:u w:val="single"/>
              </w:rPr>
              <w:t xml:space="preserve">  </w:t>
            </w:r>
            <w:r>
              <w:rPr>
                <w:rFonts w:hint="eastAsia" w:ascii="Times New Roman" w:hAnsi="Times New Roman"/>
                <w:sz w:val="21"/>
                <w:szCs w:val="22"/>
              </w:rPr>
              <w:t>年</w:t>
            </w:r>
            <w:r>
              <w:rPr>
                <w:rFonts w:hint="eastAsia" w:ascii="Times New Roman" w:hAnsi="Times New Roman"/>
                <w:sz w:val="21"/>
                <w:szCs w:val="22"/>
                <w:u w:val="single"/>
              </w:rPr>
              <w:t xml:space="preserve">   </w:t>
            </w:r>
            <w:r>
              <w:rPr>
                <w:rFonts w:hint="eastAsia" w:ascii="Times New Roman" w:hAnsi="Times New Roman"/>
                <w:sz w:val="21"/>
                <w:szCs w:val="22"/>
              </w:rPr>
              <w:t>月），担任过类似项目负责人业绩，每项得2分。</w:t>
            </w:r>
          </w:p>
          <w:p>
            <w:pPr>
              <w:snapToGrid w:val="0"/>
              <w:spacing w:line="280" w:lineRule="exact"/>
              <w:rPr>
                <w:szCs w:val="22"/>
              </w:rPr>
            </w:pPr>
            <w:r>
              <w:rPr>
                <w:rFonts w:hint="eastAsia"/>
                <w:szCs w:val="22"/>
              </w:rPr>
              <w:t>（注：①类似业绩是指</w:t>
            </w:r>
            <w:r>
              <w:rPr>
                <w:rFonts w:hint="eastAsia"/>
                <w:szCs w:val="22"/>
                <w:u w:val="single"/>
              </w:rPr>
              <w:t xml:space="preserve"> </w:t>
            </w:r>
            <w:r>
              <w:rPr>
                <w:rFonts w:hint="eastAsia"/>
                <w:i/>
                <w:szCs w:val="22"/>
                <w:u w:val="single"/>
              </w:rPr>
              <w:t>（类别）</w:t>
            </w:r>
            <w:r>
              <w:rPr>
                <w:rFonts w:hint="eastAsia"/>
                <w:szCs w:val="22"/>
              </w:rPr>
              <w:t>项目业绩，以合同内容为准；</w:t>
            </w:r>
            <w:r>
              <w:rPr>
                <w:rFonts w:hint="eastAsia" w:ascii="Times New Roman" w:hAnsi="Times New Roman"/>
                <w:szCs w:val="22"/>
              </w:rPr>
              <w:t>②</w:t>
            </w:r>
            <w:r>
              <w:rPr>
                <w:rFonts w:hint="eastAsia"/>
                <w:szCs w:val="22"/>
              </w:rPr>
              <w:t>时间以合同签订日期为准。）</w:t>
            </w:r>
          </w:p>
          <w:p>
            <w:pPr>
              <w:pStyle w:val="7"/>
              <w:snapToGrid w:val="0"/>
              <w:spacing w:line="280" w:lineRule="exact"/>
              <w:ind w:firstLine="420" w:firstLineChars="200"/>
              <w:rPr>
                <w:rFonts w:ascii="Times New Roman" w:hAnsi="Times New Roman"/>
                <w:sz w:val="21"/>
                <w:szCs w:val="22"/>
              </w:rPr>
            </w:pPr>
            <w:r>
              <w:rPr>
                <w:rFonts w:hint="eastAsia" w:ascii="Times New Roman" w:hAnsi="Times New Roman"/>
                <w:sz w:val="21"/>
                <w:szCs w:val="22"/>
              </w:rPr>
              <w:t>②其他人员配置（12分）</w:t>
            </w:r>
          </w:p>
          <w:p>
            <w:pPr>
              <w:pStyle w:val="7"/>
              <w:snapToGrid w:val="0"/>
              <w:spacing w:line="280" w:lineRule="exact"/>
              <w:ind w:firstLine="420" w:firstLineChars="200"/>
            </w:pPr>
            <w:r>
              <w:rPr>
                <w:rFonts w:hint="eastAsia" w:ascii="Times New Roman" w:hAnsi="Times New Roman"/>
                <w:sz w:val="21"/>
                <w:szCs w:val="22"/>
              </w:rPr>
              <w:t>拟派本项目人员中，每提供一名高级职称得</w:t>
            </w:r>
            <w:r>
              <w:rPr>
                <w:rFonts w:ascii="Times New Roman" w:hAnsi="Times New Roman"/>
                <w:sz w:val="21"/>
                <w:szCs w:val="22"/>
              </w:rPr>
              <w:t>4</w:t>
            </w:r>
            <w:r>
              <w:rPr>
                <w:rFonts w:hint="eastAsia" w:ascii="Times New Roman" w:hAnsi="Times New Roman"/>
                <w:sz w:val="21"/>
                <w:szCs w:val="22"/>
              </w:rPr>
              <w:t>分，中级职称得</w:t>
            </w:r>
            <w:r>
              <w:rPr>
                <w:rFonts w:ascii="Times New Roman" w:hAnsi="Times New Roman"/>
                <w:sz w:val="21"/>
                <w:szCs w:val="22"/>
              </w:rPr>
              <w:t>3</w:t>
            </w:r>
            <w:r>
              <w:rPr>
                <w:rFonts w:hint="eastAsia" w:ascii="Times New Roman" w:hAnsi="Times New Roman"/>
                <w:sz w:val="21"/>
                <w:szCs w:val="22"/>
              </w:rPr>
              <w:t>分，初级职称得</w:t>
            </w:r>
            <w:r>
              <w:rPr>
                <w:rFonts w:ascii="Times New Roman" w:hAnsi="Times New Roman"/>
                <w:sz w:val="21"/>
                <w:szCs w:val="22"/>
              </w:rPr>
              <w:t>2</w:t>
            </w:r>
            <w:r>
              <w:rPr>
                <w:rFonts w:hint="eastAsia" w:ascii="Times New Roman" w:hAnsi="Times New Roman"/>
                <w:sz w:val="21"/>
                <w:szCs w:val="22"/>
              </w:rPr>
              <w:t>分；同一人提供多个证书的只计其中最高分；最高得</w:t>
            </w:r>
            <w:r>
              <w:rPr>
                <w:rFonts w:ascii="Times New Roman" w:hAnsi="Times New Roman"/>
                <w:sz w:val="21"/>
                <w:szCs w:val="22"/>
              </w:rPr>
              <w:t>12</w:t>
            </w:r>
            <w:r>
              <w:rPr>
                <w:rFonts w:hint="eastAsia" w:ascii="Times New Roman" w:hAnsi="Times New Roman"/>
                <w:sz w:val="21"/>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87" w:type="dxa"/>
            <w:gridSpan w:val="3"/>
            <w:vAlign w:val="center"/>
          </w:tcPr>
          <w:p>
            <w:pPr>
              <w:pStyle w:val="7"/>
              <w:spacing w:line="400" w:lineRule="exact"/>
              <w:rPr>
                <w:rFonts w:ascii="宋体" w:hAnsi="宋体" w:cs="宋体"/>
                <w:b/>
                <w:bCs/>
                <w:sz w:val="21"/>
                <w:szCs w:val="21"/>
              </w:rPr>
            </w:pPr>
            <w:r>
              <w:rPr>
                <w:rFonts w:hint="eastAsia" w:ascii="宋体" w:hAnsi="宋体" w:cs="宋体"/>
                <w:b/>
                <w:bCs/>
                <w:sz w:val="21"/>
                <w:szCs w:val="21"/>
              </w:rPr>
              <w:t>附注：1、代建项目经理不得兼任其他专业岗位；</w:t>
            </w:r>
          </w:p>
          <w:p>
            <w:pPr>
              <w:spacing w:line="400" w:lineRule="exact"/>
              <w:ind w:left="598" w:leftChars="285"/>
              <w:rPr>
                <w:szCs w:val="22"/>
              </w:rPr>
            </w:pPr>
            <w:r>
              <w:rPr>
                <w:rFonts w:hint="eastAsia" w:ascii="宋体" w:hAnsi="宋体" w:cs="宋体"/>
                <w:b/>
                <w:bCs/>
                <w:szCs w:val="21"/>
              </w:rPr>
              <w:t>2、其他人员（项</w:t>
            </w:r>
            <w:r>
              <w:rPr>
                <w:rFonts w:hint="eastAsia" w:cs="宋体"/>
                <w:b/>
                <w:bCs/>
                <w:szCs w:val="21"/>
              </w:rPr>
              <w:t>目管理、可行性研究报告编制、勘察、造价咨询、招标代理</w:t>
            </w:r>
            <w:r>
              <w:rPr>
                <w:rFonts w:hint="eastAsia" w:ascii="宋体" w:hAnsi="宋体" w:cs="宋体"/>
                <w:b/>
                <w:bCs/>
                <w:szCs w:val="21"/>
              </w:rPr>
              <w:t>）岗位交叉配置时，需满足相应专业服务资格要求，且每人最多在2项专业服务中任职。</w:t>
            </w:r>
          </w:p>
        </w:tc>
      </w:tr>
    </w:tbl>
    <w:p>
      <w:pPr>
        <w:pStyle w:val="5"/>
        <w:spacing w:line="500" w:lineRule="exact"/>
        <w:ind w:left="0" w:leftChars="0" w:firstLine="0" w:firstLineChars="0"/>
        <w:rPr>
          <w:b/>
          <w:bCs w:val="0"/>
          <w:sz w:val="30"/>
          <w:szCs w:val="30"/>
        </w:rPr>
      </w:pPr>
      <w:bookmarkStart w:id="405" w:name="_Toc3997896"/>
      <w:bookmarkStart w:id="406" w:name="_Toc8828"/>
      <w:bookmarkStart w:id="407" w:name="_Toc152045600"/>
      <w:bookmarkStart w:id="408" w:name="_Toc152042377"/>
      <w:bookmarkStart w:id="409" w:name="_Toc144974567"/>
      <w:bookmarkStart w:id="410" w:name="_Toc247527625"/>
      <w:bookmarkStart w:id="411" w:name="_Toc247514024"/>
      <w:r>
        <w:rPr>
          <w:rFonts w:hint="eastAsia"/>
          <w:b/>
          <w:bCs w:val="0"/>
          <w:sz w:val="30"/>
          <w:szCs w:val="30"/>
        </w:rPr>
        <w:t>1. 评标方法</w:t>
      </w:r>
      <w:bookmarkEnd w:id="405"/>
      <w:bookmarkEnd w:id="406"/>
      <w:bookmarkEnd w:id="407"/>
      <w:bookmarkEnd w:id="408"/>
      <w:bookmarkEnd w:id="409"/>
      <w:bookmarkEnd w:id="410"/>
      <w:bookmarkEnd w:id="411"/>
    </w:p>
    <w:p>
      <w:pPr>
        <w:spacing w:line="500" w:lineRule="exact"/>
        <w:ind w:firstLine="420" w:firstLineChars="200"/>
      </w:pPr>
      <w:r>
        <w:rPr>
          <w:rFonts w:hint="eastAsia"/>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按各专业所占</w:t>
      </w:r>
      <w:r>
        <w:t>权值大小</w:t>
      </w:r>
      <w:r>
        <w:rPr>
          <w:rFonts w:hint="eastAsia"/>
        </w:rPr>
        <w:t>的顺序）投标报价得分高的优先；投标报价得分也相等的，由招标人或者经招标人授权评标委员会自行确定。</w:t>
      </w:r>
    </w:p>
    <w:p>
      <w:pPr>
        <w:pStyle w:val="5"/>
        <w:spacing w:line="500" w:lineRule="exact"/>
        <w:ind w:left="0" w:leftChars="0" w:firstLine="0" w:firstLineChars="0"/>
        <w:rPr>
          <w:b/>
          <w:bCs w:val="0"/>
          <w:sz w:val="30"/>
          <w:szCs w:val="30"/>
        </w:rPr>
      </w:pPr>
      <w:bookmarkStart w:id="412" w:name="_Toc152042378"/>
      <w:bookmarkStart w:id="413" w:name="_Toc152045601"/>
      <w:bookmarkStart w:id="414" w:name="_Toc247527626"/>
      <w:bookmarkStart w:id="415" w:name="_Toc3997897"/>
      <w:bookmarkStart w:id="416" w:name="_Toc20702"/>
      <w:bookmarkStart w:id="417" w:name="_Toc247514025"/>
      <w:bookmarkStart w:id="418" w:name="_Toc144974568"/>
      <w:r>
        <w:rPr>
          <w:rFonts w:hint="eastAsia"/>
          <w:b/>
          <w:bCs w:val="0"/>
          <w:sz w:val="30"/>
          <w:szCs w:val="30"/>
        </w:rPr>
        <w:t>2. 评审标准</w:t>
      </w:r>
      <w:bookmarkEnd w:id="412"/>
      <w:bookmarkEnd w:id="413"/>
      <w:bookmarkEnd w:id="414"/>
      <w:bookmarkEnd w:id="415"/>
      <w:bookmarkEnd w:id="416"/>
      <w:bookmarkEnd w:id="417"/>
      <w:bookmarkEnd w:id="418"/>
    </w:p>
    <w:p>
      <w:pPr>
        <w:pStyle w:val="6"/>
        <w:spacing w:line="500" w:lineRule="exact"/>
      </w:pPr>
      <w:bookmarkStart w:id="419" w:name="_Toc247527627"/>
      <w:bookmarkStart w:id="420" w:name="_Toc152045602"/>
      <w:bookmarkStart w:id="421" w:name="_Toc247514026"/>
      <w:bookmarkStart w:id="422" w:name="_Toc144974569"/>
      <w:bookmarkStart w:id="423" w:name="_Toc3997898"/>
      <w:bookmarkStart w:id="424" w:name="_Toc152042379"/>
      <w:r>
        <w:rPr>
          <w:rFonts w:hint="eastAsia" w:ascii="Times New Roman" w:hAnsi="Times New Roman"/>
        </w:rPr>
        <w:t>2.1</w:t>
      </w:r>
      <w:r>
        <w:rPr>
          <w:rFonts w:hint="eastAsia"/>
        </w:rPr>
        <w:t xml:space="preserve"> 初步评审标准</w:t>
      </w:r>
      <w:bookmarkEnd w:id="419"/>
      <w:bookmarkEnd w:id="420"/>
      <w:bookmarkEnd w:id="421"/>
      <w:bookmarkEnd w:id="422"/>
      <w:bookmarkEnd w:id="423"/>
      <w:bookmarkEnd w:id="424"/>
    </w:p>
    <w:p>
      <w:pPr>
        <w:spacing w:line="500" w:lineRule="exact"/>
        <w:ind w:firstLine="420" w:firstLineChars="200"/>
      </w:pPr>
      <w:r>
        <w:rPr>
          <w:rFonts w:hint="eastAsia"/>
        </w:rPr>
        <w:t>2.1.1 形式评审标准：见评标办法前附表。</w:t>
      </w:r>
    </w:p>
    <w:p>
      <w:pPr>
        <w:spacing w:line="500" w:lineRule="exact"/>
        <w:ind w:firstLine="420" w:firstLineChars="200"/>
      </w:pPr>
      <w:r>
        <w:rPr>
          <w:rFonts w:hint="eastAsia"/>
        </w:rPr>
        <w:t>2.1.2 资格评审标准：见评标办法前附表。</w:t>
      </w:r>
    </w:p>
    <w:p>
      <w:pPr>
        <w:spacing w:line="500" w:lineRule="exact"/>
        <w:ind w:firstLine="420" w:firstLineChars="200"/>
      </w:pPr>
      <w:r>
        <w:rPr>
          <w:rFonts w:hint="eastAsia"/>
        </w:rPr>
        <w:t>2.1.3 响应性评审标准：见评标办法前附表。</w:t>
      </w:r>
    </w:p>
    <w:p>
      <w:pPr>
        <w:pStyle w:val="6"/>
        <w:spacing w:line="500" w:lineRule="exact"/>
      </w:pPr>
      <w:bookmarkStart w:id="425" w:name="_Toc152042380"/>
      <w:bookmarkStart w:id="426" w:name="_Toc247514027"/>
      <w:bookmarkStart w:id="427" w:name="_Toc152045603"/>
      <w:bookmarkStart w:id="428" w:name="_Toc247527628"/>
      <w:bookmarkStart w:id="429" w:name="_Toc144974570"/>
      <w:bookmarkStart w:id="430" w:name="_Toc3997899"/>
      <w:r>
        <w:rPr>
          <w:rFonts w:hint="eastAsia" w:ascii="Times New Roman" w:hAnsi="Times New Roman"/>
        </w:rPr>
        <w:t>2.2</w:t>
      </w:r>
      <w:r>
        <w:rPr>
          <w:rFonts w:hint="eastAsia"/>
        </w:rPr>
        <w:t xml:space="preserve"> 分值构成与评分标准</w:t>
      </w:r>
      <w:bookmarkEnd w:id="425"/>
      <w:bookmarkEnd w:id="426"/>
      <w:bookmarkEnd w:id="427"/>
      <w:bookmarkEnd w:id="428"/>
      <w:bookmarkEnd w:id="429"/>
      <w:bookmarkEnd w:id="430"/>
    </w:p>
    <w:p>
      <w:pPr>
        <w:spacing w:line="500" w:lineRule="exact"/>
        <w:ind w:firstLine="420" w:firstLineChars="200"/>
      </w:pPr>
      <w:r>
        <w:rPr>
          <w:rFonts w:hint="eastAsia"/>
        </w:rPr>
        <w:t>2.2.1 分值构成</w:t>
      </w:r>
    </w:p>
    <w:p>
      <w:pPr>
        <w:spacing w:line="500" w:lineRule="exact"/>
        <w:ind w:firstLine="420" w:firstLineChars="200"/>
      </w:pPr>
      <w:r>
        <w:rPr>
          <w:rFonts w:hint="eastAsia"/>
        </w:rPr>
        <w:t>（1）见评标办法前附表。</w:t>
      </w:r>
    </w:p>
    <w:p>
      <w:pPr>
        <w:spacing w:line="500" w:lineRule="exact"/>
        <w:ind w:firstLine="420" w:firstLineChars="200"/>
      </w:pPr>
      <w:r>
        <w:rPr>
          <w:rFonts w:hint="eastAsia"/>
        </w:rPr>
        <w:t>2.2.2 评分计算</w:t>
      </w:r>
    </w:p>
    <w:p>
      <w:pPr>
        <w:spacing w:line="500" w:lineRule="exact"/>
        <w:ind w:firstLine="420" w:firstLineChars="200"/>
      </w:pPr>
      <w:r>
        <w:rPr>
          <w:rFonts w:hint="eastAsia"/>
        </w:rPr>
        <w:t>总分值计算方法：见评标办法前附表。</w:t>
      </w:r>
    </w:p>
    <w:p>
      <w:pPr>
        <w:spacing w:line="500" w:lineRule="exact"/>
        <w:ind w:firstLine="420" w:firstLineChars="200"/>
      </w:pPr>
      <w:r>
        <w:rPr>
          <w:rFonts w:hint="eastAsia"/>
        </w:rPr>
        <w:t>2.2.3 投标报价的偏差率计算</w:t>
      </w:r>
    </w:p>
    <w:p>
      <w:pPr>
        <w:spacing w:line="500" w:lineRule="exact"/>
        <w:ind w:firstLine="420" w:firstLineChars="200"/>
      </w:pPr>
      <w:r>
        <w:rPr>
          <w:rFonts w:hint="eastAsia"/>
        </w:rPr>
        <w:t>投标报价的偏差率计算公式：见评标办法前附表。</w:t>
      </w:r>
    </w:p>
    <w:p>
      <w:pPr>
        <w:spacing w:line="500" w:lineRule="exact"/>
        <w:ind w:firstLine="420" w:firstLineChars="200"/>
      </w:pPr>
      <w:r>
        <w:rPr>
          <w:rFonts w:hint="eastAsia"/>
        </w:rPr>
        <w:t>2.2.4 评分标准</w:t>
      </w:r>
    </w:p>
    <w:p>
      <w:pPr>
        <w:spacing w:line="500" w:lineRule="exact"/>
        <w:ind w:firstLine="420" w:firstLineChars="200"/>
        <w:rPr>
          <w:szCs w:val="21"/>
          <w:u w:val="single"/>
        </w:rPr>
      </w:pPr>
      <w:r>
        <w:rPr>
          <w:rFonts w:hint="eastAsia"/>
        </w:rPr>
        <w:t>（1）</w:t>
      </w:r>
      <w:r>
        <w:rPr>
          <w:rFonts w:hint="eastAsia"/>
          <w:szCs w:val="21"/>
        </w:rPr>
        <w:t>项目管理</w:t>
      </w:r>
      <w:r>
        <w:rPr>
          <w:rFonts w:hint="eastAsia"/>
        </w:rPr>
        <w:t>：见评标办法前附表；</w:t>
      </w:r>
    </w:p>
    <w:p>
      <w:pPr>
        <w:spacing w:line="500" w:lineRule="exact"/>
        <w:ind w:firstLine="420" w:firstLineChars="200"/>
      </w:pPr>
      <w:r>
        <w:rPr>
          <w:rFonts w:hint="eastAsia"/>
        </w:rPr>
        <w:t>（2）</w:t>
      </w:r>
      <w:r>
        <w:rPr>
          <w:rFonts w:hint="eastAsia"/>
          <w:szCs w:val="21"/>
        </w:rPr>
        <w:t>可行性研究报告编制</w:t>
      </w:r>
      <w:r>
        <w:rPr>
          <w:rFonts w:hint="eastAsia"/>
        </w:rPr>
        <w:t>：见评标办法前附表；</w:t>
      </w:r>
    </w:p>
    <w:p>
      <w:pPr>
        <w:spacing w:line="500" w:lineRule="exact"/>
        <w:ind w:firstLine="420" w:firstLineChars="200"/>
      </w:pPr>
      <w:r>
        <w:rPr>
          <w:rFonts w:hint="eastAsia"/>
        </w:rPr>
        <w:t>（3）勘察：见评标办法前附表；</w:t>
      </w:r>
    </w:p>
    <w:p>
      <w:pPr>
        <w:spacing w:line="500" w:lineRule="exact"/>
        <w:ind w:firstLine="420" w:firstLineChars="200"/>
      </w:pPr>
      <w:r>
        <w:rPr>
          <w:rFonts w:hint="eastAsia"/>
        </w:rPr>
        <w:t>（4）造价咨询：见评标办法前附表；</w:t>
      </w:r>
    </w:p>
    <w:p>
      <w:pPr>
        <w:spacing w:line="500" w:lineRule="exact"/>
        <w:ind w:firstLine="420" w:firstLineChars="200"/>
      </w:pPr>
      <w:r>
        <w:rPr>
          <w:rFonts w:hint="eastAsia"/>
        </w:rPr>
        <w:t>（5）招标代理：见评标办法前附表；</w:t>
      </w:r>
    </w:p>
    <w:p>
      <w:pPr>
        <w:pStyle w:val="5"/>
        <w:spacing w:line="500" w:lineRule="exact"/>
        <w:ind w:left="0" w:leftChars="0" w:firstLine="0" w:firstLineChars="0"/>
        <w:rPr>
          <w:rFonts w:hint="eastAsia"/>
          <w:b/>
          <w:bCs w:val="0"/>
          <w:sz w:val="30"/>
          <w:szCs w:val="30"/>
        </w:rPr>
      </w:pPr>
      <w:bookmarkStart w:id="431" w:name="_Toc152042381"/>
      <w:bookmarkStart w:id="432" w:name="_Toc20540"/>
      <w:bookmarkStart w:id="433" w:name="_Toc144974571"/>
      <w:bookmarkStart w:id="434" w:name="_Toc3997900"/>
      <w:bookmarkStart w:id="435" w:name="_Toc247527629"/>
      <w:bookmarkStart w:id="436" w:name="_Toc152045604"/>
      <w:bookmarkStart w:id="437" w:name="_Toc247514028"/>
      <w:r>
        <w:rPr>
          <w:rFonts w:hint="eastAsia"/>
          <w:b/>
          <w:bCs w:val="0"/>
          <w:sz w:val="30"/>
          <w:szCs w:val="30"/>
        </w:rPr>
        <w:t>3. 评标程序</w:t>
      </w:r>
      <w:bookmarkEnd w:id="431"/>
      <w:bookmarkEnd w:id="432"/>
      <w:bookmarkEnd w:id="433"/>
      <w:bookmarkEnd w:id="434"/>
      <w:bookmarkEnd w:id="435"/>
      <w:bookmarkEnd w:id="436"/>
      <w:bookmarkEnd w:id="437"/>
    </w:p>
    <w:p>
      <w:pPr>
        <w:pStyle w:val="6"/>
        <w:spacing w:line="500" w:lineRule="exact"/>
        <w:rPr>
          <w:rFonts w:ascii="Times New Roman" w:hAnsi="Times New Roman"/>
        </w:rPr>
      </w:pPr>
      <w:bookmarkStart w:id="438" w:name="_Toc3997901"/>
      <w:bookmarkStart w:id="439" w:name="_Toc247514029"/>
      <w:bookmarkStart w:id="440" w:name="_Toc152042382"/>
      <w:bookmarkStart w:id="441" w:name="_Toc247527630"/>
      <w:bookmarkStart w:id="442" w:name="_Toc144974572"/>
      <w:bookmarkStart w:id="443" w:name="_Toc152045605"/>
      <w:r>
        <w:rPr>
          <w:rFonts w:hint="eastAsia" w:ascii="Times New Roman" w:hAnsi="Times New Roman"/>
        </w:rPr>
        <w:t>3.1 评标准备</w:t>
      </w:r>
    </w:p>
    <w:p>
      <w:pPr>
        <w:spacing w:line="500" w:lineRule="exact"/>
        <w:ind w:firstLine="420" w:firstLineChars="200"/>
      </w:pPr>
      <w:r>
        <w:rPr>
          <w:rFonts w:hint="eastAsia"/>
        </w:rPr>
        <w:t>3.1.1 评标委员会成员签到</w:t>
      </w:r>
    </w:p>
    <w:p>
      <w:pPr>
        <w:spacing w:line="500" w:lineRule="exact"/>
        <w:ind w:firstLine="420" w:firstLineChars="200"/>
      </w:pPr>
      <w:r>
        <w:rPr>
          <w:rFonts w:hint="eastAsia"/>
        </w:rPr>
        <w:t>评标委员会成员到达评标现场时应在签到表上签到以证明其出席并签署廉洁保密承诺书。（评标委员会签到表见附表3-1，廉洁保密承诺书见附表3-2）</w:t>
      </w:r>
    </w:p>
    <w:p>
      <w:pPr>
        <w:spacing w:line="500" w:lineRule="exact"/>
        <w:ind w:firstLine="420" w:firstLineChars="200"/>
      </w:pPr>
      <w:r>
        <w:rPr>
          <w:rFonts w:hint="eastAsia"/>
        </w:rPr>
        <w:t>3.1.2 评标委员会的分工</w:t>
      </w:r>
    </w:p>
    <w:p>
      <w:pPr>
        <w:spacing w:line="500" w:lineRule="exact"/>
        <w:ind w:firstLine="420" w:firstLineChars="200"/>
      </w:pPr>
      <w:r>
        <w:rPr>
          <w:rFonts w:hint="eastAsia"/>
        </w:rPr>
        <w:t>评标委员会负责人由评标委员会推选产生，评标委员会负责人负责评标活动的组织领导工作，</w:t>
      </w:r>
      <w:r>
        <w:t>评标报告应由评标委员会全体成员签字</w:t>
      </w:r>
      <w:r>
        <w:rPr>
          <w:rFonts w:hint="eastAsia"/>
        </w:rPr>
        <w:t>。若评标委员会成员对评标结论持有异议，可以书面方式阐述其不同意见和理由。评标委员会成员拒绝在评标报告上签字且不陈述其不同意见和理由的，视为同意评标结论。评标委员会应当对此作出书面说明并记录在案。</w:t>
      </w:r>
    </w:p>
    <w:p>
      <w:pPr>
        <w:spacing w:line="500" w:lineRule="exact"/>
        <w:ind w:firstLine="420" w:firstLineChars="200"/>
      </w:pPr>
      <w:r>
        <w:rPr>
          <w:rFonts w:hint="eastAsia"/>
        </w:rPr>
        <w:t>3.1.3熟悉文件资料</w:t>
      </w:r>
    </w:p>
    <w:p>
      <w:pPr>
        <w:spacing w:line="500" w:lineRule="exact"/>
        <w:ind w:firstLine="420" w:firstLineChars="200"/>
      </w:pPr>
      <w:r>
        <w:rPr>
          <w:rFonts w:hint="eastAsia"/>
        </w:rPr>
        <w:t>（1）评标委员会负责人应组织评标委员会成员认真研究招标文件，了解和熟悉招标目的、招标范围、主要合同条件、项目概况、成果要求和服务周期要求等，熟悉本章要求及附件中评标表格的使用，如果本章要求及附件所附的表格不能满足评标所需时，评标委员会应补充编制评标所需的表格。未在招标文件中规定的标准和方法不得作为评标的依据。</w:t>
      </w:r>
    </w:p>
    <w:p>
      <w:pPr>
        <w:spacing w:line="500" w:lineRule="exact"/>
        <w:ind w:firstLine="420" w:firstLineChars="200"/>
      </w:pPr>
      <w:r>
        <w:rPr>
          <w:rFonts w:hint="eastAsia"/>
        </w:rPr>
        <w:t>（</w:t>
      </w:r>
      <w:r>
        <w:t>2</w:t>
      </w:r>
      <w:r>
        <w:rPr>
          <w:rFonts w:hint="eastAsia"/>
        </w:rPr>
        <w:t>）招标人或招标代理机构应向评标委员会提供评标所需的信息和数据，包括招标文件、未在开标会上当场拒绝的各投标文件、开标会记录、有关的法律、法规、规章、国家标准以及招标人或评标委员会认为必要的其他信息和数据。</w:t>
      </w:r>
    </w:p>
    <w:p>
      <w:pPr>
        <w:pStyle w:val="6"/>
        <w:spacing w:line="500" w:lineRule="exact"/>
      </w:pPr>
      <w:r>
        <w:rPr>
          <w:rFonts w:hint="eastAsia" w:ascii="Times New Roman" w:hAnsi="Times New Roman"/>
        </w:rPr>
        <w:t>3.2</w:t>
      </w:r>
      <w:r>
        <w:rPr>
          <w:rFonts w:hint="eastAsia"/>
        </w:rPr>
        <w:t xml:space="preserve"> 初步评审</w:t>
      </w:r>
      <w:bookmarkEnd w:id="438"/>
      <w:bookmarkEnd w:id="439"/>
      <w:bookmarkEnd w:id="440"/>
      <w:bookmarkEnd w:id="441"/>
      <w:bookmarkEnd w:id="442"/>
      <w:bookmarkEnd w:id="443"/>
    </w:p>
    <w:p>
      <w:pPr>
        <w:spacing w:line="500" w:lineRule="exact"/>
        <w:ind w:firstLine="420" w:firstLineChars="200"/>
      </w:pPr>
      <w:r>
        <w:rPr>
          <w:rFonts w:hint="eastAsia"/>
        </w:rPr>
        <w:t>3.2.1 评标委员会依据本章第2.1款规定的标准对投标文件进行初步评审。有一项不符合评审标准的，评标委员会应当否决其投标。（形式审查见附表3-3、资格审查见附表3-4、响应性审查见附表3-5）</w:t>
      </w:r>
    </w:p>
    <w:p>
      <w:pPr>
        <w:spacing w:line="500" w:lineRule="exact"/>
        <w:ind w:firstLine="420" w:firstLineChars="200"/>
      </w:pPr>
      <w:r>
        <w:rPr>
          <w:rFonts w:hint="eastAsia"/>
        </w:rPr>
        <w:t>3.2.2 投标人有以下情形之一的，评标委员会应当否决其投标：</w:t>
      </w:r>
    </w:p>
    <w:p>
      <w:pPr>
        <w:spacing w:line="500" w:lineRule="exact"/>
        <w:ind w:firstLine="420" w:firstLineChars="200"/>
      </w:pPr>
      <w:r>
        <w:rPr>
          <w:rFonts w:hint="eastAsia"/>
        </w:rPr>
        <w:t>（1）第二章“投标人须知”第1.4.3项、第1.4.4项规定的任何一种情形的；</w:t>
      </w:r>
    </w:p>
    <w:p>
      <w:pPr>
        <w:spacing w:line="500" w:lineRule="exact"/>
        <w:ind w:firstLine="420" w:firstLineChars="200"/>
      </w:pPr>
      <w:r>
        <w:rPr>
          <w:rFonts w:hint="eastAsia"/>
        </w:rPr>
        <w:t>（2）串通投标或弄虚作假或有其他违法行为的；</w:t>
      </w:r>
    </w:p>
    <w:p>
      <w:pPr>
        <w:spacing w:line="500" w:lineRule="exact"/>
        <w:ind w:firstLine="420" w:firstLineChars="200"/>
      </w:pPr>
      <w:r>
        <w:rPr>
          <w:rFonts w:hint="eastAsia"/>
        </w:rPr>
        <w:t>（3）不按评标委员会要求澄清、说明或补正的。</w:t>
      </w:r>
    </w:p>
    <w:p>
      <w:pPr>
        <w:spacing w:line="500" w:lineRule="exact"/>
        <w:ind w:firstLine="420" w:firstLineChars="200"/>
      </w:pPr>
      <w:r>
        <w:rPr>
          <w:rFonts w:hint="eastAsia"/>
        </w:rPr>
        <w:t>3.2.3 投标报价有算术错误的，评标委员会按以下原则对投标报价进行修正，修正的价格经投标人书面确认后具有约束力。投标人不接受修正价格的，评标委员会应当否决其投标。</w:t>
      </w:r>
    </w:p>
    <w:p>
      <w:pPr>
        <w:spacing w:line="500" w:lineRule="exact"/>
        <w:ind w:firstLine="420" w:firstLineChars="200"/>
      </w:pPr>
      <w:bookmarkStart w:id="444" w:name="_Toc152042383"/>
      <w:r>
        <w:rPr>
          <w:rFonts w:hint="eastAsia"/>
        </w:rPr>
        <w:t>（1）投标文件中的大写金额与小写金额不一致的，以大写金额为准；</w:t>
      </w:r>
      <w:bookmarkEnd w:id="444"/>
    </w:p>
    <w:p>
      <w:pPr>
        <w:spacing w:line="500" w:lineRule="exact"/>
        <w:ind w:firstLine="420" w:firstLineChars="200"/>
      </w:pPr>
      <w:r>
        <w:rPr>
          <w:rFonts w:hint="eastAsia"/>
        </w:rPr>
        <w:t>（2）总价金额与依据单价计算出的结果不一致的，以单价金额为准修正总价，但单价金额小数点有明显错误的除外。</w:t>
      </w:r>
    </w:p>
    <w:p>
      <w:pPr>
        <w:spacing w:line="500" w:lineRule="exact"/>
        <w:ind w:firstLine="420" w:firstLineChars="200"/>
      </w:pPr>
      <w:bookmarkStart w:id="445" w:name="_Toc152045606"/>
      <w:bookmarkStart w:id="446" w:name="_Toc144974573"/>
      <w:bookmarkStart w:id="447" w:name="_Toc247527631"/>
      <w:bookmarkStart w:id="448" w:name="_Toc3997902"/>
      <w:bookmarkStart w:id="449" w:name="_Toc152042384"/>
      <w:bookmarkStart w:id="450" w:name="_Toc247514030"/>
      <w:r>
        <w:rPr>
          <w:rFonts w:hint="eastAsia"/>
        </w:rPr>
        <w:t>评标委员会根据初步评审情况，汇总填写附表3-6、附表3-7。</w:t>
      </w:r>
    </w:p>
    <w:p>
      <w:pPr>
        <w:pStyle w:val="6"/>
        <w:spacing w:line="500" w:lineRule="exact"/>
      </w:pPr>
      <w:r>
        <w:rPr>
          <w:rFonts w:hint="eastAsia" w:ascii="Times New Roman" w:hAnsi="Times New Roman"/>
        </w:rPr>
        <w:t>3.3</w:t>
      </w:r>
      <w:r>
        <w:rPr>
          <w:rFonts w:hint="eastAsia"/>
        </w:rPr>
        <w:t>详细评审</w:t>
      </w:r>
      <w:bookmarkEnd w:id="445"/>
      <w:bookmarkEnd w:id="446"/>
      <w:bookmarkEnd w:id="447"/>
      <w:bookmarkEnd w:id="448"/>
      <w:bookmarkEnd w:id="449"/>
      <w:bookmarkEnd w:id="450"/>
    </w:p>
    <w:p>
      <w:pPr>
        <w:spacing w:line="500" w:lineRule="exact"/>
        <w:ind w:firstLine="420" w:firstLineChars="200"/>
      </w:pPr>
      <w:r>
        <w:t xml:space="preserve">3.3.1 </w:t>
      </w:r>
      <w:r>
        <w:rPr>
          <w:rFonts w:hint="eastAsia"/>
        </w:rPr>
        <w:t>评标委员会按本章第</w:t>
      </w:r>
      <w:r>
        <w:t>2.2</w:t>
      </w:r>
      <w:r>
        <w:rPr>
          <w:rFonts w:hint="eastAsia"/>
        </w:rPr>
        <w:t>款规定的量化因素和分值进行打分，并计算出各（专业）项得分。</w:t>
      </w:r>
    </w:p>
    <w:p>
      <w:pPr>
        <w:spacing w:line="500" w:lineRule="exact"/>
        <w:ind w:firstLine="420" w:firstLineChars="200"/>
      </w:pPr>
      <w:r>
        <w:rPr>
          <w:rFonts w:hint="eastAsia"/>
        </w:rPr>
        <w:t>（</w:t>
      </w:r>
      <w:r>
        <w:t>1</w:t>
      </w:r>
      <w:r>
        <w:rPr>
          <w:rFonts w:hint="eastAsia"/>
        </w:rPr>
        <w:t>）按本章第</w:t>
      </w:r>
      <w:r>
        <w:t>2.2.4</w:t>
      </w:r>
      <w:r>
        <w:rPr>
          <w:rFonts w:hint="eastAsia"/>
        </w:rPr>
        <w:t>（</w:t>
      </w:r>
      <w:r>
        <w:t>1</w:t>
      </w:r>
      <w:r>
        <w:rPr>
          <w:rFonts w:hint="eastAsia"/>
        </w:rPr>
        <w:t>）目规定的评审因素和分值对项目管理计算出得分</w:t>
      </w:r>
      <w:r>
        <w:t>A</w:t>
      </w:r>
      <w:r>
        <w:rPr>
          <w:rFonts w:hint="eastAsia"/>
        </w:rPr>
        <w:t>；（详细评审见附表</w:t>
      </w:r>
      <w:r>
        <w:t>3-8-</w:t>
      </w:r>
      <w:r>
        <w:rPr>
          <w:rFonts w:hint="eastAsia"/>
        </w:rPr>
        <w:t>（</w:t>
      </w:r>
      <w:r>
        <w:t>1</w:t>
      </w:r>
      <w:r>
        <w:rPr>
          <w:rFonts w:hint="eastAsia"/>
        </w:rPr>
        <w:t>）－投标报价（下浮率）</w:t>
      </w:r>
      <w:r>
        <w:t>/</w:t>
      </w:r>
      <w:r>
        <w:rPr>
          <w:rFonts w:hint="eastAsia"/>
        </w:rPr>
        <w:t>服务方案</w:t>
      </w:r>
      <w:r>
        <w:t>/</w:t>
      </w:r>
      <w:r>
        <w:rPr>
          <w:rFonts w:hint="eastAsia"/>
        </w:rPr>
        <w:t>企业实力及人员配置、项目管理得分汇总表见附表</w:t>
      </w:r>
      <w:r>
        <w:t>3-8-</w:t>
      </w:r>
      <w:r>
        <w:rPr>
          <w:rFonts w:hint="eastAsia"/>
        </w:rPr>
        <w:t>（</w:t>
      </w:r>
      <w:r>
        <w:t>1</w:t>
      </w:r>
      <w:r>
        <w:rPr>
          <w:rFonts w:hint="eastAsia"/>
        </w:rPr>
        <w:t>）</w:t>
      </w:r>
      <w:r>
        <w:t>-A</w:t>
      </w:r>
      <w:r>
        <w:rPr>
          <w:rFonts w:hint="eastAsia"/>
        </w:rPr>
        <w:t>）</w:t>
      </w:r>
    </w:p>
    <w:p>
      <w:pPr>
        <w:spacing w:line="500" w:lineRule="exact"/>
        <w:ind w:firstLine="420" w:firstLineChars="200"/>
      </w:pPr>
      <w:r>
        <w:rPr>
          <w:rFonts w:hint="eastAsia"/>
        </w:rPr>
        <w:t>（</w:t>
      </w:r>
      <w:r>
        <w:t>2</w:t>
      </w:r>
      <w:r>
        <w:rPr>
          <w:rFonts w:hint="eastAsia"/>
        </w:rPr>
        <w:t>）按本章第</w:t>
      </w:r>
      <w:r>
        <w:t>2.2.4</w:t>
      </w:r>
      <w:r>
        <w:rPr>
          <w:rFonts w:hint="eastAsia"/>
        </w:rPr>
        <w:t>（</w:t>
      </w:r>
      <w:r>
        <w:t>2</w:t>
      </w:r>
      <w:r>
        <w:rPr>
          <w:rFonts w:hint="eastAsia"/>
        </w:rPr>
        <w:t>）目规定的评审因素和分值对可行性研究报告编制计算出得分</w:t>
      </w:r>
      <w:r>
        <w:t>B</w:t>
      </w:r>
      <w:r>
        <w:rPr>
          <w:rFonts w:hint="eastAsia"/>
        </w:rPr>
        <w:t>；（详细评审见附表</w:t>
      </w:r>
      <w:r>
        <w:t>3-8-</w:t>
      </w:r>
      <w:r>
        <w:rPr>
          <w:rFonts w:hint="eastAsia"/>
        </w:rPr>
        <w:t>（</w:t>
      </w:r>
      <w:r>
        <w:t>2</w:t>
      </w:r>
      <w:r>
        <w:rPr>
          <w:rFonts w:hint="eastAsia"/>
        </w:rPr>
        <w:t>）－投标报价（下浮率）</w:t>
      </w:r>
      <w:r>
        <w:t>/</w:t>
      </w:r>
      <w:r>
        <w:rPr>
          <w:rFonts w:hint="eastAsia"/>
        </w:rPr>
        <w:t>服务方案</w:t>
      </w:r>
      <w:r>
        <w:t>/</w:t>
      </w:r>
      <w:r>
        <w:rPr>
          <w:rFonts w:hint="eastAsia"/>
        </w:rPr>
        <w:t>企业业绩、人员配置及服务承诺、可行性研究报告编制得分汇总表见附表</w:t>
      </w:r>
      <w:r>
        <w:t>3-8-</w:t>
      </w:r>
      <w:r>
        <w:rPr>
          <w:rFonts w:hint="eastAsia"/>
        </w:rPr>
        <w:t>（</w:t>
      </w:r>
      <w:r>
        <w:t>2</w:t>
      </w:r>
      <w:r>
        <w:rPr>
          <w:rFonts w:hint="eastAsia"/>
        </w:rPr>
        <w:t>）</w:t>
      </w:r>
      <w:r>
        <w:t>-B</w:t>
      </w:r>
      <w:r>
        <w:rPr>
          <w:rFonts w:hint="eastAsia"/>
        </w:rPr>
        <w:t>）</w:t>
      </w:r>
    </w:p>
    <w:p>
      <w:pPr>
        <w:spacing w:line="500" w:lineRule="exact"/>
        <w:ind w:firstLine="420" w:firstLineChars="200"/>
      </w:pPr>
      <w:r>
        <w:rPr>
          <w:rFonts w:hint="eastAsia"/>
        </w:rPr>
        <w:t>（</w:t>
      </w:r>
      <w:r>
        <w:t>3</w:t>
      </w:r>
      <w:r>
        <w:rPr>
          <w:rFonts w:hint="eastAsia"/>
        </w:rPr>
        <w:t>）按本章第</w:t>
      </w:r>
      <w:r>
        <w:t>2.2.4</w:t>
      </w:r>
      <w:r>
        <w:rPr>
          <w:rFonts w:hint="eastAsia"/>
        </w:rPr>
        <w:t>（</w:t>
      </w:r>
      <w:r>
        <w:t>3</w:t>
      </w:r>
      <w:r>
        <w:rPr>
          <w:rFonts w:hint="eastAsia"/>
        </w:rPr>
        <w:t>）目规定的评审因素和分值对勘察计算出得分</w:t>
      </w:r>
      <w:r>
        <w:t>C</w:t>
      </w:r>
      <w:r>
        <w:rPr>
          <w:rFonts w:hint="eastAsia"/>
        </w:rPr>
        <w:t>；（详细评审见附表</w:t>
      </w:r>
      <w:r>
        <w:t>3-8-</w:t>
      </w:r>
      <w:r>
        <w:rPr>
          <w:rFonts w:hint="eastAsia"/>
        </w:rPr>
        <w:t>（</w:t>
      </w:r>
      <w:r>
        <w:t>3</w:t>
      </w:r>
      <w:r>
        <w:rPr>
          <w:rFonts w:hint="eastAsia"/>
        </w:rPr>
        <w:t>）－投标报价（下浮率）</w:t>
      </w:r>
      <w:r>
        <w:t>/</w:t>
      </w:r>
      <w:r>
        <w:rPr>
          <w:rFonts w:ascii="宋体" w:hAnsi="宋体"/>
        </w:rPr>
        <w:t>勘察纲要</w:t>
      </w:r>
      <w:r>
        <w:t>/</w:t>
      </w:r>
      <w:r>
        <w:rPr>
          <w:rFonts w:hint="eastAsia"/>
          <w:szCs w:val="21"/>
        </w:rPr>
        <w:t>企业业绩、拟投入设备、</w:t>
      </w:r>
      <w:r>
        <w:rPr>
          <w:rFonts w:hint="eastAsia"/>
        </w:rPr>
        <w:t>人员配置及服务承诺、勘察得分汇总表见附表</w:t>
      </w:r>
      <w:r>
        <w:t>3-8-</w:t>
      </w:r>
      <w:r>
        <w:rPr>
          <w:rFonts w:hint="eastAsia"/>
        </w:rPr>
        <w:t>（</w:t>
      </w:r>
      <w:r>
        <w:t>3</w:t>
      </w:r>
      <w:r>
        <w:rPr>
          <w:rFonts w:hint="eastAsia"/>
        </w:rPr>
        <w:t>）</w:t>
      </w:r>
      <w:r>
        <w:t>-C</w:t>
      </w:r>
      <w:r>
        <w:rPr>
          <w:rFonts w:hint="eastAsia"/>
        </w:rPr>
        <w:t>）</w:t>
      </w:r>
    </w:p>
    <w:p>
      <w:pPr>
        <w:spacing w:line="500" w:lineRule="exact"/>
        <w:ind w:firstLine="420" w:firstLineChars="200"/>
      </w:pPr>
      <w:r>
        <w:rPr>
          <w:rFonts w:hint="eastAsia"/>
        </w:rPr>
        <w:t>（4）按本章第2.2.4（4）目规定的评审因素和分值对造价咨询计算出得分D；（详细评审见附表3-8-（4）－投标报价（下浮率）/</w:t>
      </w:r>
      <w:r>
        <w:rPr>
          <w:rFonts w:hint="eastAsia"/>
          <w:szCs w:val="21"/>
        </w:rPr>
        <w:t>实施方案</w:t>
      </w:r>
      <w:r>
        <w:rPr>
          <w:rFonts w:hint="eastAsia"/>
        </w:rPr>
        <w:t>/企业业绩及人员配置、造价咨询得分汇总表见附表3-8-（4）-D）</w:t>
      </w:r>
    </w:p>
    <w:p>
      <w:pPr>
        <w:spacing w:line="500" w:lineRule="exact"/>
        <w:ind w:firstLine="420" w:firstLineChars="200"/>
      </w:pPr>
      <w:r>
        <w:rPr>
          <w:rFonts w:hint="eastAsia"/>
        </w:rPr>
        <w:t>（5）按本章第2.2.4（5）目规定的评审因素和分值对招标代理计算出得分E；（详细评审见附表3-8-（5）－投标报价（下浮率）/实施方案/企业业绩及人员配置、招标代理得分汇总表见附表3-8-（5）-E）</w:t>
      </w:r>
    </w:p>
    <w:p>
      <w:pPr>
        <w:spacing w:line="500" w:lineRule="exact"/>
        <w:ind w:firstLine="420" w:firstLineChars="200"/>
      </w:pPr>
      <w:r>
        <w:rPr>
          <w:rFonts w:hint="eastAsia"/>
        </w:rPr>
        <w:t>（6） 按本章“监管评价等级得分”相关要求赋分。（监管评价等级得分汇总表见附表3-9）</w:t>
      </w:r>
    </w:p>
    <w:p>
      <w:pPr>
        <w:spacing w:line="500" w:lineRule="exact"/>
        <w:ind w:firstLine="420" w:firstLineChars="200"/>
      </w:pPr>
      <w:r>
        <w:rPr>
          <w:rFonts w:hint="eastAsia"/>
        </w:rPr>
        <w:t>3.3.2 评分分值计算保留小数点后两位，小数点后第三位“四舍五入”。</w:t>
      </w:r>
    </w:p>
    <w:p>
      <w:pPr>
        <w:spacing w:line="500" w:lineRule="exact"/>
        <w:ind w:firstLine="420" w:firstLineChars="200"/>
        <w:rPr>
          <w:b/>
          <w:bCs/>
        </w:rPr>
      </w:pPr>
      <w:r>
        <w:rPr>
          <w:rFonts w:hint="eastAsia"/>
        </w:rPr>
        <w:t>3.3.3 投标人得分=评标基础得分（</w:t>
      </w:r>
      <w:r>
        <w:t>A*</w:t>
      </w:r>
      <w:r>
        <w:rPr>
          <w:rFonts w:hint="eastAsia"/>
        </w:rPr>
        <w:t>权值</w:t>
      </w:r>
      <w:r>
        <w:t>+B*</w:t>
      </w:r>
      <w:r>
        <w:rPr>
          <w:rFonts w:hint="eastAsia"/>
        </w:rPr>
        <w:t>权值</w:t>
      </w:r>
      <w:r>
        <w:t>+C*</w:t>
      </w:r>
      <w:r>
        <w:rPr>
          <w:rFonts w:hint="eastAsia"/>
        </w:rPr>
        <w:t>权值</w:t>
      </w:r>
      <w:r>
        <w:t>+D*</w:t>
      </w:r>
      <w:r>
        <w:rPr>
          <w:rFonts w:hint="eastAsia"/>
        </w:rPr>
        <w:t>权值</w:t>
      </w:r>
      <w:r>
        <w:t>+E*</w:t>
      </w:r>
      <w:r>
        <w:rPr>
          <w:rFonts w:hint="eastAsia"/>
        </w:rPr>
        <w:t>权值）</w:t>
      </w:r>
      <w:r>
        <w:rPr>
          <w:bCs/>
        </w:rPr>
        <w:t>+</w:t>
      </w:r>
      <w:r>
        <w:rPr>
          <w:rFonts w:hint="eastAsia"/>
          <w:bCs/>
        </w:rPr>
        <w:t>监管评价等级得分。</w:t>
      </w:r>
      <w:r>
        <w:rPr>
          <w:rFonts w:hint="eastAsia"/>
        </w:rPr>
        <w:t>（总得分汇总表见附表3-10）</w:t>
      </w:r>
    </w:p>
    <w:p>
      <w:pPr>
        <w:spacing w:line="500" w:lineRule="exact"/>
        <w:ind w:firstLine="420" w:firstLineChars="200"/>
      </w:pPr>
      <w:r>
        <w:rPr>
          <w:rFonts w:hint="eastAsia"/>
        </w:rPr>
        <w:t>3.3.4 评标委员会发现投标人的报价明显低于其他投标报价，或者在设有最高投标</w:t>
      </w:r>
      <w:r>
        <w:t>限价</w:t>
      </w:r>
      <w:r>
        <w:rPr>
          <w:rFonts w:hint="eastAsia"/>
        </w:rPr>
        <w:t>时明显低于限价，使得其投标报价可能低于其个别成本的，应当要求该投标人作出书面说明并提供相应的证明材料。投标人不能合理说明或者不能提供相应证明材料的，评标委员会应当认定该投标人以低于成本报价竞标，予以否决其投标。</w:t>
      </w:r>
    </w:p>
    <w:p>
      <w:pPr>
        <w:pStyle w:val="6"/>
        <w:spacing w:line="500" w:lineRule="exact"/>
      </w:pPr>
      <w:r>
        <w:rPr>
          <w:rFonts w:hint="eastAsia" w:ascii="Times New Roman" w:hAnsi="Times New Roman"/>
        </w:rPr>
        <w:t>3.4</w:t>
      </w:r>
      <w:r>
        <w:rPr>
          <w:rFonts w:hint="eastAsia"/>
        </w:rPr>
        <w:t xml:space="preserve"> 投标文件的澄清和补正</w:t>
      </w:r>
    </w:p>
    <w:p>
      <w:pPr>
        <w:spacing w:line="500" w:lineRule="exact"/>
        <w:ind w:firstLine="420" w:firstLineChars="200"/>
      </w:pPr>
      <w:r>
        <w:rPr>
          <w:rFonts w:hint="eastAsia"/>
        </w:rPr>
        <w:t>3.4.1 在评标过程中，评标委员会可以书面形式要求投标人对所提交投标文件中不明确的内容进行书面澄清或说明，或者对细微偏差进行补正。评标委员会不接受投标人主动提出的澄清、说明或补正。</w:t>
      </w:r>
    </w:p>
    <w:p>
      <w:pPr>
        <w:spacing w:line="500" w:lineRule="exact"/>
        <w:ind w:firstLine="420" w:firstLineChars="200"/>
      </w:pPr>
      <w:r>
        <w:rPr>
          <w:rFonts w:hint="eastAsia"/>
        </w:rPr>
        <w:t>3.4.2 澄清、说明和补正不得改变投标文件的实质性内容。投标人的书面澄清、说明和补正属于投标文件的组成部分。</w:t>
      </w:r>
    </w:p>
    <w:p>
      <w:pPr>
        <w:spacing w:line="500" w:lineRule="exact"/>
        <w:ind w:firstLine="420" w:firstLineChars="200"/>
      </w:pPr>
      <w:r>
        <w:rPr>
          <w:rFonts w:hint="eastAsia"/>
        </w:rPr>
        <w:t>3.4.3 评标委员会对投标人提交的澄清、说明或补正有疑问的，可以要求投标人进一步澄清、说明或补正，直至满足评标委员会的要求。</w:t>
      </w:r>
    </w:p>
    <w:p>
      <w:pPr>
        <w:pStyle w:val="6"/>
        <w:spacing w:line="500" w:lineRule="exact"/>
      </w:pPr>
      <w:bookmarkStart w:id="451" w:name="_Toc152042386"/>
      <w:bookmarkStart w:id="452" w:name="_Toc247527633"/>
      <w:bookmarkStart w:id="453" w:name="_Toc3997904"/>
      <w:bookmarkStart w:id="454" w:name="_Toc152045608"/>
      <w:bookmarkStart w:id="455" w:name="_Toc247514032"/>
      <w:bookmarkStart w:id="456" w:name="_Toc144974576"/>
      <w:r>
        <w:rPr>
          <w:rFonts w:hint="eastAsia" w:ascii="Times New Roman" w:hAnsi="Times New Roman"/>
        </w:rPr>
        <w:t>3.5</w:t>
      </w:r>
      <w:r>
        <w:rPr>
          <w:rFonts w:hint="eastAsia"/>
        </w:rPr>
        <w:t xml:space="preserve"> 评标结果</w:t>
      </w:r>
      <w:bookmarkEnd w:id="451"/>
      <w:bookmarkEnd w:id="452"/>
      <w:bookmarkEnd w:id="453"/>
      <w:bookmarkEnd w:id="454"/>
      <w:bookmarkEnd w:id="455"/>
      <w:bookmarkEnd w:id="456"/>
    </w:p>
    <w:p>
      <w:pPr>
        <w:spacing w:line="500" w:lineRule="exact"/>
        <w:ind w:firstLine="420" w:firstLineChars="200"/>
      </w:pPr>
      <w:r>
        <w:rPr>
          <w:rFonts w:hint="eastAsia"/>
        </w:rPr>
        <w:t>3.5.1 除第二章“投标人须知”前附表授权直接确定中标人外，评标委员会按照得分由高到低的顺序推荐中标候选人。（评标结果见附表3-11）</w:t>
      </w:r>
    </w:p>
    <w:p>
      <w:pPr>
        <w:spacing w:line="500" w:lineRule="exact"/>
        <w:ind w:firstLine="420" w:firstLineChars="200"/>
      </w:pPr>
      <w:r>
        <w:rPr>
          <w:rFonts w:hint="eastAsia"/>
        </w:rPr>
        <w:t>3.5.2 评标委员会完成评标后，应当向招标人提交书面评标报告。（评标报告见附表3-12）</w:t>
      </w:r>
    </w:p>
    <w:p>
      <w:pPr>
        <w:pStyle w:val="33"/>
        <w:spacing w:line="500" w:lineRule="exact"/>
        <w:sectPr>
          <w:pgSz w:w="11906" w:h="16838"/>
          <w:pgMar w:top="1440" w:right="1800" w:bottom="1440" w:left="1800" w:header="851" w:footer="992" w:gutter="0"/>
          <w:pgNumType w:fmt="numberInDash"/>
          <w:cols w:space="720" w:num="1"/>
          <w:docGrid w:type="linesAndChars" w:linePitch="312" w:charSpace="0"/>
        </w:sectPr>
      </w:pPr>
    </w:p>
    <w:p>
      <w:pPr>
        <w:pStyle w:val="33"/>
      </w:pPr>
    </w:p>
    <w:p>
      <w:pPr>
        <w:pStyle w:val="33"/>
        <w:rPr>
          <w:sz w:val="28"/>
          <w:szCs w:val="28"/>
        </w:rPr>
      </w:pPr>
      <w:r>
        <w:rPr>
          <w:rFonts w:hint="eastAsia"/>
          <w:sz w:val="28"/>
          <w:szCs w:val="28"/>
        </w:rPr>
        <w:t>附件3-1：评标委员会签到表</w:t>
      </w:r>
    </w:p>
    <w:p>
      <w:pPr>
        <w:pStyle w:val="33"/>
        <w:jc w:val="center"/>
        <w:rPr>
          <w:b/>
        </w:rPr>
      </w:pPr>
      <w:r>
        <w:rPr>
          <w:rFonts w:hint="eastAsia"/>
          <w:b/>
          <w:sz w:val="36"/>
        </w:rPr>
        <w:t>评标委员会签到表</w:t>
      </w:r>
    </w:p>
    <w:p>
      <w:pPr>
        <w:pStyle w:val="33"/>
      </w:pPr>
      <w:r>
        <w:rPr>
          <w:rFonts w:hint="eastAsia"/>
        </w:rPr>
        <w:t>项目名称：</w:t>
      </w:r>
    </w:p>
    <w:tbl>
      <w:tblPr>
        <w:tblStyle w:val="22"/>
        <w:tblW w:w="13244" w:type="dxa"/>
        <w:tblInd w:w="93" w:type="dxa"/>
        <w:tblLayout w:type="autofit"/>
        <w:tblCellMar>
          <w:top w:w="0" w:type="dxa"/>
          <w:left w:w="108" w:type="dxa"/>
          <w:bottom w:w="0" w:type="dxa"/>
          <w:right w:w="108" w:type="dxa"/>
        </w:tblCellMar>
      </w:tblPr>
      <w:tblGrid>
        <w:gridCol w:w="1008"/>
        <w:gridCol w:w="1701"/>
        <w:gridCol w:w="1231"/>
        <w:gridCol w:w="1780"/>
        <w:gridCol w:w="3437"/>
        <w:gridCol w:w="1962"/>
        <w:gridCol w:w="2125"/>
      </w:tblGrid>
      <w:tr>
        <w:tblPrEx>
          <w:tblCellMar>
            <w:top w:w="0" w:type="dxa"/>
            <w:left w:w="108" w:type="dxa"/>
            <w:bottom w:w="0" w:type="dxa"/>
            <w:right w:w="108" w:type="dxa"/>
          </w:tblCellMar>
        </w:tblPrEx>
        <w:trPr>
          <w:trHeight w:val="702" w:hRule="atLeast"/>
        </w:trPr>
        <w:tc>
          <w:tcPr>
            <w:tcW w:w="1008" w:type="dxa"/>
            <w:tcBorders>
              <w:top w:val="single" w:color="auto" w:sz="4" w:space="0"/>
              <w:left w:val="single" w:color="auto" w:sz="4" w:space="0"/>
              <w:bottom w:val="single" w:color="auto" w:sz="4" w:space="0"/>
              <w:right w:val="single" w:color="auto" w:sz="4" w:space="0"/>
            </w:tcBorders>
            <w:vAlign w:val="center"/>
          </w:tcPr>
          <w:p>
            <w:pPr>
              <w:pStyle w:val="33"/>
              <w:jc w:val="center"/>
              <w:rPr>
                <w:rFonts w:ascii="宋体" w:hAnsi="宋体" w:cs="宋体"/>
                <w:kern w:val="0"/>
                <w:szCs w:val="21"/>
              </w:rPr>
            </w:pPr>
            <w:r>
              <w:rPr>
                <w:rFonts w:hint="eastAsia" w:ascii="宋体" w:hAnsi="宋体" w:cs="宋体"/>
                <w:kern w:val="0"/>
                <w:szCs w:val="21"/>
              </w:rPr>
              <w:t>序号</w:t>
            </w:r>
          </w:p>
        </w:tc>
        <w:tc>
          <w:tcPr>
            <w:tcW w:w="1701" w:type="dxa"/>
            <w:tcBorders>
              <w:top w:val="single" w:color="auto" w:sz="4" w:space="0"/>
              <w:left w:val="nil"/>
              <w:bottom w:val="single" w:color="auto" w:sz="4" w:space="0"/>
              <w:right w:val="single" w:color="auto" w:sz="4" w:space="0"/>
            </w:tcBorders>
            <w:vAlign w:val="center"/>
          </w:tcPr>
          <w:p>
            <w:pPr>
              <w:pStyle w:val="33"/>
              <w:jc w:val="center"/>
              <w:rPr>
                <w:rFonts w:ascii="宋体" w:hAnsi="宋体" w:cs="宋体"/>
                <w:kern w:val="0"/>
                <w:szCs w:val="21"/>
              </w:rPr>
            </w:pPr>
            <w:r>
              <w:rPr>
                <w:rFonts w:hint="eastAsia" w:ascii="宋体" w:hAnsi="宋体" w:cs="宋体"/>
                <w:kern w:val="0"/>
                <w:szCs w:val="21"/>
              </w:rPr>
              <w:t>姓名</w:t>
            </w:r>
          </w:p>
        </w:tc>
        <w:tc>
          <w:tcPr>
            <w:tcW w:w="1231" w:type="dxa"/>
            <w:tcBorders>
              <w:top w:val="single" w:color="auto" w:sz="4" w:space="0"/>
              <w:left w:val="nil"/>
              <w:bottom w:val="single" w:color="auto" w:sz="4" w:space="0"/>
              <w:right w:val="single" w:color="auto" w:sz="4" w:space="0"/>
            </w:tcBorders>
            <w:vAlign w:val="center"/>
          </w:tcPr>
          <w:p>
            <w:pPr>
              <w:pStyle w:val="33"/>
              <w:jc w:val="center"/>
              <w:rPr>
                <w:rFonts w:ascii="宋体" w:hAnsi="宋体" w:cs="宋体"/>
                <w:kern w:val="0"/>
                <w:szCs w:val="21"/>
              </w:rPr>
            </w:pPr>
            <w:r>
              <w:rPr>
                <w:rFonts w:hint="eastAsia" w:ascii="宋体" w:hAnsi="宋体" w:cs="宋体"/>
                <w:kern w:val="0"/>
                <w:szCs w:val="21"/>
              </w:rPr>
              <w:t>职称</w:t>
            </w:r>
          </w:p>
        </w:tc>
        <w:tc>
          <w:tcPr>
            <w:tcW w:w="1780" w:type="dxa"/>
            <w:tcBorders>
              <w:top w:val="single" w:color="auto" w:sz="4" w:space="0"/>
              <w:left w:val="nil"/>
              <w:bottom w:val="single" w:color="auto" w:sz="4" w:space="0"/>
              <w:right w:val="single" w:color="auto" w:sz="4" w:space="0"/>
            </w:tcBorders>
            <w:vAlign w:val="center"/>
          </w:tcPr>
          <w:p>
            <w:pPr>
              <w:pStyle w:val="33"/>
              <w:jc w:val="center"/>
              <w:rPr>
                <w:rFonts w:ascii="宋体" w:hAnsi="宋体" w:cs="宋体"/>
                <w:kern w:val="0"/>
                <w:szCs w:val="21"/>
              </w:rPr>
            </w:pPr>
            <w:r>
              <w:rPr>
                <w:rFonts w:hint="eastAsia" w:ascii="宋体" w:hAnsi="宋体" w:cs="宋体"/>
                <w:kern w:val="0"/>
                <w:szCs w:val="21"/>
              </w:rPr>
              <w:t>专业类别</w:t>
            </w:r>
          </w:p>
        </w:tc>
        <w:tc>
          <w:tcPr>
            <w:tcW w:w="3437" w:type="dxa"/>
            <w:tcBorders>
              <w:top w:val="single" w:color="auto" w:sz="4" w:space="0"/>
              <w:left w:val="nil"/>
              <w:bottom w:val="single" w:color="auto" w:sz="4" w:space="0"/>
              <w:right w:val="single" w:color="auto" w:sz="4" w:space="0"/>
            </w:tcBorders>
            <w:vAlign w:val="center"/>
          </w:tcPr>
          <w:p>
            <w:pPr>
              <w:pStyle w:val="33"/>
              <w:jc w:val="center"/>
              <w:rPr>
                <w:rFonts w:ascii="宋体" w:hAnsi="宋体" w:cs="宋体"/>
                <w:kern w:val="0"/>
                <w:szCs w:val="21"/>
              </w:rPr>
            </w:pPr>
            <w:r>
              <w:rPr>
                <w:rFonts w:hint="eastAsia" w:ascii="宋体" w:hAnsi="宋体" w:cs="宋体"/>
                <w:kern w:val="0"/>
                <w:szCs w:val="21"/>
              </w:rPr>
              <w:t>工作单位或</w:t>
            </w:r>
            <w:r>
              <w:rPr>
                <w:rFonts w:ascii="宋体" w:hAnsi="宋体" w:cs="宋体"/>
                <w:kern w:val="0"/>
                <w:szCs w:val="21"/>
              </w:rPr>
              <w:t>专家编号</w:t>
            </w:r>
          </w:p>
        </w:tc>
        <w:tc>
          <w:tcPr>
            <w:tcW w:w="1962" w:type="dxa"/>
            <w:tcBorders>
              <w:top w:val="single" w:color="auto" w:sz="4" w:space="0"/>
              <w:left w:val="nil"/>
              <w:bottom w:val="single" w:color="auto" w:sz="4" w:space="0"/>
              <w:right w:val="single" w:color="auto" w:sz="4" w:space="0"/>
            </w:tcBorders>
            <w:vAlign w:val="center"/>
          </w:tcPr>
          <w:p>
            <w:pPr>
              <w:pStyle w:val="33"/>
              <w:jc w:val="center"/>
              <w:rPr>
                <w:rFonts w:ascii="宋体" w:hAnsi="宋体" w:cs="宋体"/>
                <w:kern w:val="0"/>
                <w:szCs w:val="21"/>
              </w:rPr>
            </w:pPr>
            <w:r>
              <w:rPr>
                <w:rFonts w:hint="eastAsia" w:ascii="宋体" w:hAnsi="宋体" w:cs="宋体"/>
                <w:kern w:val="0"/>
                <w:szCs w:val="21"/>
              </w:rPr>
              <w:t>签到时间</w:t>
            </w:r>
          </w:p>
        </w:tc>
        <w:tc>
          <w:tcPr>
            <w:tcW w:w="2125" w:type="dxa"/>
            <w:tcBorders>
              <w:top w:val="single" w:color="auto" w:sz="4" w:space="0"/>
              <w:left w:val="nil"/>
              <w:bottom w:val="single" w:color="auto" w:sz="4" w:space="0"/>
              <w:right w:val="single" w:color="auto" w:sz="4" w:space="0"/>
            </w:tcBorders>
            <w:vAlign w:val="center"/>
          </w:tcPr>
          <w:p>
            <w:pPr>
              <w:pStyle w:val="33"/>
              <w:jc w:val="center"/>
              <w:rPr>
                <w:rFonts w:ascii="宋体" w:hAnsi="宋体" w:cs="宋体"/>
                <w:kern w:val="0"/>
                <w:szCs w:val="21"/>
              </w:rPr>
            </w:pPr>
            <w:r>
              <w:rPr>
                <w:rFonts w:hint="eastAsia" w:ascii="宋体" w:hAnsi="宋体" w:cs="宋体"/>
                <w:kern w:val="0"/>
                <w:szCs w:val="21"/>
              </w:rPr>
              <w:t>联系电话</w:t>
            </w:r>
          </w:p>
        </w:tc>
      </w:tr>
      <w:tr>
        <w:tblPrEx>
          <w:tblCellMar>
            <w:top w:w="0" w:type="dxa"/>
            <w:left w:w="108" w:type="dxa"/>
            <w:bottom w:w="0" w:type="dxa"/>
            <w:right w:w="108" w:type="dxa"/>
          </w:tblCellMar>
        </w:tblPrEx>
        <w:trPr>
          <w:trHeight w:val="702" w:hRule="atLeast"/>
        </w:trPr>
        <w:tc>
          <w:tcPr>
            <w:tcW w:w="1008" w:type="dxa"/>
            <w:tcBorders>
              <w:top w:val="nil"/>
              <w:left w:val="single" w:color="auto" w:sz="4" w:space="0"/>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701"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231"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780"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3437"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962"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2125"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02" w:hRule="atLeast"/>
        </w:trPr>
        <w:tc>
          <w:tcPr>
            <w:tcW w:w="1008" w:type="dxa"/>
            <w:tcBorders>
              <w:top w:val="nil"/>
              <w:left w:val="single" w:color="auto" w:sz="4" w:space="0"/>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701"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231"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780"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3437"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962"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2125"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02" w:hRule="atLeast"/>
        </w:trPr>
        <w:tc>
          <w:tcPr>
            <w:tcW w:w="1008" w:type="dxa"/>
            <w:tcBorders>
              <w:top w:val="nil"/>
              <w:left w:val="single" w:color="auto" w:sz="4" w:space="0"/>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701"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231"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780"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3437"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962"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2125"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02" w:hRule="atLeast"/>
        </w:trPr>
        <w:tc>
          <w:tcPr>
            <w:tcW w:w="1008" w:type="dxa"/>
            <w:tcBorders>
              <w:top w:val="nil"/>
              <w:left w:val="single" w:color="auto" w:sz="4" w:space="0"/>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701"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231"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780"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3437"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962"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2125"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02" w:hRule="atLeast"/>
        </w:trPr>
        <w:tc>
          <w:tcPr>
            <w:tcW w:w="1008" w:type="dxa"/>
            <w:tcBorders>
              <w:top w:val="nil"/>
              <w:left w:val="single" w:color="auto" w:sz="4" w:space="0"/>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701"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231"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780"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3437"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962"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2125"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02" w:hRule="atLeast"/>
        </w:trPr>
        <w:tc>
          <w:tcPr>
            <w:tcW w:w="1008" w:type="dxa"/>
            <w:tcBorders>
              <w:top w:val="nil"/>
              <w:left w:val="single" w:color="auto" w:sz="4" w:space="0"/>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701"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231"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780"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3437"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962"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2125"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02" w:hRule="atLeast"/>
        </w:trPr>
        <w:tc>
          <w:tcPr>
            <w:tcW w:w="1008" w:type="dxa"/>
            <w:tcBorders>
              <w:top w:val="nil"/>
              <w:left w:val="single" w:color="auto" w:sz="4" w:space="0"/>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701"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231"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780"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3437"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1962"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c>
          <w:tcPr>
            <w:tcW w:w="2125" w:type="dxa"/>
            <w:tcBorders>
              <w:top w:val="nil"/>
              <w:left w:val="nil"/>
              <w:bottom w:val="single" w:color="auto" w:sz="4" w:space="0"/>
              <w:right w:val="single" w:color="auto" w:sz="4" w:space="0"/>
            </w:tcBorders>
            <w:vAlign w:val="center"/>
          </w:tcPr>
          <w:p>
            <w:pPr>
              <w:pStyle w:val="33"/>
              <w:rPr>
                <w:rFonts w:ascii="宋体" w:hAnsi="宋体" w:cs="宋体"/>
                <w:kern w:val="0"/>
                <w:szCs w:val="21"/>
              </w:rPr>
            </w:pPr>
            <w:r>
              <w:rPr>
                <w:rFonts w:hint="eastAsia" w:ascii="宋体" w:hAnsi="宋体" w:cs="宋体"/>
                <w:kern w:val="0"/>
                <w:szCs w:val="21"/>
              </w:rPr>
              <w:t>　</w:t>
            </w:r>
          </w:p>
        </w:tc>
      </w:tr>
    </w:tbl>
    <w:p>
      <w:pPr>
        <w:pStyle w:val="33"/>
      </w:pPr>
      <w:r>
        <w:rPr>
          <w:rFonts w:hint="eastAsia"/>
        </w:rPr>
        <w:t>评标时间：   年    月    日</w:t>
      </w:r>
    </w:p>
    <w:p>
      <w:pPr>
        <w:pStyle w:val="33"/>
      </w:pPr>
    </w:p>
    <w:p>
      <w:pPr>
        <w:pStyle w:val="33"/>
        <w:sectPr>
          <w:pgSz w:w="16838" w:h="11906" w:orient="landscape"/>
          <w:pgMar w:top="1440" w:right="1800" w:bottom="1440" w:left="1800" w:header="851" w:footer="992" w:gutter="0"/>
          <w:pgNumType w:fmt="numberInDash"/>
          <w:cols w:space="720" w:num="1"/>
          <w:docGrid w:type="linesAndChars" w:linePitch="319" w:charSpace="0"/>
        </w:sectPr>
      </w:pPr>
    </w:p>
    <w:p>
      <w:pPr>
        <w:pStyle w:val="33"/>
        <w:rPr>
          <w:sz w:val="28"/>
          <w:szCs w:val="28"/>
        </w:rPr>
      </w:pPr>
      <w:r>
        <w:rPr>
          <w:rFonts w:hint="eastAsia"/>
          <w:sz w:val="28"/>
          <w:szCs w:val="28"/>
        </w:rPr>
        <w:t>附件3-2：廉洁保密承诺书</w:t>
      </w:r>
    </w:p>
    <w:p>
      <w:pPr>
        <w:pStyle w:val="33"/>
        <w:jc w:val="center"/>
        <w:rPr>
          <w:b/>
          <w:sz w:val="32"/>
        </w:rPr>
      </w:pPr>
      <w:r>
        <w:rPr>
          <w:rFonts w:hint="eastAsia"/>
          <w:b/>
          <w:sz w:val="32"/>
        </w:rPr>
        <w:t>廉洁保密承诺书</w:t>
      </w:r>
    </w:p>
    <w:p>
      <w:pPr>
        <w:pStyle w:val="33"/>
        <w:spacing w:line="480" w:lineRule="exact"/>
        <w:rPr>
          <w:rFonts w:ascii="宋体" w:hAnsi="宋体"/>
          <w:szCs w:val="21"/>
        </w:rPr>
      </w:pPr>
      <w:r>
        <w:rPr>
          <w:rFonts w:hint="eastAsia" w:ascii="宋体" w:hAnsi="宋体"/>
          <w:szCs w:val="21"/>
        </w:rPr>
        <w:t>本人参加本次招标的评标工作，在此郑重声明：</w:t>
      </w:r>
    </w:p>
    <w:p>
      <w:pPr>
        <w:pStyle w:val="33"/>
        <w:spacing w:line="480" w:lineRule="exact"/>
        <w:rPr>
          <w:rFonts w:ascii="宋体" w:hAnsi="宋体"/>
          <w:szCs w:val="21"/>
        </w:rPr>
      </w:pPr>
      <w:r>
        <w:rPr>
          <w:rFonts w:hint="eastAsia" w:ascii="宋体" w:hAnsi="宋体"/>
          <w:szCs w:val="21"/>
        </w:rPr>
        <w:t>一、本人不存在下列情形之一：</w:t>
      </w:r>
    </w:p>
    <w:p>
      <w:pPr>
        <w:pStyle w:val="33"/>
        <w:spacing w:line="480" w:lineRule="exact"/>
        <w:rPr>
          <w:rFonts w:ascii="宋体" w:hAnsi="宋体"/>
          <w:szCs w:val="21"/>
        </w:rPr>
      </w:pPr>
      <w:r>
        <w:rPr>
          <w:rFonts w:ascii="宋体" w:hAnsi="宋体"/>
          <w:szCs w:val="21"/>
        </w:rPr>
        <w:t>1</w:t>
      </w:r>
      <w:r>
        <w:rPr>
          <w:rFonts w:hint="eastAsia" w:ascii="宋体" w:hAnsi="宋体"/>
          <w:szCs w:val="21"/>
        </w:rPr>
        <w:t>．是投标人或投标人主要负责人的近亲属；</w:t>
      </w:r>
    </w:p>
    <w:p>
      <w:pPr>
        <w:pStyle w:val="33"/>
        <w:spacing w:line="480" w:lineRule="exact"/>
        <w:rPr>
          <w:rFonts w:ascii="宋体" w:hAnsi="宋体"/>
          <w:szCs w:val="21"/>
        </w:rPr>
      </w:pPr>
      <w:r>
        <w:rPr>
          <w:rFonts w:ascii="宋体" w:hAnsi="宋体"/>
          <w:szCs w:val="21"/>
        </w:rPr>
        <w:t>2</w:t>
      </w:r>
      <w:r>
        <w:rPr>
          <w:rFonts w:hint="eastAsia" w:ascii="宋体" w:hAnsi="宋体"/>
          <w:szCs w:val="21"/>
        </w:rPr>
        <w:t>．与投标人有经济利益关系；</w:t>
      </w:r>
    </w:p>
    <w:p>
      <w:pPr>
        <w:pStyle w:val="33"/>
        <w:spacing w:line="480" w:lineRule="exact"/>
        <w:rPr>
          <w:rFonts w:ascii="宋体" w:hAnsi="宋体"/>
          <w:szCs w:val="21"/>
        </w:rPr>
      </w:pPr>
      <w:r>
        <w:rPr>
          <w:rFonts w:ascii="宋体" w:hAnsi="宋体"/>
          <w:szCs w:val="21"/>
        </w:rPr>
        <w:t>3</w:t>
      </w:r>
      <w:r>
        <w:rPr>
          <w:rFonts w:hint="eastAsia" w:ascii="宋体" w:hAnsi="宋体"/>
          <w:szCs w:val="21"/>
        </w:rPr>
        <w:t>．曾在招投标有关活动中从事违法行为而受过行政处罚或刑事处罚。</w:t>
      </w:r>
    </w:p>
    <w:p>
      <w:pPr>
        <w:pStyle w:val="33"/>
        <w:spacing w:line="480" w:lineRule="exact"/>
        <w:rPr>
          <w:rFonts w:ascii="宋体" w:hAnsi="宋体"/>
          <w:szCs w:val="21"/>
        </w:rPr>
      </w:pPr>
      <w:r>
        <w:rPr>
          <w:rFonts w:hint="eastAsia" w:ascii="宋体" w:hAnsi="宋体"/>
          <w:szCs w:val="21"/>
        </w:rPr>
        <w:t>二、遵守职业道德，在招标活动中，做事以诚为本，以公为先；严格执行招标评标全过程的各项工作纪律和保密规定。</w:t>
      </w:r>
    </w:p>
    <w:p>
      <w:pPr>
        <w:pStyle w:val="33"/>
        <w:spacing w:line="480" w:lineRule="exact"/>
        <w:rPr>
          <w:rFonts w:ascii="宋体" w:hAnsi="宋体"/>
          <w:szCs w:val="21"/>
        </w:rPr>
      </w:pPr>
      <w:r>
        <w:rPr>
          <w:rFonts w:ascii="宋体" w:hAnsi="宋体"/>
          <w:szCs w:val="21"/>
        </w:rPr>
        <w:t>1</w:t>
      </w:r>
      <w:r>
        <w:rPr>
          <w:rFonts w:hint="eastAsia" w:ascii="宋体" w:hAnsi="宋体"/>
          <w:szCs w:val="21"/>
        </w:rPr>
        <w:t>．不利用职权索取、接受投标人、代理机构以及其他与行使职权有关系的单位或者个人的财物或者其他好处；</w:t>
      </w:r>
    </w:p>
    <w:p>
      <w:pPr>
        <w:pStyle w:val="33"/>
        <w:spacing w:line="480" w:lineRule="exact"/>
        <w:rPr>
          <w:rFonts w:ascii="宋体" w:hAnsi="宋体"/>
          <w:szCs w:val="21"/>
        </w:rPr>
      </w:pPr>
      <w:r>
        <w:rPr>
          <w:rFonts w:ascii="宋体" w:hAnsi="宋体"/>
          <w:szCs w:val="21"/>
        </w:rPr>
        <w:t>2</w:t>
      </w:r>
      <w:r>
        <w:rPr>
          <w:rFonts w:hint="eastAsia" w:ascii="宋体" w:hAnsi="宋体"/>
          <w:szCs w:val="21"/>
        </w:rPr>
        <w:t>．不接受投标人的礼品、宴请以及旅游、健身、娱乐等可能影响招投标公正性的活动安排；</w:t>
      </w:r>
    </w:p>
    <w:p>
      <w:pPr>
        <w:pStyle w:val="33"/>
        <w:spacing w:line="480" w:lineRule="exact"/>
        <w:rPr>
          <w:rFonts w:ascii="宋体" w:hAnsi="宋体"/>
          <w:szCs w:val="21"/>
        </w:rPr>
      </w:pPr>
      <w:r>
        <w:rPr>
          <w:rFonts w:ascii="宋体" w:hAnsi="宋体"/>
          <w:szCs w:val="21"/>
        </w:rPr>
        <w:t>3</w:t>
      </w:r>
      <w:r>
        <w:rPr>
          <w:rFonts w:hint="eastAsia" w:ascii="宋体" w:hAnsi="宋体"/>
          <w:szCs w:val="21"/>
        </w:rPr>
        <w:t>．不在招标评标有关工作中以各种形式谋取不正当利益；</w:t>
      </w:r>
    </w:p>
    <w:p>
      <w:pPr>
        <w:pStyle w:val="33"/>
        <w:spacing w:line="480" w:lineRule="exact"/>
        <w:rPr>
          <w:rFonts w:ascii="宋体" w:hAnsi="宋体"/>
          <w:szCs w:val="21"/>
        </w:rPr>
      </w:pPr>
      <w:r>
        <w:rPr>
          <w:rFonts w:ascii="宋体" w:hAnsi="宋体"/>
          <w:szCs w:val="21"/>
        </w:rPr>
        <w:t>4</w:t>
      </w:r>
      <w:r>
        <w:rPr>
          <w:rFonts w:hint="eastAsia" w:ascii="宋体" w:hAnsi="宋体"/>
          <w:szCs w:val="21"/>
        </w:rPr>
        <w:t>．不以知悉或者掌握的内部信息谋取利益；</w:t>
      </w:r>
    </w:p>
    <w:p>
      <w:pPr>
        <w:pStyle w:val="33"/>
        <w:spacing w:line="480" w:lineRule="exact"/>
        <w:rPr>
          <w:rFonts w:ascii="宋体" w:hAnsi="宋体"/>
          <w:szCs w:val="21"/>
        </w:rPr>
      </w:pPr>
      <w:r>
        <w:rPr>
          <w:rFonts w:ascii="宋体" w:hAnsi="宋体"/>
          <w:szCs w:val="21"/>
        </w:rPr>
        <w:t>5</w:t>
      </w:r>
      <w:r>
        <w:rPr>
          <w:rFonts w:hint="eastAsia" w:ascii="宋体" w:hAnsi="宋体"/>
          <w:szCs w:val="21"/>
        </w:rPr>
        <w:t>．严格遵守各项保密制度，不发生失泄密事件，不发生有重大政治影响和重大经济损失责任问题。</w:t>
      </w:r>
    </w:p>
    <w:p>
      <w:pPr>
        <w:pStyle w:val="33"/>
        <w:spacing w:line="480" w:lineRule="exact"/>
        <w:rPr>
          <w:rFonts w:ascii="宋体" w:hAnsi="宋体"/>
          <w:szCs w:val="21"/>
        </w:rPr>
      </w:pPr>
      <w:r>
        <w:rPr>
          <w:rFonts w:hint="eastAsia" w:ascii="宋体" w:hAnsi="宋体"/>
          <w:szCs w:val="21"/>
        </w:rPr>
        <w:t>三、在评标期间接受评标委员会、现场行政监督人员的管理和监督，不擅离职守，服从评标委员会的安排，包括食、宿、行及工作时间、地点等。</w:t>
      </w:r>
    </w:p>
    <w:p>
      <w:pPr>
        <w:pStyle w:val="33"/>
        <w:spacing w:line="480" w:lineRule="exact"/>
        <w:rPr>
          <w:rFonts w:ascii="宋体" w:hAnsi="宋体"/>
          <w:szCs w:val="21"/>
        </w:rPr>
      </w:pPr>
      <w:r>
        <w:rPr>
          <w:rFonts w:hint="eastAsia" w:ascii="宋体" w:hAnsi="宋体"/>
          <w:szCs w:val="21"/>
        </w:rPr>
        <w:t>四、本着对国家、招标人和项目单位负责的精神，尽职尽责、高效准确地完成所承担的工作任务。</w:t>
      </w:r>
    </w:p>
    <w:p>
      <w:pPr>
        <w:pStyle w:val="33"/>
        <w:spacing w:line="480" w:lineRule="exact"/>
        <w:rPr>
          <w:rFonts w:ascii="宋体" w:hAnsi="宋体"/>
          <w:szCs w:val="21"/>
        </w:rPr>
      </w:pPr>
      <w:r>
        <w:rPr>
          <w:rFonts w:hint="eastAsia" w:ascii="宋体" w:hAnsi="宋体"/>
          <w:szCs w:val="21"/>
        </w:rPr>
        <w:t>五、评标会议结束后，不泄露与评标有关的应当保密的任何内容，也不向本单位汇报评标情况。</w:t>
      </w:r>
    </w:p>
    <w:p>
      <w:pPr>
        <w:pStyle w:val="33"/>
        <w:spacing w:line="480" w:lineRule="exact"/>
        <w:rPr>
          <w:rFonts w:ascii="宋体" w:hAnsi="宋体"/>
          <w:szCs w:val="21"/>
        </w:rPr>
      </w:pPr>
      <w:r>
        <w:rPr>
          <w:rFonts w:hint="eastAsia" w:ascii="宋体" w:hAnsi="宋体"/>
          <w:szCs w:val="21"/>
        </w:rPr>
        <w:t>六、严格遵守国家法律、法规及有关规定，严格遵循“公开、公平、公正和诚实信用”原则，严格按照工作程序合法、合规、合理开展各项工作，不发生违法、违规、违反工作纪律的行为。</w:t>
      </w:r>
    </w:p>
    <w:p>
      <w:pPr>
        <w:pStyle w:val="33"/>
        <w:spacing w:line="480" w:lineRule="exact"/>
        <w:rPr>
          <w:rFonts w:ascii="宋体" w:hAnsi="宋体"/>
          <w:szCs w:val="21"/>
        </w:rPr>
      </w:pPr>
      <w:r>
        <w:rPr>
          <w:rFonts w:hint="eastAsia" w:ascii="宋体" w:hAnsi="宋体"/>
          <w:szCs w:val="21"/>
        </w:rPr>
        <w:t>七、若有违反上述承诺行为，将承担相应责任或后果。</w:t>
      </w:r>
    </w:p>
    <w:p>
      <w:pPr>
        <w:pStyle w:val="33"/>
        <w:spacing w:line="480" w:lineRule="exact"/>
        <w:rPr>
          <w:rFonts w:ascii="宋体" w:hAnsi="宋体"/>
          <w:szCs w:val="21"/>
        </w:rPr>
      </w:pPr>
      <w:r>
        <w:rPr>
          <w:rFonts w:hint="eastAsia" w:ascii="宋体" w:hAnsi="宋体"/>
          <w:szCs w:val="21"/>
        </w:rPr>
        <w:t>八、本《承诺书》未尽事宜按国家和省有关法律法规执行。</w:t>
      </w:r>
    </w:p>
    <w:p>
      <w:pPr>
        <w:pStyle w:val="33"/>
        <w:spacing w:line="480" w:lineRule="exact"/>
        <w:rPr>
          <w:szCs w:val="21"/>
        </w:rPr>
      </w:pPr>
      <w:r>
        <w:rPr>
          <w:rFonts w:hint="eastAsia" w:ascii="宋体" w:hAnsi="宋体"/>
          <w:szCs w:val="21"/>
        </w:rPr>
        <w:t>承诺人：                                                 年  月  日</w:t>
      </w:r>
    </w:p>
    <w:p>
      <w:pPr>
        <w:pStyle w:val="33"/>
        <w:spacing w:line="500" w:lineRule="exact"/>
        <w:rPr>
          <w:szCs w:val="21"/>
        </w:rPr>
        <w:sectPr>
          <w:pgSz w:w="11906" w:h="16838"/>
          <w:pgMar w:top="1440" w:right="1800" w:bottom="1440" w:left="1800" w:header="851" w:footer="992" w:gutter="0"/>
          <w:pgNumType w:fmt="numberInDash"/>
          <w:cols w:space="720" w:num="1"/>
          <w:docGrid w:type="linesAndChars" w:linePitch="312" w:charSpace="0"/>
        </w:sectPr>
      </w:pPr>
    </w:p>
    <w:p>
      <w:pPr>
        <w:pStyle w:val="33"/>
      </w:pPr>
    </w:p>
    <w:p>
      <w:pPr>
        <w:pStyle w:val="33"/>
        <w:rPr>
          <w:sz w:val="28"/>
          <w:szCs w:val="28"/>
        </w:rPr>
      </w:pPr>
      <w:r>
        <w:rPr>
          <w:rFonts w:hint="eastAsia"/>
          <w:sz w:val="28"/>
          <w:szCs w:val="28"/>
        </w:rPr>
        <w:t>附表3-3：形式审查记录表</w:t>
      </w:r>
    </w:p>
    <w:p>
      <w:pPr>
        <w:pStyle w:val="33"/>
        <w:jc w:val="center"/>
        <w:rPr>
          <w:b/>
        </w:rPr>
      </w:pPr>
      <w:r>
        <w:rPr>
          <w:rFonts w:hint="eastAsia"/>
          <w:b/>
          <w:sz w:val="32"/>
        </w:rPr>
        <w:t>形式审查记录表</w:t>
      </w:r>
    </w:p>
    <w:p>
      <w:pPr>
        <w:pStyle w:val="33"/>
      </w:pPr>
      <w:r>
        <w:rPr>
          <w:rFonts w:hint="eastAsia"/>
        </w:rPr>
        <w:t>项目名称：</w:t>
      </w:r>
    </w:p>
    <w:tbl>
      <w:tblPr>
        <w:tblStyle w:val="22"/>
        <w:tblW w:w="13232" w:type="dxa"/>
        <w:tblInd w:w="93" w:type="dxa"/>
        <w:tblLayout w:type="fixed"/>
        <w:tblCellMar>
          <w:top w:w="0" w:type="dxa"/>
          <w:left w:w="108" w:type="dxa"/>
          <w:bottom w:w="0" w:type="dxa"/>
          <w:right w:w="108" w:type="dxa"/>
        </w:tblCellMar>
      </w:tblPr>
      <w:tblGrid>
        <w:gridCol w:w="846"/>
        <w:gridCol w:w="2860"/>
        <w:gridCol w:w="1920"/>
        <w:gridCol w:w="1920"/>
        <w:gridCol w:w="1536"/>
        <w:gridCol w:w="1775"/>
        <w:gridCol w:w="1225"/>
        <w:gridCol w:w="1150"/>
      </w:tblGrid>
      <w:tr>
        <w:tblPrEx>
          <w:tblCellMar>
            <w:top w:w="0" w:type="dxa"/>
            <w:left w:w="108" w:type="dxa"/>
            <w:bottom w:w="0" w:type="dxa"/>
            <w:right w:w="108" w:type="dxa"/>
          </w:tblCellMar>
        </w:tblPrEx>
        <w:trPr>
          <w:trHeight w:val="570" w:hRule="atLeast"/>
        </w:trPr>
        <w:tc>
          <w:tcPr>
            <w:tcW w:w="846" w:type="dxa"/>
            <w:vMerge w:val="restart"/>
            <w:tcBorders>
              <w:top w:val="single" w:color="auto" w:sz="4" w:space="0"/>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序号</w:t>
            </w:r>
          </w:p>
        </w:tc>
        <w:tc>
          <w:tcPr>
            <w:tcW w:w="2860" w:type="dxa"/>
            <w:vMerge w:val="restart"/>
            <w:tcBorders>
              <w:top w:val="single" w:color="auto" w:sz="4" w:space="0"/>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投</w:t>
            </w:r>
            <w:r>
              <w:rPr>
                <w:kern w:val="0"/>
              </w:rPr>
              <w:t xml:space="preserve">    </w:t>
            </w:r>
            <w:r>
              <w:rPr>
                <w:rFonts w:hint="eastAsia" w:ascii="宋体" w:hAnsi="宋体" w:cs="宋体"/>
                <w:kern w:val="0"/>
              </w:rPr>
              <w:t>标</w:t>
            </w:r>
            <w:r>
              <w:rPr>
                <w:kern w:val="0"/>
              </w:rPr>
              <w:t xml:space="preserve">    </w:t>
            </w:r>
            <w:r>
              <w:rPr>
                <w:rFonts w:hint="eastAsia" w:ascii="宋体" w:hAnsi="宋体" w:cs="宋体"/>
                <w:kern w:val="0"/>
              </w:rPr>
              <w:t>人</w:t>
            </w:r>
          </w:p>
        </w:tc>
        <w:tc>
          <w:tcPr>
            <w:tcW w:w="8376" w:type="dxa"/>
            <w:gridSpan w:val="5"/>
            <w:tcBorders>
              <w:top w:val="single" w:color="auto" w:sz="4" w:space="0"/>
              <w:left w:val="nil"/>
              <w:bottom w:val="single" w:color="auto" w:sz="4" w:space="0"/>
              <w:right w:val="single" w:color="000000" w:sz="4" w:space="0"/>
            </w:tcBorders>
            <w:noWrap/>
            <w:vAlign w:val="center"/>
          </w:tcPr>
          <w:p>
            <w:pPr>
              <w:pStyle w:val="33"/>
              <w:jc w:val="center"/>
              <w:rPr>
                <w:rFonts w:ascii="宋体" w:hAnsi="宋体" w:cs="宋体"/>
                <w:kern w:val="0"/>
              </w:rPr>
            </w:pPr>
            <w:r>
              <w:rPr>
                <w:rFonts w:hint="eastAsia" w:ascii="宋体" w:hAnsi="宋体" w:cs="宋体"/>
                <w:kern w:val="0"/>
              </w:rPr>
              <w:t>评审因素</w:t>
            </w:r>
          </w:p>
        </w:tc>
        <w:tc>
          <w:tcPr>
            <w:tcW w:w="1150" w:type="dxa"/>
            <w:vMerge w:val="restart"/>
            <w:tcBorders>
              <w:top w:val="single" w:color="auto" w:sz="4" w:space="0"/>
              <w:left w:val="single" w:color="auto" w:sz="4" w:space="0"/>
              <w:bottom w:val="single" w:color="000000" w:sz="4" w:space="0"/>
              <w:right w:val="single" w:color="auto" w:sz="4" w:space="0"/>
            </w:tcBorders>
            <w:vAlign w:val="center"/>
          </w:tcPr>
          <w:p>
            <w:pPr>
              <w:pStyle w:val="33"/>
              <w:rPr>
                <w:rFonts w:ascii="宋体" w:hAnsi="宋体" w:cs="宋体" w:eastAsiaTheme="minorEastAsia"/>
                <w:kern w:val="0"/>
                <w:szCs w:val="24"/>
              </w:rPr>
            </w:pPr>
            <w:r>
              <w:rPr>
                <w:rFonts w:hint="eastAsia" w:ascii="宋体" w:hAnsi="宋体" w:cs="宋体"/>
                <w:kern w:val="0"/>
              </w:rPr>
              <w:t>评标结论</w:t>
            </w:r>
          </w:p>
        </w:tc>
      </w:tr>
      <w:tr>
        <w:tblPrEx>
          <w:tblCellMar>
            <w:top w:w="0" w:type="dxa"/>
            <w:left w:w="108" w:type="dxa"/>
            <w:bottom w:w="0" w:type="dxa"/>
            <w:right w:w="108" w:type="dxa"/>
          </w:tblCellMar>
        </w:tblPrEx>
        <w:trPr>
          <w:trHeight w:val="1320"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33"/>
              <w:rPr>
                <w:rFonts w:ascii="宋体" w:hAnsi="宋体" w:cs="宋体"/>
                <w:kern w:val="0"/>
              </w:rPr>
            </w:pPr>
          </w:p>
        </w:tc>
        <w:tc>
          <w:tcPr>
            <w:tcW w:w="2860" w:type="dxa"/>
            <w:vMerge w:val="continue"/>
            <w:tcBorders>
              <w:top w:val="single" w:color="auto" w:sz="4" w:space="0"/>
              <w:left w:val="single" w:color="auto" w:sz="4" w:space="0"/>
              <w:bottom w:val="single" w:color="auto" w:sz="4" w:space="0"/>
              <w:right w:val="single" w:color="auto" w:sz="4" w:space="0"/>
            </w:tcBorders>
            <w:vAlign w:val="center"/>
          </w:tcPr>
          <w:p>
            <w:pPr>
              <w:pStyle w:val="33"/>
              <w:rPr>
                <w:rFonts w:ascii="宋体" w:hAnsi="宋体" w:cs="宋体"/>
                <w:kern w:val="0"/>
              </w:rPr>
            </w:pPr>
          </w:p>
        </w:tc>
        <w:tc>
          <w:tcPr>
            <w:tcW w:w="1920" w:type="dxa"/>
            <w:tcBorders>
              <w:top w:val="nil"/>
              <w:left w:val="nil"/>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投标人名称</w:t>
            </w:r>
          </w:p>
        </w:tc>
        <w:tc>
          <w:tcPr>
            <w:tcW w:w="1920" w:type="dxa"/>
            <w:tcBorders>
              <w:top w:val="nil"/>
              <w:left w:val="nil"/>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投标函签字盖章</w:t>
            </w:r>
          </w:p>
        </w:tc>
        <w:tc>
          <w:tcPr>
            <w:tcW w:w="1536" w:type="dxa"/>
            <w:tcBorders>
              <w:top w:val="nil"/>
              <w:left w:val="nil"/>
              <w:bottom w:val="single" w:color="auto" w:sz="4" w:space="0"/>
              <w:right w:val="single" w:color="auto" w:sz="4" w:space="0"/>
            </w:tcBorders>
            <w:vAlign w:val="center"/>
          </w:tcPr>
          <w:p>
            <w:pPr>
              <w:pStyle w:val="33"/>
              <w:jc w:val="center"/>
              <w:rPr>
                <w:rFonts w:ascii="宋体" w:hAnsi="宋体" w:cs="宋体"/>
                <w:kern w:val="0"/>
              </w:rPr>
            </w:pPr>
            <w:r>
              <w:rPr>
                <w:rFonts w:hint="eastAsia" w:ascii="宋体" w:hAnsi="宋体" w:cs="宋体"/>
                <w:kern w:val="0"/>
              </w:rPr>
              <w:t>投标文件格式</w:t>
            </w:r>
          </w:p>
        </w:tc>
        <w:tc>
          <w:tcPr>
            <w:tcW w:w="1775" w:type="dxa"/>
            <w:tcBorders>
              <w:top w:val="nil"/>
              <w:left w:val="nil"/>
              <w:bottom w:val="single" w:color="auto" w:sz="4" w:space="0"/>
              <w:right w:val="single" w:color="auto" w:sz="4" w:space="0"/>
            </w:tcBorders>
            <w:vAlign w:val="center"/>
          </w:tcPr>
          <w:p>
            <w:pPr>
              <w:pStyle w:val="33"/>
              <w:jc w:val="center"/>
              <w:rPr>
                <w:rFonts w:ascii="宋体" w:hAnsi="宋体" w:cs="宋体"/>
                <w:kern w:val="0"/>
              </w:rPr>
            </w:pPr>
            <w:r>
              <w:rPr>
                <w:rFonts w:hint="eastAsia" w:ascii="宋体" w:hAnsi="宋体" w:cs="宋体"/>
                <w:kern w:val="0"/>
              </w:rPr>
              <w:t>联合体投标人</w:t>
            </w:r>
          </w:p>
        </w:tc>
        <w:tc>
          <w:tcPr>
            <w:tcW w:w="1225" w:type="dxa"/>
            <w:tcBorders>
              <w:top w:val="nil"/>
              <w:left w:val="nil"/>
              <w:bottom w:val="single" w:color="auto" w:sz="4" w:space="0"/>
              <w:right w:val="single" w:color="auto" w:sz="4" w:space="0"/>
            </w:tcBorders>
            <w:vAlign w:val="center"/>
          </w:tcPr>
          <w:p>
            <w:pPr>
              <w:pStyle w:val="33"/>
              <w:jc w:val="center"/>
              <w:rPr>
                <w:rFonts w:ascii="宋体" w:hAnsi="宋体" w:cs="宋体"/>
                <w:kern w:val="0"/>
              </w:rPr>
            </w:pPr>
            <w:r>
              <w:rPr>
                <w:rFonts w:hint="eastAsia" w:ascii="宋体" w:hAnsi="宋体" w:cs="宋体"/>
                <w:kern w:val="0"/>
              </w:rPr>
              <w:t>报价唯一</w:t>
            </w:r>
          </w:p>
        </w:tc>
        <w:tc>
          <w:tcPr>
            <w:tcW w:w="1150" w:type="dxa"/>
            <w:vMerge w:val="continue"/>
            <w:tcBorders>
              <w:top w:val="single" w:color="auto" w:sz="4" w:space="0"/>
              <w:left w:val="single" w:color="auto" w:sz="4" w:space="0"/>
              <w:bottom w:val="single" w:color="000000" w:sz="4" w:space="0"/>
              <w:right w:val="single" w:color="auto" w:sz="4" w:space="0"/>
            </w:tcBorders>
            <w:vAlign w:val="center"/>
          </w:tcPr>
          <w:p>
            <w:pPr>
              <w:pStyle w:val="33"/>
              <w:rPr>
                <w:rFonts w:ascii="宋体" w:hAnsi="宋体" w:cs="宋体"/>
                <w:kern w:val="0"/>
                <w:sz w:val="22"/>
              </w:rPr>
            </w:pPr>
          </w:p>
        </w:tc>
      </w:tr>
      <w:tr>
        <w:tblPrEx>
          <w:tblCellMar>
            <w:top w:w="0" w:type="dxa"/>
            <w:left w:w="108" w:type="dxa"/>
            <w:bottom w:w="0" w:type="dxa"/>
            <w:right w:w="108" w:type="dxa"/>
          </w:tblCellMar>
        </w:tblPrEx>
        <w:trPr>
          <w:trHeight w:val="675" w:hRule="atLeast"/>
        </w:trPr>
        <w:tc>
          <w:tcPr>
            <w:tcW w:w="846"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1</w:t>
            </w:r>
          </w:p>
        </w:tc>
        <w:tc>
          <w:tcPr>
            <w:tcW w:w="2860" w:type="dxa"/>
            <w:tcBorders>
              <w:top w:val="nil"/>
              <w:left w:val="nil"/>
              <w:bottom w:val="single" w:color="auto" w:sz="4" w:space="0"/>
              <w:right w:val="single" w:color="auto" w:sz="4" w:space="0"/>
            </w:tcBorders>
            <w:vAlign w:val="center"/>
          </w:tcPr>
          <w:p>
            <w:pPr>
              <w:pStyle w:val="33"/>
              <w:rPr>
                <w:rFonts w:ascii="宋体" w:hAnsi="宋体" w:cs="宋体"/>
                <w:kern w:val="0"/>
              </w:rPr>
            </w:pPr>
          </w:p>
        </w:tc>
        <w:tc>
          <w:tcPr>
            <w:tcW w:w="1920"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920"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536"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775"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225"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150"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r>
      <w:tr>
        <w:tblPrEx>
          <w:tblCellMar>
            <w:top w:w="0" w:type="dxa"/>
            <w:left w:w="108" w:type="dxa"/>
            <w:bottom w:w="0" w:type="dxa"/>
            <w:right w:w="108" w:type="dxa"/>
          </w:tblCellMar>
        </w:tblPrEx>
        <w:trPr>
          <w:trHeight w:val="675" w:hRule="atLeast"/>
        </w:trPr>
        <w:tc>
          <w:tcPr>
            <w:tcW w:w="846"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2</w:t>
            </w:r>
          </w:p>
        </w:tc>
        <w:tc>
          <w:tcPr>
            <w:tcW w:w="2860" w:type="dxa"/>
            <w:tcBorders>
              <w:top w:val="nil"/>
              <w:left w:val="nil"/>
              <w:bottom w:val="single" w:color="auto" w:sz="4" w:space="0"/>
              <w:right w:val="single" w:color="auto" w:sz="4" w:space="0"/>
            </w:tcBorders>
            <w:vAlign w:val="center"/>
          </w:tcPr>
          <w:p>
            <w:pPr>
              <w:pStyle w:val="33"/>
              <w:rPr>
                <w:rFonts w:ascii="宋体" w:hAnsi="宋体" w:cs="宋体"/>
                <w:kern w:val="0"/>
              </w:rPr>
            </w:pPr>
          </w:p>
        </w:tc>
        <w:tc>
          <w:tcPr>
            <w:tcW w:w="1920"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920"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536"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775"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225"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150"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r>
      <w:tr>
        <w:tblPrEx>
          <w:tblCellMar>
            <w:top w:w="0" w:type="dxa"/>
            <w:left w:w="108" w:type="dxa"/>
            <w:bottom w:w="0" w:type="dxa"/>
            <w:right w:w="108" w:type="dxa"/>
          </w:tblCellMar>
        </w:tblPrEx>
        <w:trPr>
          <w:trHeight w:val="675" w:hRule="atLeast"/>
        </w:trPr>
        <w:tc>
          <w:tcPr>
            <w:tcW w:w="846"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3</w:t>
            </w:r>
          </w:p>
        </w:tc>
        <w:tc>
          <w:tcPr>
            <w:tcW w:w="2860" w:type="dxa"/>
            <w:tcBorders>
              <w:top w:val="nil"/>
              <w:left w:val="nil"/>
              <w:bottom w:val="single" w:color="auto" w:sz="4" w:space="0"/>
              <w:right w:val="single" w:color="auto" w:sz="4" w:space="0"/>
            </w:tcBorders>
            <w:vAlign w:val="center"/>
          </w:tcPr>
          <w:p>
            <w:pPr>
              <w:pStyle w:val="33"/>
              <w:rPr>
                <w:rFonts w:ascii="宋体" w:hAnsi="宋体" w:cs="宋体"/>
                <w:kern w:val="0"/>
              </w:rPr>
            </w:pPr>
          </w:p>
        </w:tc>
        <w:tc>
          <w:tcPr>
            <w:tcW w:w="1920"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920"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536"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775"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225"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150"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r>
      <w:tr>
        <w:tblPrEx>
          <w:tblCellMar>
            <w:top w:w="0" w:type="dxa"/>
            <w:left w:w="108" w:type="dxa"/>
            <w:bottom w:w="0" w:type="dxa"/>
            <w:right w:w="108" w:type="dxa"/>
          </w:tblCellMar>
        </w:tblPrEx>
        <w:trPr>
          <w:trHeight w:val="675" w:hRule="atLeast"/>
        </w:trPr>
        <w:tc>
          <w:tcPr>
            <w:tcW w:w="846"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4</w:t>
            </w:r>
          </w:p>
        </w:tc>
        <w:tc>
          <w:tcPr>
            <w:tcW w:w="2860" w:type="dxa"/>
            <w:tcBorders>
              <w:top w:val="nil"/>
              <w:left w:val="nil"/>
              <w:bottom w:val="single" w:color="auto" w:sz="4" w:space="0"/>
              <w:right w:val="single" w:color="auto" w:sz="4" w:space="0"/>
            </w:tcBorders>
            <w:vAlign w:val="center"/>
          </w:tcPr>
          <w:p>
            <w:pPr>
              <w:pStyle w:val="33"/>
              <w:rPr>
                <w:rFonts w:ascii="宋体" w:hAnsi="宋体" w:cs="宋体"/>
                <w:kern w:val="0"/>
              </w:rPr>
            </w:pPr>
          </w:p>
        </w:tc>
        <w:tc>
          <w:tcPr>
            <w:tcW w:w="1920"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920"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536"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775"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225"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150"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r>
      <w:tr>
        <w:tblPrEx>
          <w:tblCellMar>
            <w:top w:w="0" w:type="dxa"/>
            <w:left w:w="108" w:type="dxa"/>
            <w:bottom w:w="0" w:type="dxa"/>
            <w:right w:w="108" w:type="dxa"/>
          </w:tblCellMar>
        </w:tblPrEx>
        <w:trPr>
          <w:trHeight w:val="675" w:hRule="atLeast"/>
        </w:trPr>
        <w:tc>
          <w:tcPr>
            <w:tcW w:w="846"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w:t>
            </w:r>
          </w:p>
        </w:tc>
        <w:tc>
          <w:tcPr>
            <w:tcW w:w="2860" w:type="dxa"/>
            <w:tcBorders>
              <w:top w:val="nil"/>
              <w:left w:val="nil"/>
              <w:bottom w:val="single" w:color="auto" w:sz="4" w:space="0"/>
              <w:right w:val="single" w:color="auto" w:sz="4" w:space="0"/>
            </w:tcBorders>
            <w:vAlign w:val="center"/>
          </w:tcPr>
          <w:p>
            <w:pPr>
              <w:pStyle w:val="33"/>
              <w:rPr>
                <w:rFonts w:ascii="宋体" w:hAnsi="宋体" w:cs="宋体"/>
                <w:kern w:val="0"/>
              </w:rPr>
            </w:pPr>
          </w:p>
        </w:tc>
        <w:tc>
          <w:tcPr>
            <w:tcW w:w="1920"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920"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536"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775"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225"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150"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r>
    </w:tbl>
    <w:p>
      <w:pPr>
        <w:pStyle w:val="33"/>
        <w:rPr>
          <w:rFonts w:eastAsia="Calibri"/>
        </w:rPr>
      </w:pPr>
      <w:r>
        <w:rPr>
          <w:rFonts w:hint="eastAsia"/>
        </w:rPr>
        <w:t>备注：评标因素中有一项不合格视为投标人不合格。评审因素内容填写：合格“</w:t>
      </w:r>
      <w:r>
        <w:t>O</w:t>
      </w:r>
      <w:r>
        <w:rPr>
          <w:rFonts w:hint="eastAsia"/>
        </w:rPr>
        <w:t>”，不合格“×”。评标结论内容填写：“合格”或“不合格”。</w:t>
      </w:r>
    </w:p>
    <w:p>
      <w:pPr>
        <w:pStyle w:val="33"/>
        <w:ind w:left="0" w:firstLine="0"/>
      </w:pPr>
      <w:r>
        <w:rPr>
          <w:rFonts w:hint="eastAsia"/>
        </w:rPr>
        <w:t>评标委员会全体成员签字：</w:t>
      </w:r>
      <w:r>
        <w:t xml:space="preserve">                                                                                   </w:t>
      </w:r>
      <w:r>
        <w:rPr>
          <w:rFonts w:hint="eastAsia"/>
        </w:rPr>
        <w:t>年</w:t>
      </w:r>
      <w:r>
        <w:t xml:space="preserve">    </w:t>
      </w:r>
      <w:r>
        <w:rPr>
          <w:rFonts w:hint="eastAsia"/>
        </w:rPr>
        <w:t>月</w:t>
      </w:r>
      <w:r>
        <w:t xml:space="preserve">    </w:t>
      </w:r>
      <w:r>
        <w:rPr>
          <w:rFonts w:hint="eastAsia"/>
        </w:rPr>
        <w:t>日</w:t>
      </w:r>
    </w:p>
    <w:p>
      <w:pPr>
        <w:pStyle w:val="33"/>
      </w:pPr>
      <w:r>
        <w:br w:type="page"/>
      </w:r>
    </w:p>
    <w:p>
      <w:pPr>
        <w:pStyle w:val="33"/>
        <w:rPr>
          <w:sz w:val="28"/>
          <w:szCs w:val="28"/>
        </w:rPr>
      </w:pPr>
      <w:r>
        <w:rPr>
          <w:rFonts w:hint="eastAsia"/>
          <w:sz w:val="28"/>
          <w:szCs w:val="28"/>
        </w:rPr>
        <w:t>附表3-4：资格审查记录表</w:t>
      </w:r>
    </w:p>
    <w:p>
      <w:pPr>
        <w:pStyle w:val="33"/>
        <w:jc w:val="center"/>
        <w:rPr>
          <w:b/>
          <w:sz w:val="40"/>
        </w:rPr>
      </w:pPr>
      <w:r>
        <w:rPr>
          <w:rFonts w:hint="eastAsia"/>
          <w:b/>
          <w:sz w:val="32"/>
        </w:rPr>
        <w:t>资格审查记录表</w:t>
      </w:r>
    </w:p>
    <w:p>
      <w:pPr>
        <w:pStyle w:val="33"/>
      </w:pPr>
      <w:r>
        <w:rPr>
          <w:rFonts w:hint="eastAsia"/>
        </w:rPr>
        <w:t>项目名称：</w:t>
      </w:r>
    </w:p>
    <w:tbl>
      <w:tblPr>
        <w:tblStyle w:val="22"/>
        <w:tblW w:w="13188" w:type="dxa"/>
        <w:tblInd w:w="112" w:type="dxa"/>
        <w:tblLayout w:type="fixed"/>
        <w:tblCellMar>
          <w:top w:w="0" w:type="dxa"/>
          <w:left w:w="108" w:type="dxa"/>
          <w:bottom w:w="0" w:type="dxa"/>
          <w:right w:w="108" w:type="dxa"/>
        </w:tblCellMar>
      </w:tblPr>
      <w:tblGrid>
        <w:gridCol w:w="938"/>
        <w:gridCol w:w="4723"/>
        <w:gridCol w:w="1600"/>
        <w:gridCol w:w="1286"/>
        <w:gridCol w:w="2016"/>
        <w:gridCol w:w="1162"/>
        <w:gridCol w:w="1463"/>
      </w:tblGrid>
      <w:tr>
        <w:tblPrEx>
          <w:tblCellMar>
            <w:top w:w="0" w:type="dxa"/>
            <w:left w:w="108" w:type="dxa"/>
            <w:bottom w:w="0" w:type="dxa"/>
            <w:right w:w="108" w:type="dxa"/>
          </w:tblCellMar>
        </w:tblPrEx>
        <w:trPr>
          <w:trHeight w:val="570" w:hRule="atLeast"/>
        </w:trPr>
        <w:tc>
          <w:tcPr>
            <w:tcW w:w="938" w:type="dxa"/>
            <w:vMerge w:val="restart"/>
            <w:tcBorders>
              <w:top w:val="single" w:color="auto" w:sz="4" w:space="0"/>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序号</w:t>
            </w:r>
          </w:p>
        </w:tc>
        <w:tc>
          <w:tcPr>
            <w:tcW w:w="4723" w:type="dxa"/>
            <w:vMerge w:val="restart"/>
            <w:tcBorders>
              <w:top w:val="single" w:color="auto" w:sz="4" w:space="0"/>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投</w:t>
            </w:r>
            <w:r>
              <w:rPr>
                <w:kern w:val="0"/>
              </w:rPr>
              <w:t xml:space="preserve">    </w:t>
            </w:r>
            <w:r>
              <w:rPr>
                <w:rFonts w:hint="eastAsia" w:ascii="宋体" w:hAnsi="宋体" w:cs="宋体"/>
                <w:kern w:val="0"/>
              </w:rPr>
              <w:t>标</w:t>
            </w:r>
            <w:r>
              <w:rPr>
                <w:kern w:val="0"/>
              </w:rPr>
              <w:t xml:space="preserve">    </w:t>
            </w:r>
            <w:r>
              <w:rPr>
                <w:rFonts w:hint="eastAsia" w:ascii="宋体" w:hAnsi="宋体" w:cs="宋体"/>
                <w:kern w:val="0"/>
              </w:rPr>
              <w:t>人</w:t>
            </w:r>
          </w:p>
        </w:tc>
        <w:tc>
          <w:tcPr>
            <w:tcW w:w="6064" w:type="dxa"/>
            <w:gridSpan w:val="4"/>
            <w:tcBorders>
              <w:top w:val="single" w:color="auto" w:sz="4" w:space="0"/>
              <w:left w:val="nil"/>
              <w:bottom w:val="single" w:color="auto" w:sz="4" w:space="0"/>
              <w:right w:val="single" w:color="000000" w:sz="4" w:space="0"/>
            </w:tcBorders>
            <w:noWrap/>
            <w:vAlign w:val="center"/>
          </w:tcPr>
          <w:p>
            <w:pPr>
              <w:pStyle w:val="33"/>
              <w:jc w:val="center"/>
              <w:rPr>
                <w:rFonts w:ascii="宋体" w:hAnsi="宋体" w:cs="宋体"/>
                <w:kern w:val="0"/>
              </w:rPr>
            </w:pPr>
            <w:r>
              <w:rPr>
                <w:rFonts w:hint="eastAsia" w:ascii="宋体" w:hAnsi="宋体" w:cs="宋体"/>
                <w:kern w:val="0"/>
              </w:rPr>
              <w:t>评审因素</w:t>
            </w:r>
          </w:p>
        </w:tc>
        <w:tc>
          <w:tcPr>
            <w:tcW w:w="1463" w:type="dxa"/>
            <w:vMerge w:val="restart"/>
            <w:tcBorders>
              <w:top w:val="single" w:color="auto" w:sz="4" w:space="0"/>
              <w:left w:val="single" w:color="auto" w:sz="4" w:space="0"/>
              <w:bottom w:val="single" w:color="000000" w:sz="4" w:space="0"/>
              <w:right w:val="single" w:color="auto" w:sz="4" w:space="0"/>
            </w:tcBorders>
            <w:vAlign w:val="center"/>
          </w:tcPr>
          <w:p>
            <w:pPr>
              <w:pStyle w:val="33"/>
              <w:jc w:val="center"/>
              <w:rPr>
                <w:rFonts w:ascii="宋体" w:hAnsi="宋体" w:cs="宋体"/>
                <w:kern w:val="0"/>
              </w:rPr>
            </w:pPr>
            <w:r>
              <w:rPr>
                <w:rFonts w:hint="eastAsia" w:ascii="宋体" w:hAnsi="宋体" w:cs="宋体"/>
                <w:kern w:val="0"/>
              </w:rPr>
              <w:t>评标结论</w:t>
            </w:r>
          </w:p>
        </w:tc>
      </w:tr>
      <w:tr>
        <w:tblPrEx>
          <w:tblCellMar>
            <w:top w:w="0" w:type="dxa"/>
            <w:left w:w="108" w:type="dxa"/>
            <w:bottom w:w="0" w:type="dxa"/>
            <w:right w:w="108" w:type="dxa"/>
          </w:tblCellMar>
        </w:tblPrEx>
        <w:trPr>
          <w:trHeight w:val="1320" w:hRule="atLeast"/>
        </w:trPr>
        <w:tc>
          <w:tcPr>
            <w:tcW w:w="938" w:type="dxa"/>
            <w:vMerge w:val="continue"/>
            <w:tcBorders>
              <w:top w:val="single" w:color="auto" w:sz="4" w:space="0"/>
              <w:left w:val="single" w:color="auto" w:sz="4" w:space="0"/>
              <w:bottom w:val="single" w:color="auto" w:sz="4" w:space="0"/>
              <w:right w:val="single" w:color="auto" w:sz="4" w:space="0"/>
            </w:tcBorders>
            <w:vAlign w:val="center"/>
          </w:tcPr>
          <w:p>
            <w:pPr>
              <w:pStyle w:val="33"/>
              <w:rPr>
                <w:rFonts w:ascii="宋体" w:hAnsi="宋体" w:cs="宋体"/>
                <w:kern w:val="0"/>
                <w:sz w:val="22"/>
              </w:rPr>
            </w:pPr>
          </w:p>
        </w:tc>
        <w:tc>
          <w:tcPr>
            <w:tcW w:w="4723" w:type="dxa"/>
            <w:vMerge w:val="continue"/>
            <w:tcBorders>
              <w:top w:val="single" w:color="auto" w:sz="4" w:space="0"/>
              <w:left w:val="single" w:color="auto" w:sz="4" w:space="0"/>
              <w:bottom w:val="single" w:color="auto" w:sz="4" w:space="0"/>
              <w:right w:val="single" w:color="auto" w:sz="4" w:space="0"/>
            </w:tcBorders>
            <w:vAlign w:val="center"/>
          </w:tcPr>
          <w:p>
            <w:pPr>
              <w:pStyle w:val="33"/>
              <w:rPr>
                <w:rFonts w:ascii="宋体" w:hAnsi="宋体" w:cs="宋体"/>
                <w:kern w:val="0"/>
                <w:sz w:val="22"/>
              </w:rPr>
            </w:pPr>
          </w:p>
        </w:tc>
        <w:tc>
          <w:tcPr>
            <w:tcW w:w="1600" w:type="dxa"/>
            <w:tcBorders>
              <w:top w:val="nil"/>
              <w:left w:val="nil"/>
              <w:bottom w:val="single" w:color="auto" w:sz="4" w:space="0"/>
              <w:right w:val="single" w:color="auto" w:sz="4" w:space="0"/>
            </w:tcBorders>
            <w:vAlign w:val="center"/>
          </w:tcPr>
          <w:p>
            <w:pPr>
              <w:pStyle w:val="33"/>
              <w:jc w:val="center"/>
              <w:rPr>
                <w:rFonts w:ascii="宋体" w:hAnsi="宋体" w:cs="宋体"/>
                <w:kern w:val="0"/>
              </w:rPr>
            </w:pPr>
            <w:r>
              <w:rPr>
                <w:rFonts w:hint="eastAsia" w:ascii="宋体" w:hAnsi="宋体" w:cs="宋体"/>
                <w:kern w:val="0"/>
              </w:rPr>
              <w:t>营业执照或</w:t>
            </w:r>
          </w:p>
          <w:p>
            <w:pPr>
              <w:pStyle w:val="33"/>
              <w:jc w:val="center"/>
              <w:rPr>
                <w:rFonts w:ascii="宋体" w:hAnsi="宋体" w:cs="宋体"/>
                <w:kern w:val="0"/>
              </w:rPr>
            </w:pPr>
            <w:r>
              <w:rPr>
                <w:rFonts w:hint="eastAsia" w:ascii="宋体" w:hAnsi="宋体" w:cs="宋体"/>
                <w:kern w:val="0"/>
              </w:rPr>
              <w:t>事业单位</w:t>
            </w:r>
          </w:p>
        </w:tc>
        <w:tc>
          <w:tcPr>
            <w:tcW w:w="1286" w:type="dxa"/>
            <w:tcBorders>
              <w:top w:val="nil"/>
              <w:left w:val="nil"/>
              <w:bottom w:val="single" w:color="auto" w:sz="4" w:space="0"/>
              <w:right w:val="single" w:color="auto" w:sz="4" w:space="0"/>
            </w:tcBorders>
            <w:vAlign w:val="center"/>
          </w:tcPr>
          <w:p>
            <w:pPr>
              <w:pStyle w:val="33"/>
              <w:jc w:val="center"/>
              <w:rPr>
                <w:rFonts w:ascii="宋体" w:hAnsi="宋体" w:cs="宋体"/>
                <w:kern w:val="0"/>
              </w:rPr>
            </w:pPr>
            <w:r>
              <w:rPr>
                <w:rFonts w:hint="eastAsia" w:ascii="宋体" w:hAnsi="宋体" w:cs="宋体"/>
                <w:kern w:val="0"/>
              </w:rPr>
              <w:t>资格能力</w:t>
            </w:r>
          </w:p>
        </w:tc>
        <w:tc>
          <w:tcPr>
            <w:tcW w:w="2016" w:type="dxa"/>
            <w:tcBorders>
              <w:top w:val="nil"/>
              <w:left w:val="nil"/>
              <w:bottom w:val="single" w:color="auto" w:sz="4" w:space="0"/>
              <w:right w:val="single" w:color="auto" w:sz="4" w:space="0"/>
            </w:tcBorders>
            <w:vAlign w:val="center"/>
          </w:tcPr>
          <w:p>
            <w:pPr>
              <w:pStyle w:val="33"/>
              <w:ind w:left="0" w:firstLine="0"/>
              <w:jc w:val="center"/>
              <w:rPr>
                <w:rFonts w:ascii="宋体" w:hAnsi="宋体" w:cs="宋体"/>
                <w:kern w:val="0"/>
              </w:rPr>
            </w:pPr>
            <w:r>
              <w:rPr>
                <w:rFonts w:hint="eastAsia" w:ascii="宋体" w:hAnsi="宋体" w:cs="宋体"/>
                <w:kern w:val="0"/>
              </w:rPr>
              <w:t>拟派代建项目经理及专业负责人</w:t>
            </w:r>
          </w:p>
        </w:tc>
        <w:tc>
          <w:tcPr>
            <w:tcW w:w="1162" w:type="dxa"/>
            <w:tcBorders>
              <w:top w:val="nil"/>
              <w:left w:val="nil"/>
              <w:bottom w:val="single" w:color="auto" w:sz="4" w:space="0"/>
              <w:right w:val="single" w:color="auto" w:sz="4" w:space="0"/>
            </w:tcBorders>
            <w:vAlign w:val="center"/>
          </w:tcPr>
          <w:p>
            <w:pPr>
              <w:pStyle w:val="33"/>
              <w:jc w:val="center"/>
              <w:rPr>
                <w:rFonts w:ascii="宋体" w:hAnsi="宋体" w:cs="宋体"/>
                <w:kern w:val="0"/>
              </w:rPr>
            </w:pPr>
            <w:r>
              <w:rPr>
                <w:rFonts w:hint="eastAsia" w:ascii="宋体" w:hAnsi="宋体" w:cs="宋体"/>
                <w:kern w:val="0"/>
              </w:rPr>
              <w:t>其他要求</w:t>
            </w:r>
          </w:p>
        </w:tc>
        <w:tc>
          <w:tcPr>
            <w:tcW w:w="1463" w:type="dxa"/>
            <w:vMerge w:val="continue"/>
            <w:tcBorders>
              <w:top w:val="single" w:color="auto" w:sz="4" w:space="0"/>
              <w:left w:val="single" w:color="auto" w:sz="4" w:space="0"/>
              <w:bottom w:val="single" w:color="000000" w:sz="4" w:space="0"/>
              <w:right w:val="single" w:color="auto" w:sz="4" w:space="0"/>
            </w:tcBorders>
            <w:vAlign w:val="center"/>
          </w:tcPr>
          <w:p>
            <w:pPr>
              <w:pStyle w:val="33"/>
              <w:rPr>
                <w:rFonts w:ascii="宋体" w:hAnsi="宋体" w:cs="宋体"/>
                <w:kern w:val="0"/>
                <w:sz w:val="22"/>
              </w:rPr>
            </w:pPr>
          </w:p>
        </w:tc>
      </w:tr>
      <w:tr>
        <w:tblPrEx>
          <w:tblCellMar>
            <w:top w:w="0" w:type="dxa"/>
            <w:left w:w="108" w:type="dxa"/>
            <w:bottom w:w="0" w:type="dxa"/>
            <w:right w:w="108" w:type="dxa"/>
          </w:tblCellMar>
        </w:tblPrEx>
        <w:trPr>
          <w:trHeight w:val="675" w:hRule="atLeast"/>
        </w:trPr>
        <w:tc>
          <w:tcPr>
            <w:tcW w:w="938"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sz w:val="22"/>
              </w:rPr>
            </w:pPr>
            <w:r>
              <w:rPr>
                <w:rFonts w:hint="eastAsia" w:ascii="宋体" w:hAnsi="宋体" w:cs="宋体"/>
                <w:kern w:val="0"/>
                <w:sz w:val="22"/>
              </w:rPr>
              <w:t>1</w:t>
            </w:r>
          </w:p>
        </w:tc>
        <w:tc>
          <w:tcPr>
            <w:tcW w:w="4723" w:type="dxa"/>
            <w:tcBorders>
              <w:top w:val="nil"/>
              <w:left w:val="nil"/>
              <w:bottom w:val="single" w:color="auto" w:sz="4" w:space="0"/>
              <w:right w:val="single" w:color="auto" w:sz="4" w:space="0"/>
            </w:tcBorders>
            <w:vAlign w:val="center"/>
          </w:tcPr>
          <w:p>
            <w:pPr>
              <w:pStyle w:val="33"/>
              <w:rPr>
                <w:rFonts w:ascii="宋体" w:hAnsi="宋体" w:cs="宋体"/>
                <w:kern w:val="0"/>
                <w:sz w:val="22"/>
              </w:rPr>
            </w:pPr>
          </w:p>
        </w:tc>
        <w:tc>
          <w:tcPr>
            <w:tcW w:w="1600" w:type="dxa"/>
            <w:tcBorders>
              <w:top w:val="nil"/>
              <w:left w:val="nil"/>
              <w:bottom w:val="single" w:color="auto" w:sz="4" w:space="0"/>
              <w:right w:val="single" w:color="auto" w:sz="4" w:space="0"/>
            </w:tcBorders>
            <w:vAlign w:val="center"/>
          </w:tcPr>
          <w:p>
            <w:pPr>
              <w:pStyle w:val="33"/>
              <w:rPr>
                <w:rFonts w:ascii="宋体" w:hAnsi="宋体" w:cs="宋体"/>
                <w:kern w:val="0"/>
                <w:sz w:val="22"/>
              </w:rPr>
            </w:pPr>
          </w:p>
        </w:tc>
        <w:tc>
          <w:tcPr>
            <w:tcW w:w="1286" w:type="dxa"/>
            <w:tcBorders>
              <w:top w:val="nil"/>
              <w:left w:val="nil"/>
              <w:bottom w:val="single" w:color="auto" w:sz="4" w:space="0"/>
              <w:right w:val="single" w:color="auto" w:sz="4" w:space="0"/>
            </w:tcBorders>
            <w:noWrap/>
            <w:vAlign w:val="center"/>
          </w:tcPr>
          <w:p>
            <w:pPr>
              <w:pStyle w:val="33"/>
              <w:rPr>
                <w:rFonts w:ascii="宋体" w:hAnsi="宋体" w:cs="宋体"/>
                <w:b/>
                <w:bCs/>
                <w:kern w:val="0"/>
                <w:sz w:val="22"/>
              </w:rPr>
            </w:pPr>
          </w:p>
        </w:tc>
        <w:tc>
          <w:tcPr>
            <w:tcW w:w="2016" w:type="dxa"/>
            <w:tcBorders>
              <w:top w:val="nil"/>
              <w:left w:val="nil"/>
              <w:bottom w:val="single" w:color="auto" w:sz="4" w:space="0"/>
              <w:right w:val="single" w:color="auto" w:sz="4" w:space="0"/>
            </w:tcBorders>
            <w:noWrap/>
            <w:vAlign w:val="center"/>
          </w:tcPr>
          <w:p>
            <w:pPr>
              <w:pStyle w:val="33"/>
              <w:rPr>
                <w:rFonts w:ascii="宋体" w:hAnsi="宋体" w:cs="宋体"/>
                <w:b/>
                <w:bCs/>
                <w:kern w:val="0"/>
                <w:sz w:val="22"/>
              </w:rPr>
            </w:pPr>
          </w:p>
        </w:tc>
        <w:tc>
          <w:tcPr>
            <w:tcW w:w="1162" w:type="dxa"/>
            <w:tcBorders>
              <w:top w:val="nil"/>
              <w:left w:val="nil"/>
              <w:bottom w:val="single" w:color="auto" w:sz="4" w:space="0"/>
              <w:right w:val="single" w:color="auto" w:sz="4" w:space="0"/>
            </w:tcBorders>
            <w:noWrap/>
            <w:vAlign w:val="center"/>
          </w:tcPr>
          <w:p>
            <w:pPr>
              <w:pStyle w:val="33"/>
              <w:rPr>
                <w:rFonts w:ascii="宋体" w:hAnsi="宋体" w:cs="宋体"/>
                <w:b/>
                <w:bCs/>
                <w:kern w:val="0"/>
                <w:sz w:val="22"/>
              </w:rPr>
            </w:pPr>
          </w:p>
        </w:tc>
        <w:tc>
          <w:tcPr>
            <w:tcW w:w="1463" w:type="dxa"/>
            <w:tcBorders>
              <w:top w:val="nil"/>
              <w:left w:val="nil"/>
              <w:bottom w:val="single" w:color="auto" w:sz="4" w:space="0"/>
              <w:right w:val="single" w:color="auto" w:sz="4" w:space="0"/>
            </w:tcBorders>
            <w:noWrap/>
            <w:vAlign w:val="center"/>
          </w:tcPr>
          <w:p>
            <w:pPr>
              <w:pStyle w:val="33"/>
              <w:rPr>
                <w:rFonts w:ascii="宋体" w:hAnsi="宋体" w:cs="宋体"/>
                <w:b/>
                <w:bCs/>
                <w:kern w:val="0"/>
                <w:sz w:val="22"/>
              </w:rPr>
            </w:pPr>
          </w:p>
        </w:tc>
      </w:tr>
      <w:tr>
        <w:tblPrEx>
          <w:tblCellMar>
            <w:top w:w="0" w:type="dxa"/>
            <w:left w:w="108" w:type="dxa"/>
            <w:bottom w:w="0" w:type="dxa"/>
            <w:right w:w="108" w:type="dxa"/>
          </w:tblCellMar>
        </w:tblPrEx>
        <w:trPr>
          <w:trHeight w:val="675" w:hRule="atLeast"/>
        </w:trPr>
        <w:tc>
          <w:tcPr>
            <w:tcW w:w="938"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sz w:val="22"/>
              </w:rPr>
            </w:pPr>
            <w:r>
              <w:rPr>
                <w:rFonts w:hint="eastAsia" w:ascii="宋体" w:hAnsi="宋体" w:cs="宋体"/>
                <w:kern w:val="0"/>
                <w:sz w:val="22"/>
              </w:rPr>
              <w:t>2</w:t>
            </w:r>
          </w:p>
        </w:tc>
        <w:tc>
          <w:tcPr>
            <w:tcW w:w="4723" w:type="dxa"/>
            <w:tcBorders>
              <w:top w:val="nil"/>
              <w:left w:val="nil"/>
              <w:bottom w:val="single" w:color="auto" w:sz="4" w:space="0"/>
              <w:right w:val="single" w:color="auto" w:sz="4" w:space="0"/>
            </w:tcBorders>
            <w:vAlign w:val="center"/>
          </w:tcPr>
          <w:p>
            <w:pPr>
              <w:pStyle w:val="33"/>
              <w:rPr>
                <w:rFonts w:ascii="宋体" w:hAnsi="宋体" w:cs="宋体"/>
                <w:kern w:val="0"/>
                <w:sz w:val="22"/>
              </w:rPr>
            </w:pPr>
          </w:p>
        </w:tc>
        <w:tc>
          <w:tcPr>
            <w:tcW w:w="1600" w:type="dxa"/>
            <w:tcBorders>
              <w:top w:val="nil"/>
              <w:left w:val="nil"/>
              <w:bottom w:val="single" w:color="auto" w:sz="4" w:space="0"/>
              <w:right w:val="single" w:color="auto" w:sz="4" w:space="0"/>
            </w:tcBorders>
            <w:vAlign w:val="center"/>
          </w:tcPr>
          <w:p>
            <w:pPr>
              <w:pStyle w:val="33"/>
              <w:rPr>
                <w:rFonts w:ascii="宋体" w:hAnsi="宋体" w:cs="宋体"/>
                <w:kern w:val="0"/>
                <w:sz w:val="22"/>
              </w:rPr>
            </w:pPr>
          </w:p>
        </w:tc>
        <w:tc>
          <w:tcPr>
            <w:tcW w:w="1286" w:type="dxa"/>
            <w:tcBorders>
              <w:top w:val="nil"/>
              <w:left w:val="nil"/>
              <w:bottom w:val="single" w:color="auto" w:sz="4" w:space="0"/>
              <w:right w:val="single" w:color="auto" w:sz="4" w:space="0"/>
            </w:tcBorders>
            <w:noWrap/>
            <w:vAlign w:val="center"/>
          </w:tcPr>
          <w:p>
            <w:pPr>
              <w:pStyle w:val="33"/>
              <w:rPr>
                <w:rFonts w:ascii="宋体" w:hAnsi="宋体" w:cs="宋体"/>
                <w:b/>
                <w:bCs/>
                <w:kern w:val="0"/>
                <w:sz w:val="22"/>
              </w:rPr>
            </w:pPr>
          </w:p>
        </w:tc>
        <w:tc>
          <w:tcPr>
            <w:tcW w:w="2016" w:type="dxa"/>
            <w:tcBorders>
              <w:top w:val="nil"/>
              <w:left w:val="nil"/>
              <w:bottom w:val="single" w:color="auto" w:sz="4" w:space="0"/>
              <w:right w:val="single" w:color="auto" w:sz="4" w:space="0"/>
            </w:tcBorders>
            <w:noWrap/>
            <w:vAlign w:val="center"/>
          </w:tcPr>
          <w:p>
            <w:pPr>
              <w:pStyle w:val="33"/>
              <w:rPr>
                <w:rFonts w:ascii="宋体" w:hAnsi="宋体" w:cs="宋体"/>
                <w:b/>
                <w:bCs/>
                <w:kern w:val="0"/>
                <w:sz w:val="22"/>
              </w:rPr>
            </w:pPr>
          </w:p>
        </w:tc>
        <w:tc>
          <w:tcPr>
            <w:tcW w:w="1162" w:type="dxa"/>
            <w:tcBorders>
              <w:top w:val="nil"/>
              <w:left w:val="nil"/>
              <w:bottom w:val="single" w:color="auto" w:sz="4" w:space="0"/>
              <w:right w:val="single" w:color="auto" w:sz="4" w:space="0"/>
            </w:tcBorders>
            <w:noWrap/>
            <w:vAlign w:val="center"/>
          </w:tcPr>
          <w:p>
            <w:pPr>
              <w:pStyle w:val="33"/>
              <w:rPr>
                <w:rFonts w:ascii="宋体" w:hAnsi="宋体" w:cs="宋体"/>
                <w:b/>
                <w:bCs/>
                <w:kern w:val="0"/>
                <w:sz w:val="22"/>
              </w:rPr>
            </w:pPr>
          </w:p>
        </w:tc>
        <w:tc>
          <w:tcPr>
            <w:tcW w:w="1463" w:type="dxa"/>
            <w:tcBorders>
              <w:top w:val="nil"/>
              <w:left w:val="nil"/>
              <w:bottom w:val="single" w:color="auto" w:sz="4" w:space="0"/>
              <w:right w:val="single" w:color="auto" w:sz="4" w:space="0"/>
            </w:tcBorders>
            <w:noWrap/>
            <w:vAlign w:val="center"/>
          </w:tcPr>
          <w:p>
            <w:pPr>
              <w:pStyle w:val="33"/>
              <w:rPr>
                <w:rFonts w:ascii="宋体" w:hAnsi="宋体" w:cs="宋体"/>
                <w:b/>
                <w:bCs/>
                <w:kern w:val="0"/>
                <w:sz w:val="22"/>
              </w:rPr>
            </w:pPr>
          </w:p>
        </w:tc>
      </w:tr>
      <w:tr>
        <w:tblPrEx>
          <w:tblCellMar>
            <w:top w:w="0" w:type="dxa"/>
            <w:left w:w="108" w:type="dxa"/>
            <w:bottom w:w="0" w:type="dxa"/>
            <w:right w:w="108" w:type="dxa"/>
          </w:tblCellMar>
        </w:tblPrEx>
        <w:trPr>
          <w:trHeight w:val="675" w:hRule="atLeast"/>
        </w:trPr>
        <w:tc>
          <w:tcPr>
            <w:tcW w:w="938"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sz w:val="22"/>
              </w:rPr>
            </w:pPr>
            <w:r>
              <w:rPr>
                <w:rFonts w:hint="eastAsia" w:ascii="宋体" w:hAnsi="宋体" w:cs="宋体"/>
                <w:kern w:val="0"/>
                <w:sz w:val="22"/>
              </w:rPr>
              <w:t>3</w:t>
            </w:r>
          </w:p>
        </w:tc>
        <w:tc>
          <w:tcPr>
            <w:tcW w:w="4723" w:type="dxa"/>
            <w:tcBorders>
              <w:top w:val="nil"/>
              <w:left w:val="nil"/>
              <w:bottom w:val="single" w:color="auto" w:sz="4" w:space="0"/>
              <w:right w:val="single" w:color="auto" w:sz="4" w:space="0"/>
            </w:tcBorders>
            <w:vAlign w:val="center"/>
          </w:tcPr>
          <w:p>
            <w:pPr>
              <w:pStyle w:val="33"/>
              <w:rPr>
                <w:rFonts w:ascii="宋体" w:hAnsi="宋体" w:cs="宋体"/>
                <w:kern w:val="0"/>
                <w:sz w:val="22"/>
              </w:rPr>
            </w:pPr>
          </w:p>
        </w:tc>
        <w:tc>
          <w:tcPr>
            <w:tcW w:w="1600" w:type="dxa"/>
            <w:tcBorders>
              <w:top w:val="nil"/>
              <w:left w:val="nil"/>
              <w:bottom w:val="single" w:color="auto" w:sz="4" w:space="0"/>
              <w:right w:val="single" w:color="auto" w:sz="4" w:space="0"/>
            </w:tcBorders>
            <w:vAlign w:val="center"/>
          </w:tcPr>
          <w:p>
            <w:pPr>
              <w:pStyle w:val="33"/>
              <w:rPr>
                <w:rFonts w:ascii="宋体" w:hAnsi="宋体" w:cs="宋体"/>
                <w:kern w:val="0"/>
                <w:sz w:val="22"/>
              </w:rPr>
            </w:pPr>
          </w:p>
        </w:tc>
        <w:tc>
          <w:tcPr>
            <w:tcW w:w="1286" w:type="dxa"/>
            <w:tcBorders>
              <w:top w:val="nil"/>
              <w:left w:val="nil"/>
              <w:bottom w:val="single" w:color="auto" w:sz="4" w:space="0"/>
              <w:right w:val="single" w:color="auto" w:sz="4" w:space="0"/>
            </w:tcBorders>
            <w:noWrap/>
            <w:vAlign w:val="center"/>
          </w:tcPr>
          <w:p>
            <w:pPr>
              <w:pStyle w:val="33"/>
              <w:rPr>
                <w:rFonts w:ascii="宋体" w:hAnsi="宋体" w:cs="宋体"/>
                <w:b/>
                <w:bCs/>
                <w:kern w:val="0"/>
                <w:sz w:val="22"/>
              </w:rPr>
            </w:pPr>
          </w:p>
        </w:tc>
        <w:tc>
          <w:tcPr>
            <w:tcW w:w="2016" w:type="dxa"/>
            <w:tcBorders>
              <w:top w:val="nil"/>
              <w:left w:val="nil"/>
              <w:bottom w:val="single" w:color="auto" w:sz="4" w:space="0"/>
              <w:right w:val="single" w:color="auto" w:sz="4" w:space="0"/>
            </w:tcBorders>
            <w:noWrap/>
            <w:vAlign w:val="center"/>
          </w:tcPr>
          <w:p>
            <w:pPr>
              <w:pStyle w:val="33"/>
              <w:rPr>
                <w:rFonts w:ascii="宋体" w:hAnsi="宋体" w:cs="宋体"/>
                <w:b/>
                <w:bCs/>
                <w:kern w:val="0"/>
                <w:sz w:val="22"/>
              </w:rPr>
            </w:pPr>
          </w:p>
        </w:tc>
        <w:tc>
          <w:tcPr>
            <w:tcW w:w="1162" w:type="dxa"/>
            <w:tcBorders>
              <w:top w:val="nil"/>
              <w:left w:val="nil"/>
              <w:bottom w:val="single" w:color="auto" w:sz="4" w:space="0"/>
              <w:right w:val="single" w:color="auto" w:sz="4" w:space="0"/>
            </w:tcBorders>
            <w:noWrap/>
            <w:vAlign w:val="center"/>
          </w:tcPr>
          <w:p>
            <w:pPr>
              <w:pStyle w:val="33"/>
              <w:rPr>
                <w:rFonts w:ascii="宋体" w:hAnsi="宋体" w:cs="宋体"/>
                <w:b/>
                <w:bCs/>
                <w:kern w:val="0"/>
                <w:sz w:val="22"/>
              </w:rPr>
            </w:pPr>
          </w:p>
        </w:tc>
        <w:tc>
          <w:tcPr>
            <w:tcW w:w="1463" w:type="dxa"/>
            <w:tcBorders>
              <w:top w:val="nil"/>
              <w:left w:val="nil"/>
              <w:bottom w:val="single" w:color="auto" w:sz="4" w:space="0"/>
              <w:right w:val="single" w:color="auto" w:sz="4" w:space="0"/>
            </w:tcBorders>
            <w:noWrap/>
            <w:vAlign w:val="center"/>
          </w:tcPr>
          <w:p>
            <w:pPr>
              <w:pStyle w:val="33"/>
              <w:rPr>
                <w:rFonts w:ascii="宋体" w:hAnsi="宋体" w:cs="宋体"/>
                <w:b/>
                <w:bCs/>
                <w:kern w:val="0"/>
                <w:sz w:val="22"/>
              </w:rPr>
            </w:pPr>
          </w:p>
        </w:tc>
      </w:tr>
      <w:tr>
        <w:tblPrEx>
          <w:tblCellMar>
            <w:top w:w="0" w:type="dxa"/>
            <w:left w:w="108" w:type="dxa"/>
            <w:bottom w:w="0" w:type="dxa"/>
            <w:right w:w="108" w:type="dxa"/>
          </w:tblCellMar>
        </w:tblPrEx>
        <w:trPr>
          <w:trHeight w:val="675" w:hRule="atLeast"/>
        </w:trPr>
        <w:tc>
          <w:tcPr>
            <w:tcW w:w="938"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sz w:val="22"/>
              </w:rPr>
            </w:pPr>
            <w:r>
              <w:rPr>
                <w:rFonts w:hint="eastAsia" w:ascii="宋体" w:hAnsi="宋体" w:cs="宋体"/>
                <w:kern w:val="0"/>
                <w:sz w:val="22"/>
              </w:rPr>
              <w:t>4</w:t>
            </w:r>
          </w:p>
        </w:tc>
        <w:tc>
          <w:tcPr>
            <w:tcW w:w="4723" w:type="dxa"/>
            <w:tcBorders>
              <w:top w:val="nil"/>
              <w:left w:val="nil"/>
              <w:bottom w:val="single" w:color="auto" w:sz="4" w:space="0"/>
              <w:right w:val="single" w:color="auto" w:sz="4" w:space="0"/>
            </w:tcBorders>
            <w:vAlign w:val="center"/>
          </w:tcPr>
          <w:p>
            <w:pPr>
              <w:pStyle w:val="33"/>
              <w:rPr>
                <w:rFonts w:ascii="宋体" w:hAnsi="宋体" w:cs="宋体"/>
                <w:kern w:val="0"/>
                <w:sz w:val="22"/>
              </w:rPr>
            </w:pPr>
          </w:p>
        </w:tc>
        <w:tc>
          <w:tcPr>
            <w:tcW w:w="1600" w:type="dxa"/>
            <w:tcBorders>
              <w:top w:val="nil"/>
              <w:left w:val="nil"/>
              <w:bottom w:val="single" w:color="auto" w:sz="4" w:space="0"/>
              <w:right w:val="single" w:color="auto" w:sz="4" w:space="0"/>
            </w:tcBorders>
            <w:vAlign w:val="center"/>
          </w:tcPr>
          <w:p>
            <w:pPr>
              <w:pStyle w:val="33"/>
              <w:rPr>
                <w:rFonts w:ascii="宋体" w:hAnsi="宋体" w:cs="宋体"/>
                <w:kern w:val="0"/>
                <w:sz w:val="22"/>
              </w:rPr>
            </w:pPr>
          </w:p>
        </w:tc>
        <w:tc>
          <w:tcPr>
            <w:tcW w:w="1286" w:type="dxa"/>
            <w:tcBorders>
              <w:top w:val="nil"/>
              <w:left w:val="nil"/>
              <w:bottom w:val="single" w:color="auto" w:sz="4" w:space="0"/>
              <w:right w:val="single" w:color="auto" w:sz="4" w:space="0"/>
            </w:tcBorders>
            <w:noWrap/>
            <w:vAlign w:val="center"/>
          </w:tcPr>
          <w:p>
            <w:pPr>
              <w:pStyle w:val="33"/>
              <w:rPr>
                <w:rFonts w:ascii="宋体" w:hAnsi="宋体" w:cs="宋体"/>
                <w:b/>
                <w:bCs/>
                <w:kern w:val="0"/>
                <w:sz w:val="22"/>
              </w:rPr>
            </w:pPr>
          </w:p>
        </w:tc>
        <w:tc>
          <w:tcPr>
            <w:tcW w:w="2016" w:type="dxa"/>
            <w:tcBorders>
              <w:top w:val="nil"/>
              <w:left w:val="nil"/>
              <w:bottom w:val="single" w:color="auto" w:sz="4" w:space="0"/>
              <w:right w:val="single" w:color="auto" w:sz="4" w:space="0"/>
            </w:tcBorders>
            <w:noWrap/>
            <w:vAlign w:val="center"/>
          </w:tcPr>
          <w:p>
            <w:pPr>
              <w:pStyle w:val="33"/>
              <w:rPr>
                <w:rFonts w:ascii="宋体" w:hAnsi="宋体" w:cs="宋体"/>
                <w:b/>
                <w:bCs/>
                <w:kern w:val="0"/>
                <w:sz w:val="22"/>
              </w:rPr>
            </w:pPr>
          </w:p>
        </w:tc>
        <w:tc>
          <w:tcPr>
            <w:tcW w:w="1162" w:type="dxa"/>
            <w:tcBorders>
              <w:top w:val="nil"/>
              <w:left w:val="nil"/>
              <w:bottom w:val="single" w:color="auto" w:sz="4" w:space="0"/>
              <w:right w:val="single" w:color="auto" w:sz="4" w:space="0"/>
            </w:tcBorders>
            <w:noWrap/>
            <w:vAlign w:val="center"/>
          </w:tcPr>
          <w:p>
            <w:pPr>
              <w:pStyle w:val="33"/>
              <w:rPr>
                <w:rFonts w:ascii="宋体" w:hAnsi="宋体" w:cs="宋体"/>
                <w:b/>
                <w:bCs/>
                <w:kern w:val="0"/>
                <w:sz w:val="22"/>
              </w:rPr>
            </w:pPr>
          </w:p>
        </w:tc>
        <w:tc>
          <w:tcPr>
            <w:tcW w:w="1463" w:type="dxa"/>
            <w:tcBorders>
              <w:top w:val="nil"/>
              <w:left w:val="nil"/>
              <w:bottom w:val="single" w:color="auto" w:sz="4" w:space="0"/>
              <w:right w:val="single" w:color="auto" w:sz="4" w:space="0"/>
            </w:tcBorders>
            <w:noWrap/>
            <w:vAlign w:val="center"/>
          </w:tcPr>
          <w:p>
            <w:pPr>
              <w:pStyle w:val="33"/>
              <w:rPr>
                <w:rFonts w:ascii="宋体" w:hAnsi="宋体" w:cs="宋体"/>
                <w:b/>
                <w:bCs/>
                <w:kern w:val="0"/>
                <w:sz w:val="22"/>
              </w:rPr>
            </w:pPr>
          </w:p>
        </w:tc>
      </w:tr>
      <w:tr>
        <w:tblPrEx>
          <w:tblCellMar>
            <w:top w:w="0" w:type="dxa"/>
            <w:left w:w="108" w:type="dxa"/>
            <w:bottom w:w="0" w:type="dxa"/>
            <w:right w:w="108" w:type="dxa"/>
          </w:tblCellMar>
        </w:tblPrEx>
        <w:trPr>
          <w:trHeight w:val="675" w:hRule="atLeast"/>
        </w:trPr>
        <w:tc>
          <w:tcPr>
            <w:tcW w:w="938"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sz w:val="22"/>
              </w:rPr>
            </w:pPr>
            <w:r>
              <w:rPr>
                <w:rFonts w:hint="eastAsia" w:ascii="宋体" w:hAnsi="宋体" w:cs="宋体"/>
                <w:kern w:val="0"/>
              </w:rPr>
              <w:t>…</w:t>
            </w:r>
          </w:p>
        </w:tc>
        <w:tc>
          <w:tcPr>
            <w:tcW w:w="4723" w:type="dxa"/>
            <w:tcBorders>
              <w:top w:val="nil"/>
              <w:left w:val="nil"/>
              <w:bottom w:val="single" w:color="auto" w:sz="4" w:space="0"/>
              <w:right w:val="single" w:color="auto" w:sz="4" w:space="0"/>
            </w:tcBorders>
            <w:vAlign w:val="center"/>
          </w:tcPr>
          <w:p>
            <w:pPr>
              <w:pStyle w:val="33"/>
              <w:rPr>
                <w:rFonts w:ascii="宋体" w:hAnsi="宋体" w:cs="宋体"/>
                <w:kern w:val="0"/>
                <w:sz w:val="22"/>
              </w:rPr>
            </w:pPr>
          </w:p>
        </w:tc>
        <w:tc>
          <w:tcPr>
            <w:tcW w:w="1600" w:type="dxa"/>
            <w:tcBorders>
              <w:top w:val="nil"/>
              <w:left w:val="nil"/>
              <w:bottom w:val="single" w:color="auto" w:sz="4" w:space="0"/>
              <w:right w:val="single" w:color="auto" w:sz="4" w:space="0"/>
            </w:tcBorders>
            <w:vAlign w:val="center"/>
          </w:tcPr>
          <w:p>
            <w:pPr>
              <w:pStyle w:val="33"/>
              <w:rPr>
                <w:rFonts w:ascii="宋体" w:hAnsi="宋体" w:cs="宋体"/>
                <w:kern w:val="0"/>
                <w:sz w:val="22"/>
              </w:rPr>
            </w:pPr>
          </w:p>
        </w:tc>
        <w:tc>
          <w:tcPr>
            <w:tcW w:w="1286" w:type="dxa"/>
            <w:tcBorders>
              <w:top w:val="nil"/>
              <w:left w:val="nil"/>
              <w:bottom w:val="single" w:color="auto" w:sz="4" w:space="0"/>
              <w:right w:val="single" w:color="auto" w:sz="4" w:space="0"/>
            </w:tcBorders>
            <w:noWrap/>
            <w:vAlign w:val="center"/>
          </w:tcPr>
          <w:p>
            <w:pPr>
              <w:pStyle w:val="33"/>
              <w:rPr>
                <w:rFonts w:ascii="宋体" w:hAnsi="宋体" w:cs="宋体"/>
                <w:b/>
                <w:bCs/>
                <w:kern w:val="0"/>
                <w:sz w:val="22"/>
              </w:rPr>
            </w:pPr>
          </w:p>
        </w:tc>
        <w:tc>
          <w:tcPr>
            <w:tcW w:w="2016" w:type="dxa"/>
            <w:tcBorders>
              <w:top w:val="nil"/>
              <w:left w:val="nil"/>
              <w:bottom w:val="single" w:color="auto" w:sz="4" w:space="0"/>
              <w:right w:val="single" w:color="auto" w:sz="4" w:space="0"/>
            </w:tcBorders>
            <w:noWrap/>
            <w:vAlign w:val="center"/>
          </w:tcPr>
          <w:p>
            <w:pPr>
              <w:pStyle w:val="33"/>
              <w:rPr>
                <w:rFonts w:ascii="宋体" w:hAnsi="宋体" w:cs="宋体"/>
                <w:b/>
                <w:bCs/>
                <w:kern w:val="0"/>
                <w:sz w:val="22"/>
              </w:rPr>
            </w:pPr>
          </w:p>
        </w:tc>
        <w:tc>
          <w:tcPr>
            <w:tcW w:w="1162" w:type="dxa"/>
            <w:tcBorders>
              <w:top w:val="nil"/>
              <w:left w:val="nil"/>
              <w:bottom w:val="single" w:color="auto" w:sz="4" w:space="0"/>
              <w:right w:val="single" w:color="auto" w:sz="4" w:space="0"/>
            </w:tcBorders>
            <w:noWrap/>
            <w:vAlign w:val="center"/>
          </w:tcPr>
          <w:p>
            <w:pPr>
              <w:pStyle w:val="33"/>
              <w:rPr>
                <w:rFonts w:ascii="宋体" w:hAnsi="宋体" w:cs="宋体"/>
                <w:b/>
                <w:bCs/>
                <w:kern w:val="0"/>
                <w:sz w:val="22"/>
              </w:rPr>
            </w:pPr>
          </w:p>
        </w:tc>
        <w:tc>
          <w:tcPr>
            <w:tcW w:w="1463" w:type="dxa"/>
            <w:tcBorders>
              <w:top w:val="nil"/>
              <w:left w:val="nil"/>
              <w:bottom w:val="single" w:color="auto" w:sz="4" w:space="0"/>
              <w:right w:val="single" w:color="auto" w:sz="4" w:space="0"/>
            </w:tcBorders>
            <w:noWrap/>
            <w:vAlign w:val="center"/>
          </w:tcPr>
          <w:p>
            <w:pPr>
              <w:pStyle w:val="33"/>
              <w:rPr>
                <w:rFonts w:ascii="宋体" w:hAnsi="宋体" w:cs="宋体"/>
                <w:b/>
                <w:bCs/>
                <w:kern w:val="0"/>
                <w:sz w:val="22"/>
              </w:rPr>
            </w:pPr>
          </w:p>
        </w:tc>
      </w:tr>
    </w:tbl>
    <w:p>
      <w:pPr>
        <w:pStyle w:val="33"/>
        <w:ind w:left="0" w:firstLine="0"/>
      </w:pPr>
      <w:r>
        <w:rPr>
          <w:rFonts w:hint="eastAsia"/>
          <w:szCs w:val="21"/>
        </w:rPr>
        <w:t>备注： 1、评标因素中有一项不合格视为投标人不合格。</w:t>
      </w:r>
      <w:r>
        <w:rPr>
          <w:rFonts w:hint="eastAsia"/>
        </w:rPr>
        <w:t>评审因素内容填写：合格“</w:t>
      </w:r>
      <w:r>
        <w:t>O</w:t>
      </w:r>
      <w:r>
        <w:rPr>
          <w:rFonts w:hint="eastAsia"/>
        </w:rPr>
        <w:t>”，不合格“×”。评标结论内容填写：“合格”或“不合格”。</w:t>
      </w:r>
    </w:p>
    <w:p>
      <w:pPr>
        <w:pStyle w:val="33"/>
      </w:pPr>
      <w:r>
        <w:rPr>
          <w:rFonts w:hint="eastAsia"/>
        </w:rPr>
        <w:t>评标委员会全体成员签字：                                                                              年    月    日</w:t>
      </w:r>
    </w:p>
    <w:p>
      <w:pPr>
        <w:pStyle w:val="33"/>
      </w:pPr>
    </w:p>
    <w:p>
      <w:pPr>
        <w:pStyle w:val="33"/>
      </w:pPr>
      <w:r>
        <w:br w:type="page"/>
      </w:r>
    </w:p>
    <w:p>
      <w:pPr>
        <w:pStyle w:val="33"/>
        <w:rPr>
          <w:sz w:val="28"/>
          <w:szCs w:val="28"/>
        </w:rPr>
      </w:pPr>
      <w:r>
        <w:rPr>
          <w:rFonts w:hint="eastAsia"/>
          <w:sz w:val="28"/>
          <w:szCs w:val="28"/>
        </w:rPr>
        <w:t>附表3-5：响应性审查记录表</w:t>
      </w:r>
    </w:p>
    <w:p>
      <w:pPr>
        <w:pStyle w:val="33"/>
        <w:jc w:val="center"/>
        <w:rPr>
          <w:b/>
          <w:sz w:val="32"/>
          <w:szCs w:val="32"/>
        </w:rPr>
      </w:pPr>
      <w:r>
        <w:rPr>
          <w:rFonts w:hint="eastAsia"/>
          <w:b/>
          <w:sz w:val="32"/>
          <w:szCs w:val="32"/>
        </w:rPr>
        <w:t>响应性审查记录表</w:t>
      </w:r>
    </w:p>
    <w:p>
      <w:pPr>
        <w:pStyle w:val="33"/>
      </w:pPr>
      <w:r>
        <w:rPr>
          <w:rFonts w:hint="eastAsia"/>
        </w:rPr>
        <w:t>项目名称：</w:t>
      </w:r>
    </w:p>
    <w:tbl>
      <w:tblPr>
        <w:tblStyle w:val="22"/>
        <w:tblW w:w="13269" w:type="dxa"/>
        <w:tblInd w:w="93" w:type="dxa"/>
        <w:tblLayout w:type="fixed"/>
        <w:tblCellMar>
          <w:top w:w="0" w:type="dxa"/>
          <w:left w:w="108" w:type="dxa"/>
          <w:bottom w:w="0" w:type="dxa"/>
          <w:right w:w="108" w:type="dxa"/>
        </w:tblCellMar>
      </w:tblPr>
      <w:tblGrid>
        <w:gridCol w:w="779"/>
        <w:gridCol w:w="1174"/>
        <w:gridCol w:w="1100"/>
        <w:gridCol w:w="1112"/>
        <w:gridCol w:w="1200"/>
        <w:gridCol w:w="1113"/>
        <w:gridCol w:w="1212"/>
        <w:gridCol w:w="1050"/>
        <w:gridCol w:w="1138"/>
        <w:gridCol w:w="1150"/>
        <w:gridCol w:w="1100"/>
        <w:gridCol w:w="1141"/>
      </w:tblGrid>
      <w:tr>
        <w:tblPrEx>
          <w:tblCellMar>
            <w:top w:w="0" w:type="dxa"/>
            <w:left w:w="108" w:type="dxa"/>
            <w:bottom w:w="0" w:type="dxa"/>
            <w:right w:w="108" w:type="dxa"/>
          </w:tblCellMar>
        </w:tblPrEx>
        <w:trPr>
          <w:trHeight w:val="832" w:hRule="atLeast"/>
        </w:trPr>
        <w:tc>
          <w:tcPr>
            <w:tcW w:w="779" w:type="dxa"/>
            <w:vMerge w:val="restart"/>
            <w:tcBorders>
              <w:top w:val="single" w:color="auto" w:sz="4" w:space="0"/>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序号</w:t>
            </w:r>
          </w:p>
        </w:tc>
        <w:tc>
          <w:tcPr>
            <w:tcW w:w="1174" w:type="dxa"/>
            <w:vMerge w:val="restart"/>
            <w:tcBorders>
              <w:top w:val="single" w:color="auto" w:sz="4" w:space="0"/>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投标人</w:t>
            </w:r>
          </w:p>
        </w:tc>
        <w:tc>
          <w:tcPr>
            <w:tcW w:w="10175" w:type="dxa"/>
            <w:gridSpan w:val="9"/>
            <w:tcBorders>
              <w:top w:val="single" w:color="auto" w:sz="4" w:space="0"/>
              <w:left w:val="nil"/>
              <w:bottom w:val="single" w:color="auto" w:sz="4" w:space="0"/>
              <w:right w:val="single" w:color="000000" w:sz="4" w:space="0"/>
            </w:tcBorders>
            <w:noWrap/>
            <w:vAlign w:val="center"/>
          </w:tcPr>
          <w:p>
            <w:pPr>
              <w:pStyle w:val="33"/>
              <w:jc w:val="center"/>
              <w:rPr>
                <w:rFonts w:ascii="宋体" w:hAnsi="宋体" w:cs="宋体"/>
                <w:kern w:val="0"/>
              </w:rPr>
            </w:pPr>
            <w:r>
              <w:rPr>
                <w:rFonts w:hint="eastAsia" w:ascii="宋体" w:hAnsi="宋体" w:cs="宋体"/>
                <w:kern w:val="0"/>
              </w:rPr>
              <w:t>评审因素</w:t>
            </w:r>
          </w:p>
        </w:tc>
        <w:tc>
          <w:tcPr>
            <w:tcW w:w="1141" w:type="dxa"/>
            <w:vMerge w:val="restart"/>
            <w:tcBorders>
              <w:top w:val="single" w:color="auto" w:sz="4" w:space="0"/>
              <w:left w:val="single" w:color="auto" w:sz="4" w:space="0"/>
              <w:bottom w:val="single" w:color="000000" w:sz="4" w:space="0"/>
              <w:right w:val="single" w:color="auto" w:sz="4" w:space="0"/>
            </w:tcBorders>
            <w:vAlign w:val="center"/>
          </w:tcPr>
          <w:p>
            <w:pPr>
              <w:pStyle w:val="33"/>
              <w:rPr>
                <w:rFonts w:ascii="宋体" w:hAnsi="宋体" w:cs="宋体" w:eastAsiaTheme="minorEastAsia"/>
                <w:kern w:val="0"/>
                <w:szCs w:val="24"/>
              </w:rPr>
            </w:pPr>
            <w:r>
              <w:rPr>
                <w:rFonts w:hint="eastAsia" w:ascii="宋体" w:hAnsi="宋体" w:cs="宋体"/>
                <w:kern w:val="0"/>
              </w:rPr>
              <w:t>评标结论</w:t>
            </w:r>
          </w:p>
        </w:tc>
      </w:tr>
      <w:tr>
        <w:tblPrEx>
          <w:tblCellMar>
            <w:top w:w="0" w:type="dxa"/>
            <w:left w:w="108" w:type="dxa"/>
            <w:bottom w:w="0" w:type="dxa"/>
            <w:right w:w="108" w:type="dxa"/>
          </w:tblCellMar>
        </w:tblPrEx>
        <w:trPr>
          <w:trHeight w:val="969" w:hRule="atLeast"/>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pStyle w:val="33"/>
              <w:jc w:val="center"/>
              <w:rPr>
                <w:rFonts w:ascii="宋体" w:hAnsi="宋体" w:cs="宋体"/>
                <w:kern w:val="0"/>
              </w:rPr>
            </w:pPr>
          </w:p>
        </w:tc>
        <w:tc>
          <w:tcPr>
            <w:tcW w:w="1174" w:type="dxa"/>
            <w:vMerge w:val="continue"/>
            <w:tcBorders>
              <w:top w:val="single" w:color="auto" w:sz="4" w:space="0"/>
              <w:left w:val="single" w:color="auto" w:sz="4" w:space="0"/>
              <w:bottom w:val="single" w:color="auto" w:sz="4" w:space="0"/>
              <w:right w:val="single" w:color="auto" w:sz="4" w:space="0"/>
            </w:tcBorders>
            <w:vAlign w:val="center"/>
          </w:tcPr>
          <w:p>
            <w:pPr>
              <w:pStyle w:val="33"/>
              <w:jc w:val="center"/>
              <w:rPr>
                <w:rFonts w:ascii="宋体" w:hAnsi="宋体" w:cs="宋体"/>
                <w:kern w:val="0"/>
              </w:rPr>
            </w:pPr>
          </w:p>
        </w:tc>
        <w:tc>
          <w:tcPr>
            <w:tcW w:w="1100" w:type="dxa"/>
            <w:tcBorders>
              <w:top w:val="nil"/>
              <w:left w:val="nil"/>
              <w:bottom w:val="single" w:color="auto" w:sz="4" w:space="0"/>
              <w:right w:val="single" w:color="auto" w:sz="4" w:space="0"/>
            </w:tcBorders>
            <w:vAlign w:val="center"/>
          </w:tcPr>
          <w:p>
            <w:pPr>
              <w:pStyle w:val="33"/>
              <w:ind w:left="0" w:firstLine="0"/>
              <w:jc w:val="center"/>
              <w:rPr>
                <w:rFonts w:ascii="宋体" w:hAnsi="宋体" w:cs="宋体"/>
                <w:kern w:val="0"/>
              </w:rPr>
            </w:pPr>
            <w:r>
              <w:rPr>
                <w:rFonts w:hint="eastAsia" w:ascii="宋体" w:hAnsi="宋体" w:cs="宋体"/>
                <w:kern w:val="0"/>
              </w:rPr>
              <w:t>投标报价</w:t>
            </w:r>
          </w:p>
        </w:tc>
        <w:tc>
          <w:tcPr>
            <w:tcW w:w="1112" w:type="dxa"/>
            <w:tcBorders>
              <w:top w:val="nil"/>
              <w:left w:val="nil"/>
              <w:bottom w:val="single" w:color="auto" w:sz="4" w:space="0"/>
              <w:right w:val="single" w:color="auto" w:sz="4" w:space="0"/>
            </w:tcBorders>
            <w:vAlign w:val="center"/>
          </w:tcPr>
          <w:p>
            <w:pPr>
              <w:pStyle w:val="33"/>
              <w:ind w:left="0" w:firstLine="0"/>
              <w:jc w:val="center"/>
              <w:rPr>
                <w:rFonts w:ascii="宋体" w:hAnsi="宋体" w:cs="宋体"/>
                <w:kern w:val="0"/>
              </w:rPr>
            </w:pPr>
            <w:r>
              <w:rPr>
                <w:rFonts w:hint="eastAsia" w:ascii="宋体" w:hAnsi="宋体" w:cs="宋体"/>
                <w:kern w:val="0"/>
              </w:rPr>
              <w:t>投标内容</w:t>
            </w:r>
          </w:p>
        </w:tc>
        <w:tc>
          <w:tcPr>
            <w:tcW w:w="1200" w:type="dxa"/>
            <w:tcBorders>
              <w:top w:val="nil"/>
              <w:left w:val="nil"/>
              <w:bottom w:val="single" w:color="auto" w:sz="4" w:space="0"/>
              <w:right w:val="single" w:color="auto" w:sz="4" w:space="0"/>
            </w:tcBorders>
            <w:vAlign w:val="center"/>
          </w:tcPr>
          <w:p>
            <w:pPr>
              <w:pStyle w:val="33"/>
              <w:ind w:left="0" w:firstLine="0"/>
              <w:jc w:val="center"/>
              <w:rPr>
                <w:rFonts w:ascii="宋体" w:hAnsi="宋体" w:cs="宋体"/>
                <w:kern w:val="0"/>
              </w:rPr>
            </w:pPr>
            <w:r>
              <w:rPr>
                <w:rFonts w:hint="eastAsia" w:ascii="宋体" w:hAnsi="宋体" w:cs="宋体"/>
                <w:kern w:val="0"/>
              </w:rPr>
              <w:t>服务周期</w:t>
            </w:r>
          </w:p>
        </w:tc>
        <w:tc>
          <w:tcPr>
            <w:tcW w:w="1113" w:type="dxa"/>
            <w:tcBorders>
              <w:top w:val="nil"/>
              <w:left w:val="nil"/>
              <w:bottom w:val="single" w:color="auto" w:sz="4" w:space="0"/>
              <w:right w:val="single" w:color="auto" w:sz="4" w:space="0"/>
            </w:tcBorders>
            <w:vAlign w:val="center"/>
          </w:tcPr>
          <w:p>
            <w:pPr>
              <w:pStyle w:val="33"/>
              <w:ind w:left="0" w:firstLine="0"/>
              <w:jc w:val="center"/>
              <w:rPr>
                <w:rFonts w:ascii="宋体" w:hAnsi="宋体" w:cs="宋体"/>
                <w:kern w:val="0"/>
              </w:rPr>
            </w:pPr>
            <w:r>
              <w:rPr>
                <w:rFonts w:hint="eastAsia" w:ascii="宋体" w:hAnsi="宋体" w:cs="宋体"/>
                <w:kern w:val="0"/>
              </w:rPr>
              <w:t>质量标准</w:t>
            </w:r>
          </w:p>
        </w:tc>
        <w:tc>
          <w:tcPr>
            <w:tcW w:w="1212" w:type="dxa"/>
            <w:tcBorders>
              <w:top w:val="nil"/>
              <w:left w:val="nil"/>
              <w:bottom w:val="single" w:color="auto" w:sz="4" w:space="0"/>
              <w:right w:val="single" w:color="auto" w:sz="4" w:space="0"/>
            </w:tcBorders>
            <w:vAlign w:val="center"/>
          </w:tcPr>
          <w:p>
            <w:pPr>
              <w:pStyle w:val="33"/>
              <w:ind w:left="0" w:firstLine="0"/>
              <w:jc w:val="center"/>
              <w:rPr>
                <w:rFonts w:ascii="宋体" w:hAnsi="宋体" w:cs="宋体"/>
                <w:kern w:val="0"/>
              </w:rPr>
            </w:pPr>
            <w:r>
              <w:rPr>
                <w:rFonts w:hint="eastAsia" w:ascii="宋体" w:hAnsi="宋体" w:cs="宋体"/>
                <w:kern w:val="0"/>
              </w:rPr>
              <w:t>投标有</w:t>
            </w:r>
          </w:p>
          <w:p>
            <w:pPr>
              <w:pStyle w:val="33"/>
              <w:ind w:left="0" w:firstLine="0"/>
              <w:jc w:val="center"/>
              <w:rPr>
                <w:rFonts w:ascii="宋体" w:hAnsi="宋体" w:cs="宋体"/>
                <w:kern w:val="0"/>
              </w:rPr>
            </w:pPr>
            <w:r>
              <w:rPr>
                <w:rFonts w:hint="eastAsia" w:ascii="宋体" w:hAnsi="宋体" w:cs="宋体"/>
                <w:kern w:val="0"/>
              </w:rPr>
              <w:t>效期</w:t>
            </w:r>
          </w:p>
        </w:tc>
        <w:tc>
          <w:tcPr>
            <w:tcW w:w="1050" w:type="dxa"/>
            <w:tcBorders>
              <w:top w:val="nil"/>
              <w:left w:val="nil"/>
              <w:bottom w:val="single" w:color="auto" w:sz="4" w:space="0"/>
              <w:right w:val="single" w:color="auto" w:sz="4" w:space="0"/>
            </w:tcBorders>
            <w:vAlign w:val="center"/>
          </w:tcPr>
          <w:p>
            <w:pPr>
              <w:pStyle w:val="33"/>
              <w:ind w:left="0" w:firstLine="0"/>
              <w:jc w:val="center"/>
              <w:rPr>
                <w:rFonts w:ascii="宋体" w:hAnsi="宋体" w:cs="宋体"/>
                <w:kern w:val="0"/>
              </w:rPr>
            </w:pPr>
            <w:r>
              <w:rPr>
                <w:rFonts w:hint="eastAsia" w:ascii="宋体" w:hAnsi="宋体" w:cs="宋体"/>
                <w:kern w:val="0"/>
              </w:rPr>
              <w:t>投标保证金</w:t>
            </w:r>
          </w:p>
        </w:tc>
        <w:tc>
          <w:tcPr>
            <w:tcW w:w="1138" w:type="dxa"/>
            <w:tcBorders>
              <w:top w:val="nil"/>
              <w:left w:val="nil"/>
              <w:bottom w:val="single" w:color="auto" w:sz="4" w:space="0"/>
              <w:right w:val="single" w:color="auto" w:sz="4" w:space="0"/>
            </w:tcBorders>
            <w:vAlign w:val="center"/>
          </w:tcPr>
          <w:p>
            <w:pPr>
              <w:pStyle w:val="33"/>
              <w:ind w:left="0" w:firstLine="0"/>
              <w:jc w:val="center"/>
              <w:rPr>
                <w:rFonts w:ascii="宋体" w:hAnsi="宋体" w:cs="宋体"/>
                <w:kern w:val="0"/>
              </w:rPr>
            </w:pPr>
            <w:r>
              <w:rPr>
                <w:rFonts w:hint="eastAsia" w:ascii="宋体" w:hAnsi="宋体" w:cs="宋体"/>
                <w:kern w:val="0"/>
              </w:rPr>
              <w:t>项目管理团队</w:t>
            </w:r>
          </w:p>
        </w:tc>
        <w:tc>
          <w:tcPr>
            <w:tcW w:w="1150" w:type="dxa"/>
            <w:tcBorders>
              <w:top w:val="nil"/>
              <w:left w:val="nil"/>
              <w:bottom w:val="single" w:color="auto" w:sz="4" w:space="0"/>
              <w:right w:val="single" w:color="auto" w:sz="4" w:space="0"/>
            </w:tcBorders>
            <w:vAlign w:val="center"/>
          </w:tcPr>
          <w:p>
            <w:pPr>
              <w:pStyle w:val="33"/>
              <w:ind w:left="0" w:firstLine="0"/>
              <w:jc w:val="center"/>
              <w:rPr>
                <w:rFonts w:ascii="宋体" w:hAnsi="宋体" w:cs="宋体"/>
                <w:kern w:val="0"/>
              </w:rPr>
            </w:pPr>
            <w:r>
              <w:rPr>
                <w:rFonts w:hint="eastAsia" w:ascii="宋体" w:hAnsi="宋体" w:cs="宋体"/>
                <w:kern w:val="0"/>
              </w:rPr>
              <w:t>权利义务</w:t>
            </w:r>
          </w:p>
        </w:tc>
        <w:tc>
          <w:tcPr>
            <w:tcW w:w="1100" w:type="dxa"/>
            <w:tcBorders>
              <w:top w:val="nil"/>
              <w:left w:val="nil"/>
              <w:bottom w:val="single" w:color="auto" w:sz="4" w:space="0"/>
              <w:right w:val="single" w:color="auto" w:sz="4" w:space="0"/>
            </w:tcBorders>
            <w:vAlign w:val="center"/>
          </w:tcPr>
          <w:p>
            <w:pPr>
              <w:pStyle w:val="33"/>
              <w:ind w:left="0" w:firstLine="0"/>
              <w:jc w:val="center"/>
              <w:rPr>
                <w:rFonts w:ascii="宋体" w:hAnsi="宋体" w:cs="宋体"/>
                <w:kern w:val="0"/>
              </w:rPr>
            </w:pPr>
            <w:r>
              <w:rPr>
                <w:rFonts w:hint="eastAsia" w:ascii="宋体" w:hAnsi="宋体" w:cs="宋体"/>
                <w:kern w:val="0"/>
              </w:rPr>
              <w:t>技术要求</w:t>
            </w:r>
          </w:p>
        </w:tc>
        <w:tc>
          <w:tcPr>
            <w:tcW w:w="1141" w:type="dxa"/>
            <w:vMerge w:val="continue"/>
            <w:tcBorders>
              <w:top w:val="single" w:color="auto" w:sz="4" w:space="0"/>
              <w:left w:val="single" w:color="auto" w:sz="4" w:space="0"/>
              <w:bottom w:val="single" w:color="000000" w:sz="4" w:space="0"/>
              <w:right w:val="single" w:color="auto" w:sz="4" w:space="0"/>
            </w:tcBorders>
            <w:vAlign w:val="center"/>
          </w:tcPr>
          <w:p>
            <w:pPr>
              <w:pStyle w:val="33"/>
              <w:jc w:val="center"/>
              <w:rPr>
                <w:rFonts w:ascii="宋体" w:hAnsi="宋体" w:cs="宋体"/>
                <w:kern w:val="0"/>
                <w:sz w:val="22"/>
              </w:rPr>
            </w:pPr>
          </w:p>
        </w:tc>
      </w:tr>
      <w:tr>
        <w:tblPrEx>
          <w:tblCellMar>
            <w:top w:w="0" w:type="dxa"/>
            <w:left w:w="108" w:type="dxa"/>
            <w:bottom w:w="0" w:type="dxa"/>
            <w:right w:w="108" w:type="dxa"/>
          </w:tblCellMar>
        </w:tblPrEx>
        <w:trPr>
          <w:trHeight w:val="675" w:hRule="atLeast"/>
        </w:trPr>
        <w:tc>
          <w:tcPr>
            <w:tcW w:w="779"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1</w:t>
            </w:r>
          </w:p>
        </w:tc>
        <w:tc>
          <w:tcPr>
            <w:tcW w:w="1174" w:type="dxa"/>
            <w:tcBorders>
              <w:top w:val="nil"/>
              <w:left w:val="nil"/>
              <w:bottom w:val="single" w:color="auto" w:sz="4" w:space="0"/>
              <w:right w:val="single" w:color="auto" w:sz="4" w:space="0"/>
            </w:tcBorders>
            <w:vAlign w:val="center"/>
          </w:tcPr>
          <w:p>
            <w:pPr>
              <w:pStyle w:val="33"/>
              <w:rPr>
                <w:rFonts w:ascii="宋体" w:hAnsi="宋体" w:cs="宋体"/>
                <w:kern w:val="0"/>
              </w:rPr>
            </w:pPr>
          </w:p>
        </w:tc>
        <w:tc>
          <w:tcPr>
            <w:tcW w:w="1100"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112"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200"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113"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212"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050"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138"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p>
        </w:tc>
        <w:tc>
          <w:tcPr>
            <w:tcW w:w="1150"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100"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141"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r>
      <w:tr>
        <w:tblPrEx>
          <w:tblCellMar>
            <w:top w:w="0" w:type="dxa"/>
            <w:left w:w="108" w:type="dxa"/>
            <w:bottom w:w="0" w:type="dxa"/>
            <w:right w:w="108" w:type="dxa"/>
          </w:tblCellMar>
        </w:tblPrEx>
        <w:trPr>
          <w:trHeight w:val="675" w:hRule="atLeast"/>
        </w:trPr>
        <w:tc>
          <w:tcPr>
            <w:tcW w:w="779"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2</w:t>
            </w:r>
          </w:p>
        </w:tc>
        <w:tc>
          <w:tcPr>
            <w:tcW w:w="1174"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100"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112"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200"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113"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212"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050"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138"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p>
        </w:tc>
        <w:tc>
          <w:tcPr>
            <w:tcW w:w="1150"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100"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141"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r>
      <w:tr>
        <w:tblPrEx>
          <w:tblCellMar>
            <w:top w:w="0" w:type="dxa"/>
            <w:left w:w="108" w:type="dxa"/>
            <w:bottom w:w="0" w:type="dxa"/>
            <w:right w:w="108" w:type="dxa"/>
          </w:tblCellMar>
        </w:tblPrEx>
        <w:trPr>
          <w:trHeight w:val="675" w:hRule="atLeast"/>
        </w:trPr>
        <w:tc>
          <w:tcPr>
            <w:tcW w:w="779"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3</w:t>
            </w:r>
          </w:p>
        </w:tc>
        <w:tc>
          <w:tcPr>
            <w:tcW w:w="1174"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100"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112"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200"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113"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212"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050"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138"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p>
        </w:tc>
        <w:tc>
          <w:tcPr>
            <w:tcW w:w="1150"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100"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141"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r>
      <w:tr>
        <w:tblPrEx>
          <w:tblCellMar>
            <w:top w:w="0" w:type="dxa"/>
            <w:left w:w="108" w:type="dxa"/>
            <w:bottom w:w="0" w:type="dxa"/>
            <w:right w:w="108" w:type="dxa"/>
          </w:tblCellMar>
        </w:tblPrEx>
        <w:trPr>
          <w:trHeight w:val="675" w:hRule="atLeast"/>
        </w:trPr>
        <w:tc>
          <w:tcPr>
            <w:tcW w:w="779"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4</w:t>
            </w:r>
          </w:p>
        </w:tc>
        <w:tc>
          <w:tcPr>
            <w:tcW w:w="1174" w:type="dxa"/>
            <w:tcBorders>
              <w:top w:val="nil"/>
              <w:left w:val="nil"/>
              <w:bottom w:val="single" w:color="auto" w:sz="4" w:space="0"/>
              <w:right w:val="single" w:color="auto" w:sz="4" w:space="0"/>
            </w:tcBorders>
            <w:vAlign w:val="center"/>
          </w:tcPr>
          <w:p>
            <w:pPr>
              <w:pStyle w:val="33"/>
              <w:rPr>
                <w:rFonts w:ascii="宋体" w:hAnsi="宋体" w:cs="宋体"/>
                <w:kern w:val="0"/>
              </w:rPr>
            </w:pPr>
          </w:p>
        </w:tc>
        <w:tc>
          <w:tcPr>
            <w:tcW w:w="1100"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112"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200"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113"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212"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050"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138"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p>
        </w:tc>
        <w:tc>
          <w:tcPr>
            <w:tcW w:w="1150"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100"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141"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r>
      <w:tr>
        <w:tblPrEx>
          <w:tblCellMar>
            <w:top w:w="0" w:type="dxa"/>
            <w:left w:w="108" w:type="dxa"/>
            <w:bottom w:w="0" w:type="dxa"/>
            <w:right w:w="108" w:type="dxa"/>
          </w:tblCellMar>
        </w:tblPrEx>
        <w:trPr>
          <w:trHeight w:val="675" w:hRule="atLeast"/>
        </w:trPr>
        <w:tc>
          <w:tcPr>
            <w:tcW w:w="779"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w:t>
            </w:r>
          </w:p>
        </w:tc>
        <w:tc>
          <w:tcPr>
            <w:tcW w:w="1174" w:type="dxa"/>
            <w:tcBorders>
              <w:top w:val="nil"/>
              <w:left w:val="nil"/>
              <w:bottom w:val="single" w:color="auto" w:sz="4" w:space="0"/>
              <w:right w:val="single" w:color="auto" w:sz="4" w:space="0"/>
            </w:tcBorders>
            <w:vAlign w:val="center"/>
          </w:tcPr>
          <w:p>
            <w:pPr>
              <w:pStyle w:val="33"/>
              <w:rPr>
                <w:rFonts w:ascii="宋体" w:hAnsi="宋体" w:cs="宋体"/>
                <w:kern w:val="0"/>
              </w:rPr>
            </w:pPr>
          </w:p>
        </w:tc>
        <w:tc>
          <w:tcPr>
            <w:tcW w:w="1100"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112"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200"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113"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212" w:type="dxa"/>
            <w:tcBorders>
              <w:top w:val="nil"/>
              <w:left w:val="nil"/>
              <w:bottom w:val="single" w:color="auto" w:sz="4" w:space="0"/>
              <w:right w:val="single" w:color="auto" w:sz="4" w:space="0"/>
            </w:tcBorders>
            <w:vAlign w:val="center"/>
          </w:tcPr>
          <w:p>
            <w:pPr>
              <w:pStyle w:val="33"/>
              <w:rPr>
                <w:rFonts w:ascii="宋体" w:hAnsi="宋体" w:cs="宋体"/>
                <w:kern w:val="0"/>
              </w:rPr>
            </w:pPr>
            <w:r>
              <w:rPr>
                <w:rFonts w:hint="eastAsia" w:ascii="宋体" w:hAnsi="宋体" w:cs="宋体"/>
                <w:kern w:val="0"/>
              </w:rPr>
              <w:t>　</w:t>
            </w:r>
          </w:p>
        </w:tc>
        <w:tc>
          <w:tcPr>
            <w:tcW w:w="1050"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138"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p>
        </w:tc>
        <w:tc>
          <w:tcPr>
            <w:tcW w:w="1150"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100"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c>
          <w:tcPr>
            <w:tcW w:w="1141" w:type="dxa"/>
            <w:tcBorders>
              <w:top w:val="nil"/>
              <w:left w:val="nil"/>
              <w:bottom w:val="single" w:color="auto" w:sz="4" w:space="0"/>
              <w:right w:val="single" w:color="auto" w:sz="4" w:space="0"/>
            </w:tcBorders>
            <w:noWrap/>
            <w:vAlign w:val="center"/>
          </w:tcPr>
          <w:p>
            <w:pPr>
              <w:pStyle w:val="33"/>
              <w:rPr>
                <w:rFonts w:ascii="宋体" w:hAnsi="宋体" w:cs="宋体"/>
                <w:b/>
                <w:bCs/>
                <w:kern w:val="0"/>
                <w:sz w:val="28"/>
                <w:szCs w:val="28"/>
              </w:rPr>
            </w:pPr>
            <w:r>
              <w:rPr>
                <w:rFonts w:hint="eastAsia" w:ascii="宋体" w:hAnsi="宋体" w:cs="宋体"/>
                <w:b/>
                <w:bCs/>
                <w:kern w:val="0"/>
                <w:sz w:val="28"/>
                <w:szCs w:val="28"/>
              </w:rPr>
              <w:t>　</w:t>
            </w:r>
          </w:p>
        </w:tc>
      </w:tr>
    </w:tbl>
    <w:p>
      <w:pPr>
        <w:pStyle w:val="33"/>
        <w:rPr>
          <w:szCs w:val="21"/>
        </w:rPr>
      </w:pPr>
      <w:r>
        <w:rPr>
          <w:rFonts w:hint="eastAsia"/>
          <w:szCs w:val="21"/>
        </w:rPr>
        <w:t>备注：评标因素中有一项不合格视为投标人不合格。</w:t>
      </w:r>
      <w:r>
        <w:rPr>
          <w:rFonts w:hint="eastAsia"/>
        </w:rPr>
        <w:t>评审因素内容填写：合格“</w:t>
      </w:r>
      <w:r>
        <w:t>O</w:t>
      </w:r>
      <w:r>
        <w:rPr>
          <w:rFonts w:hint="eastAsia"/>
        </w:rPr>
        <w:t>”，不合格“×”。评标结论内容填写：“合格”或“不合格”。</w:t>
      </w:r>
    </w:p>
    <w:p>
      <w:pPr>
        <w:pStyle w:val="33"/>
        <w:rPr>
          <w:szCs w:val="21"/>
        </w:rPr>
      </w:pPr>
    </w:p>
    <w:p>
      <w:pPr>
        <w:pStyle w:val="33"/>
      </w:pPr>
      <w:r>
        <w:rPr>
          <w:rFonts w:hint="eastAsia"/>
        </w:rPr>
        <w:t>评标委员会全体成员签字：                                                                               年    月    日</w:t>
      </w:r>
    </w:p>
    <w:p>
      <w:pPr>
        <w:pStyle w:val="33"/>
      </w:pPr>
    </w:p>
    <w:p>
      <w:pPr>
        <w:pStyle w:val="33"/>
      </w:pPr>
      <w:r>
        <w:br w:type="page"/>
      </w:r>
    </w:p>
    <w:p>
      <w:pPr>
        <w:pStyle w:val="33"/>
        <w:rPr>
          <w:sz w:val="28"/>
          <w:szCs w:val="28"/>
        </w:rPr>
      </w:pPr>
      <w:r>
        <w:rPr>
          <w:rFonts w:hint="eastAsia"/>
          <w:sz w:val="28"/>
          <w:szCs w:val="28"/>
        </w:rPr>
        <w:t xml:space="preserve">附表3-6：否决投标情况说明  </w:t>
      </w:r>
    </w:p>
    <w:p>
      <w:pPr>
        <w:pStyle w:val="33"/>
        <w:jc w:val="center"/>
        <w:rPr>
          <w:b/>
          <w:sz w:val="32"/>
          <w:szCs w:val="32"/>
        </w:rPr>
      </w:pPr>
      <w:r>
        <w:rPr>
          <w:rFonts w:hint="eastAsia"/>
          <w:b/>
          <w:sz w:val="32"/>
          <w:szCs w:val="32"/>
        </w:rPr>
        <w:t>否决投标情况说明</w:t>
      </w:r>
    </w:p>
    <w:p>
      <w:pPr>
        <w:pStyle w:val="33"/>
      </w:pPr>
      <w:r>
        <w:rPr>
          <w:rFonts w:hint="eastAsia"/>
        </w:rPr>
        <w:t>项目名称：</w:t>
      </w:r>
    </w:p>
    <w:p>
      <w:pPr>
        <w:pStyle w:val="33"/>
      </w:pPr>
    </w:p>
    <w:tbl>
      <w:tblPr>
        <w:tblStyle w:val="22"/>
        <w:tblW w:w="13245"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1080"/>
        <w:gridCol w:w="3300"/>
        <w:gridCol w:w="2955"/>
        <w:gridCol w:w="2955"/>
        <w:gridCol w:w="295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72" w:hRule="atLeast"/>
        </w:trPr>
        <w:tc>
          <w:tcPr>
            <w:tcW w:w="1080" w:type="dxa"/>
            <w:tcBorders>
              <w:bottom w:val="single" w:color="000000" w:sz="4" w:space="0"/>
              <w:right w:val="single" w:color="000000" w:sz="4" w:space="0"/>
            </w:tcBorders>
            <w:tcMar>
              <w:top w:w="15" w:type="dxa"/>
              <w:left w:w="15" w:type="dxa"/>
              <w:right w:w="15" w:type="dxa"/>
            </w:tcMar>
            <w:vAlign w:val="center"/>
          </w:tcPr>
          <w:p>
            <w:pPr>
              <w:widowControl/>
              <w:jc w:val="center"/>
              <w:textAlignment w:val="center"/>
              <w:rPr>
                <w:b/>
                <w:szCs w:val="21"/>
              </w:rPr>
            </w:pPr>
            <w:r>
              <w:rPr>
                <w:b/>
                <w:kern w:val="0"/>
                <w:szCs w:val="21"/>
              </w:rPr>
              <w:t>序号</w:t>
            </w:r>
          </w:p>
        </w:tc>
        <w:tc>
          <w:tcPr>
            <w:tcW w:w="3300" w:type="dxa"/>
            <w:tcBorders>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b/>
                <w:szCs w:val="21"/>
              </w:rPr>
            </w:pPr>
            <w:r>
              <w:rPr>
                <w:b/>
                <w:kern w:val="0"/>
                <w:szCs w:val="21"/>
              </w:rPr>
              <w:t>投  标  人</w:t>
            </w:r>
          </w:p>
        </w:tc>
        <w:tc>
          <w:tcPr>
            <w:tcW w:w="2955" w:type="dxa"/>
            <w:tcBorders>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b/>
                <w:szCs w:val="21"/>
              </w:rPr>
            </w:pPr>
            <w:r>
              <w:rPr>
                <w:b/>
                <w:kern w:val="0"/>
                <w:szCs w:val="21"/>
              </w:rPr>
              <w:t>否决投标原因</w:t>
            </w:r>
          </w:p>
        </w:tc>
        <w:tc>
          <w:tcPr>
            <w:tcW w:w="2955" w:type="dxa"/>
            <w:tcBorders>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b/>
                <w:szCs w:val="21"/>
              </w:rPr>
            </w:pPr>
            <w:r>
              <w:rPr>
                <w:b/>
                <w:kern w:val="0"/>
                <w:szCs w:val="21"/>
              </w:rPr>
              <w:t>否决投标依据</w:t>
            </w:r>
          </w:p>
        </w:tc>
        <w:tc>
          <w:tcPr>
            <w:tcW w:w="2955" w:type="dxa"/>
            <w:tcBorders>
              <w:left w:val="nil"/>
              <w:bottom w:val="single" w:color="000000" w:sz="4" w:space="0"/>
            </w:tcBorders>
            <w:tcMar>
              <w:top w:w="15" w:type="dxa"/>
              <w:left w:w="15" w:type="dxa"/>
              <w:right w:w="15" w:type="dxa"/>
            </w:tcMar>
            <w:vAlign w:val="center"/>
          </w:tcPr>
          <w:p>
            <w:pPr>
              <w:widowControl/>
              <w:jc w:val="center"/>
              <w:textAlignment w:val="center"/>
              <w:rPr>
                <w:b/>
                <w:szCs w:val="21"/>
              </w:rPr>
            </w:pPr>
            <w:r>
              <w:rPr>
                <w:b/>
                <w:kern w:val="0"/>
                <w:szCs w:val="21"/>
              </w:rPr>
              <w:t>备  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25" w:hRule="atLeast"/>
        </w:trPr>
        <w:tc>
          <w:tcPr>
            <w:tcW w:w="1080" w:type="dxa"/>
            <w:tcBorders>
              <w:top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2955" w:type="dxa"/>
            <w:tcBorders>
              <w:top w:val="nil"/>
              <w:left w:val="nil"/>
              <w:bottom w:val="single" w:color="000000" w:sz="4" w:space="0"/>
              <w:right w:val="single" w:color="000000" w:sz="4" w:space="0"/>
            </w:tcBorders>
            <w:tcMar>
              <w:top w:w="15" w:type="dxa"/>
              <w:left w:w="15" w:type="dxa"/>
              <w:right w:w="15" w:type="dxa"/>
            </w:tcMar>
            <w:vAlign w:val="center"/>
          </w:tcPr>
          <w:p>
            <w:pPr>
              <w:jc w:val="center"/>
              <w:rPr>
                <w:szCs w:val="21"/>
              </w:rPr>
            </w:pPr>
          </w:p>
        </w:tc>
        <w:tc>
          <w:tcPr>
            <w:tcW w:w="2955" w:type="dxa"/>
            <w:tcBorders>
              <w:top w:val="nil"/>
              <w:left w:val="nil"/>
              <w:bottom w:val="single" w:color="000000" w:sz="4" w:space="0"/>
              <w:right w:val="single" w:color="000000" w:sz="4" w:space="0"/>
            </w:tcBorders>
            <w:tcMar>
              <w:top w:w="15" w:type="dxa"/>
              <w:left w:w="15" w:type="dxa"/>
              <w:right w:w="15" w:type="dxa"/>
            </w:tcMar>
            <w:vAlign w:val="center"/>
          </w:tcPr>
          <w:p>
            <w:pPr>
              <w:jc w:val="center"/>
              <w:rPr>
                <w:szCs w:val="21"/>
              </w:rPr>
            </w:pPr>
          </w:p>
        </w:tc>
        <w:tc>
          <w:tcPr>
            <w:tcW w:w="2955" w:type="dxa"/>
            <w:tcBorders>
              <w:top w:val="nil"/>
              <w:left w:val="nil"/>
              <w:bottom w:val="single" w:color="000000" w:sz="4" w:space="0"/>
            </w:tcBorders>
            <w:tcMar>
              <w:top w:w="15" w:type="dxa"/>
              <w:left w:w="15" w:type="dxa"/>
              <w:right w:w="15"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13" w:hRule="atLeast"/>
        </w:trPr>
        <w:tc>
          <w:tcPr>
            <w:tcW w:w="1080" w:type="dxa"/>
            <w:tcBorders>
              <w:top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2955" w:type="dxa"/>
            <w:tcBorders>
              <w:top w:val="nil"/>
              <w:left w:val="nil"/>
              <w:bottom w:val="single" w:color="000000" w:sz="4" w:space="0"/>
              <w:right w:val="single" w:color="000000" w:sz="4" w:space="0"/>
            </w:tcBorders>
            <w:tcMar>
              <w:top w:w="15" w:type="dxa"/>
              <w:left w:w="15" w:type="dxa"/>
              <w:right w:w="15" w:type="dxa"/>
            </w:tcMar>
            <w:vAlign w:val="center"/>
          </w:tcPr>
          <w:p>
            <w:pPr>
              <w:jc w:val="center"/>
              <w:rPr>
                <w:szCs w:val="21"/>
              </w:rPr>
            </w:pPr>
          </w:p>
        </w:tc>
        <w:tc>
          <w:tcPr>
            <w:tcW w:w="2955" w:type="dxa"/>
            <w:tcBorders>
              <w:top w:val="nil"/>
              <w:left w:val="nil"/>
              <w:bottom w:val="single" w:color="000000" w:sz="4" w:space="0"/>
              <w:right w:val="single" w:color="000000" w:sz="4" w:space="0"/>
            </w:tcBorders>
            <w:tcMar>
              <w:top w:w="15" w:type="dxa"/>
              <w:left w:w="15" w:type="dxa"/>
              <w:right w:w="15" w:type="dxa"/>
            </w:tcMar>
            <w:vAlign w:val="center"/>
          </w:tcPr>
          <w:p>
            <w:pPr>
              <w:jc w:val="center"/>
              <w:rPr>
                <w:szCs w:val="21"/>
              </w:rPr>
            </w:pPr>
          </w:p>
        </w:tc>
        <w:tc>
          <w:tcPr>
            <w:tcW w:w="2955" w:type="dxa"/>
            <w:tcBorders>
              <w:top w:val="nil"/>
              <w:left w:val="nil"/>
              <w:bottom w:val="single" w:color="000000" w:sz="4" w:space="0"/>
            </w:tcBorders>
            <w:tcMar>
              <w:top w:w="15" w:type="dxa"/>
              <w:left w:w="15" w:type="dxa"/>
              <w:right w:w="15"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5" w:hRule="atLeast"/>
        </w:trPr>
        <w:tc>
          <w:tcPr>
            <w:tcW w:w="1080" w:type="dxa"/>
            <w:tcBorders>
              <w:top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2955" w:type="dxa"/>
            <w:tcBorders>
              <w:top w:val="nil"/>
              <w:left w:val="nil"/>
              <w:bottom w:val="single" w:color="000000" w:sz="4" w:space="0"/>
              <w:right w:val="single" w:color="000000" w:sz="4" w:space="0"/>
            </w:tcBorders>
            <w:tcMar>
              <w:top w:w="15" w:type="dxa"/>
              <w:left w:w="15" w:type="dxa"/>
              <w:right w:w="15" w:type="dxa"/>
            </w:tcMar>
            <w:vAlign w:val="center"/>
          </w:tcPr>
          <w:p>
            <w:pPr>
              <w:jc w:val="center"/>
              <w:rPr>
                <w:szCs w:val="21"/>
              </w:rPr>
            </w:pPr>
          </w:p>
        </w:tc>
        <w:tc>
          <w:tcPr>
            <w:tcW w:w="2955" w:type="dxa"/>
            <w:tcBorders>
              <w:top w:val="nil"/>
              <w:left w:val="nil"/>
              <w:bottom w:val="single" w:color="000000" w:sz="4" w:space="0"/>
              <w:right w:val="single" w:color="000000" w:sz="4" w:space="0"/>
            </w:tcBorders>
            <w:tcMar>
              <w:top w:w="15" w:type="dxa"/>
              <w:left w:w="15" w:type="dxa"/>
              <w:right w:w="15" w:type="dxa"/>
            </w:tcMar>
            <w:vAlign w:val="center"/>
          </w:tcPr>
          <w:p>
            <w:pPr>
              <w:jc w:val="center"/>
              <w:rPr>
                <w:szCs w:val="21"/>
              </w:rPr>
            </w:pPr>
          </w:p>
        </w:tc>
        <w:tc>
          <w:tcPr>
            <w:tcW w:w="2955" w:type="dxa"/>
            <w:tcBorders>
              <w:top w:val="nil"/>
              <w:left w:val="nil"/>
              <w:bottom w:val="single" w:color="000000" w:sz="4" w:space="0"/>
            </w:tcBorders>
            <w:tcMar>
              <w:top w:w="15" w:type="dxa"/>
              <w:left w:w="15" w:type="dxa"/>
              <w:right w:w="15"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75" w:hRule="atLeast"/>
        </w:trPr>
        <w:tc>
          <w:tcPr>
            <w:tcW w:w="1080" w:type="dxa"/>
            <w:tcBorders>
              <w:top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2955" w:type="dxa"/>
            <w:tcBorders>
              <w:top w:val="nil"/>
              <w:left w:val="nil"/>
              <w:bottom w:val="single" w:color="000000" w:sz="4" w:space="0"/>
              <w:right w:val="single" w:color="000000" w:sz="4" w:space="0"/>
            </w:tcBorders>
            <w:tcMar>
              <w:top w:w="15" w:type="dxa"/>
              <w:left w:w="15" w:type="dxa"/>
              <w:right w:w="15" w:type="dxa"/>
            </w:tcMar>
            <w:vAlign w:val="center"/>
          </w:tcPr>
          <w:p>
            <w:pPr>
              <w:jc w:val="center"/>
              <w:rPr>
                <w:szCs w:val="21"/>
              </w:rPr>
            </w:pPr>
          </w:p>
        </w:tc>
        <w:tc>
          <w:tcPr>
            <w:tcW w:w="2955" w:type="dxa"/>
            <w:tcBorders>
              <w:top w:val="nil"/>
              <w:left w:val="nil"/>
              <w:bottom w:val="single" w:color="000000" w:sz="4" w:space="0"/>
              <w:right w:val="single" w:color="000000" w:sz="4" w:space="0"/>
            </w:tcBorders>
            <w:tcMar>
              <w:top w:w="15" w:type="dxa"/>
              <w:left w:w="15" w:type="dxa"/>
              <w:right w:w="15" w:type="dxa"/>
            </w:tcMar>
            <w:vAlign w:val="center"/>
          </w:tcPr>
          <w:p>
            <w:pPr>
              <w:jc w:val="center"/>
              <w:rPr>
                <w:szCs w:val="21"/>
              </w:rPr>
            </w:pPr>
          </w:p>
        </w:tc>
        <w:tc>
          <w:tcPr>
            <w:tcW w:w="2955" w:type="dxa"/>
            <w:tcBorders>
              <w:top w:val="nil"/>
              <w:left w:val="nil"/>
              <w:bottom w:val="single" w:color="000000" w:sz="4" w:space="0"/>
            </w:tcBorders>
            <w:tcMar>
              <w:top w:w="15" w:type="dxa"/>
              <w:left w:w="15" w:type="dxa"/>
              <w:right w:w="15"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72" w:hRule="atLeast"/>
        </w:trPr>
        <w:tc>
          <w:tcPr>
            <w:tcW w:w="1080" w:type="dxa"/>
            <w:tcBorders>
              <w:top w:val="nil"/>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3300" w:type="dxa"/>
            <w:tcBorders>
              <w:top w:val="nil"/>
              <w:left w:val="nil"/>
              <w:right w:val="single" w:color="000000" w:sz="4" w:space="0"/>
            </w:tcBorders>
            <w:tcMar>
              <w:top w:w="15" w:type="dxa"/>
              <w:left w:w="15" w:type="dxa"/>
              <w:right w:w="15" w:type="dxa"/>
            </w:tcMar>
            <w:vAlign w:val="center"/>
          </w:tcPr>
          <w:p>
            <w:pPr>
              <w:jc w:val="center"/>
              <w:rPr>
                <w:rFonts w:ascii="宋体" w:hAnsi="宋体" w:cs="宋体"/>
                <w:szCs w:val="21"/>
              </w:rPr>
            </w:pPr>
          </w:p>
        </w:tc>
        <w:tc>
          <w:tcPr>
            <w:tcW w:w="2955" w:type="dxa"/>
            <w:tcBorders>
              <w:top w:val="nil"/>
              <w:left w:val="nil"/>
              <w:right w:val="single" w:color="000000" w:sz="4" w:space="0"/>
            </w:tcBorders>
            <w:tcMar>
              <w:top w:w="15" w:type="dxa"/>
              <w:left w:w="15" w:type="dxa"/>
              <w:right w:w="15" w:type="dxa"/>
            </w:tcMar>
            <w:vAlign w:val="center"/>
          </w:tcPr>
          <w:p>
            <w:pPr>
              <w:jc w:val="center"/>
              <w:rPr>
                <w:szCs w:val="21"/>
              </w:rPr>
            </w:pPr>
          </w:p>
        </w:tc>
        <w:tc>
          <w:tcPr>
            <w:tcW w:w="2955" w:type="dxa"/>
            <w:tcBorders>
              <w:top w:val="nil"/>
              <w:left w:val="nil"/>
              <w:right w:val="single" w:color="000000" w:sz="4" w:space="0"/>
            </w:tcBorders>
            <w:tcMar>
              <w:top w:w="15" w:type="dxa"/>
              <w:left w:w="15" w:type="dxa"/>
              <w:right w:w="15" w:type="dxa"/>
            </w:tcMar>
            <w:vAlign w:val="center"/>
          </w:tcPr>
          <w:p>
            <w:pPr>
              <w:jc w:val="center"/>
              <w:rPr>
                <w:szCs w:val="21"/>
              </w:rPr>
            </w:pPr>
          </w:p>
        </w:tc>
        <w:tc>
          <w:tcPr>
            <w:tcW w:w="2955" w:type="dxa"/>
            <w:tcBorders>
              <w:top w:val="nil"/>
              <w:left w:val="nil"/>
            </w:tcBorders>
            <w:tcMar>
              <w:top w:w="15" w:type="dxa"/>
              <w:left w:w="15" w:type="dxa"/>
              <w:right w:w="15" w:type="dxa"/>
            </w:tcMar>
            <w:vAlign w:val="center"/>
          </w:tcPr>
          <w:p>
            <w:pPr>
              <w:jc w:val="center"/>
              <w:rPr>
                <w:szCs w:val="21"/>
              </w:rPr>
            </w:pPr>
          </w:p>
        </w:tc>
      </w:tr>
    </w:tbl>
    <w:p>
      <w:pPr>
        <w:pStyle w:val="33"/>
      </w:pPr>
      <w:r>
        <w:rPr>
          <w:rFonts w:hint="eastAsia"/>
        </w:rPr>
        <w:t>注：1、否决投标的原因：填写没有实质响应招标文件的具体内容及不符合有关规定的具体问题；</w:t>
      </w:r>
      <w:r>
        <w:rPr>
          <w:rFonts w:hint="eastAsia"/>
        </w:rPr>
        <w:tab/>
      </w:r>
      <w:r>
        <w:rPr>
          <w:rFonts w:hint="eastAsia"/>
        </w:rPr>
        <w:tab/>
      </w:r>
      <w:r>
        <w:rPr>
          <w:rFonts w:hint="eastAsia"/>
        </w:rPr>
        <w:tab/>
      </w:r>
      <w:r>
        <w:rPr>
          <w:rFonts w:hint="eastAsia"/>
        </w:rPr>
        <w:tab/>
      </w:r>
    </w:p>
    <w:p>
      <w:pPr>
        <w:pStyle w:val="33"/>
      </w:pPr>
      <w:r>
        <w:rPr>
          <w:rFonts w:hint="eastAsia"/>
        </w:rPr>
        <w:t>2、否决投标的依据：填写所依据的招标文件的具体条款以及国家、陕西省有关招标投标的法律及规章的具体条款。</w:t>
      </w:r>
      <w:r>
        <w:rPr>
          <w:rFonts w:hint="eastAsia"/>
        </w:rPr>
        <w:tab/>
      </w:r>
      <w:r>
        <w:rPr>
          <w:rFonts w:hint="eastAsia"/>
        </w:rPr>
        <w:tab/>
      </w:r>
      <w:r>
        <w:rPr>
          <w:rFonts w:hint="eastAsia"/>
        </w:rPr>
        <w:tab/>
      </w:r>
      <w:r>
        <w:rPr>
          <w:rFonts w:hint="eastAsia"/>
        </w:rPr>
        <w:tab/>
      </w:r>
    </w:p>
    <w:p>
      <w:pPr>
        <w:pStyle w:val="33"/>
      </w:pPr>
      <w:r>
        <w:rPr>
          <w:rFonts w:hint="eastAsia"/>
        </w:rPr>
        <w:tab/>
      </w:r>
      <w:r>
        <w:rPr>
          <w:rFonts w:hint="eastAsia"/>
        </w:rPr>
        <w:tab/>
      </w:r>
      <w:r>
        <w:rPr>
          <w:rFonts w:hint="eastAsia"/>
        </w:rPr>
        <w:tab/>
      </w:r>
      <w:r>
        <w:rPr>
          <w:rFonts w:hint="eastAsia"/>
        </w:rPr>
        <w:tab/>
      </w:r>
    </w:p>
    <w:p>
      <w:pPr>
        <w:pStyle w:val="33"/>
      </w:pPr>
    </w:p>
    <w:p>
      <w:pPr>
        <w:pStyle w:val="33"/>
        <w:sectPr>
          <w:pgSz w:w="16838" w:h="11906" w:orient="landscape"/>
          <w:pgMar w:top="1440" w:right="1800" w:bottom="1440" w:left="1800" w:header="851" w:footer="992" w:gutter="0"/>
          <w:pgNumType w:fmt="numberInDash"/>
          <w:cols w:space="720" w:num="1"/>
          <w:docGrid w:type="linesAndChars" w:linePitch="312" w:charSpace="0"/>
        </w:sectPr>
      </w:pPr>
      <w:r>
        <w:rPr>
          <w:rFonts w:hint="eastAsia"/>
        </w:rPr>
        <w:t>评标委员会全体成员签字：                                                                           年    月    日</w:t>
      </w:r>
    </w:p>
    <w:p>
      <w:pPr>
        <w:pStyle w:val="33"/>
        <w:ind w:left="0" w:firstLine="0"/>
        <w:rPr>
          <w:sz w:val="28"/>
          <w:szCs w:val="28"/>
        </w:rPr>
      </w:pPr>
    </w:p>
    <w:p>
      <w:pPr>
        <w:pStyle w:val="33"/>
        <w:rPr>
          <w:sz w:val="28"/>
          <w:szCs w:val="28"/>
        </w:rPr>
      </w:pPr>
      <w:r>
        <w:rPr>
          <w:rFonts w:hint="eastAsia"/>
          <w:sz w:val="28"/>
          <w:szCs w:val="28"/>
        </w:rPr>
        <w:t>附表3-7：符合要求的投标人名单</w:t>
      </w:r>
    </w:p>
    <w:p>
      <w:pPr>
        <w:pStyle w:val="33"/>
        <w:jc w:val="center"/>
        <w:rPr>
          <w:b/>
          <w:sz w:val="32"/>
          <w:szCs w:val="32"/>
        </w:rPr>
      </w:pPr>
      <w:r>
        <w:rPr>
          <w:rFonts w:hint="eastAsia"/>
          <w:b/>
          <w:sz w:val="32"/>
          <w:szCs w:val="32"/>
        </w:rPr>
        <w:t>符合要求的投标人名单</w:t>
      </w:r>
    </w:p>
    <w:p>
      <w:pPr>
        <w:pStyle w:val="33"/>
      </w:pPr>
      <w:r>
        <w:rPr>
          <w:rFonts w:hint="eastAsia"/>
        </w:rPr>
        <w:t>项目名称：</w:t>
      </w:r>
    </w:p>
    <w:tbl>
      <w:tblPr>
        <w:tblStyle w:val="22"/>
        <w:tblW w:w="8266" w:type="dxa"/>
        <w:tblInd w:w="93" w:type="dxa"/>
        <w:tblLayout w:type="autofit"/>
        <w:tblCellMar>
          <w:top w:w="0" w:type="dxa"/>
          <w:left w:w="108" w:type="dxa"/>
          <w:bottom w:w="0" w:type="dxa"/>
          <w:right w:w="108" w:type="dxa"/>
        </w:tblCellMar>
      </w:tblPr>
      <w:tblGrid>
        <w:gridCol w:w="940"/>
        <w:gridCol w:w="5483"/>
        <w:gridCol w:w="1843"/>
      </w:tblGrid>
      <w:tr>
        <w:tblPrEx>
          <w:tblCellMar>
            <w:top w:w="0" w:type="dxa"/>
            <w:left w:w="108" w:type="dxa"/>
            <w:bottom w:w="0" w:type="dxa"/>
            <w:right w:w="108" w:type="dxa"/>
          </w:tblCellMar>
        </w:tblPrEx>
        <w:trPr>
          <w:trHeight w:val="690" w:hRule="atLeast"/>
        </w:trPr>
        <w:tc>
          <w:tcPr>
            <w:tcW w:w="940" w:type="dxa"/>
            <w:tcBorders>
              <w:top w:val="single" w:color="auto" w:sz="4" w:space="0"/>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序号</w:t>
            </w:r>
          </w:p>
        </w:tc>
        <w:tc>
          <w:tcPr>
            <w:tcW w:w="5483" w:type="dxa"/>
            <w:tcBorders>
              <w:top w:val="single" w:color="auto" w:sz="4" w:space="0"/>
              <w:left w:val="nil"/>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投标人名称</w:t>
            </w:r>
          </w:p>
        </w:tc>
        <w:tc>
          <w:tcPr>
            <w:tcW w:w="1843" w:type="dxa"/>
            <w:tcBorders>
              <w:top w:val="single" w:color="auto" w:sz="4" w:space="0"/>
              <w:left w:val="nil"/>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备注</w:t>
            </w:r>
          </w:p>
        </w:tc>
      </w:tr>
      <w:tr>
        <w:tblPrEx>
          <w:tblCellMar>
            <w:top w:w="0" w:type="dxa"/>
            <w:left w:w="108" w:type="dxa"/>
            <w:bottom w:w="0" w:type="dxa"/>
            <w:right w:w="108" w:type="dxa"/>
          </w:tblCellMar>
        </w:tblPrEx>
        <w:trPr>
          <w:trHeight w:val="690" w:hRule="atLeast"/>
        </w:trPr>
        <w:tc>
          <w:tcPr>
            <w:tcW w:w="940"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1</w:t>
            </w:r>
          </w:p>
        </w:tc>
        <w:tc>
          <w:tcPr>
            <w:tcW w:w="5483" w:type="dxa"/>
            <w:tcBorders>
              <w:top w:val="nil"/>
              <w:left w:val="nil"/>
              <w:bottom w:val="single" w:color="auto" w:sz="4" w:space="0"/>
              <w:right w:val="single" w:color="auto" w:sz="4" w:space="0"/>
            </w:tcBorders>
            <w:noWrap/>
            <w:vAlign w:val="center"/>
          </w:tcPr>
          <w:p>
            <w:pPr>
              <w:pStyle w:val="33"/>
              <w:rPr>
                <w:rFonts w:ascii="宋体" w:hAnsi="宋体" w:cs="宋体"/>
                <w:kern w:val="0"/>
              </w:rPr>
            </w:pPr>
            <w:r>
              <w:rPr>
                <w:rFonts w:hint="eastAsia" w:ascii="宋体" w:hAnsi="宋体" w:cs="宋体"/>
                <w:kern w:val="0"/>
              </w:rPr>
              <w:t>　</w:t>
            </w:r>
          </w:p>
        </w:tc>
        <w:tc>
          <w:tcPr>
            <w:tcW w:w="1843" w:type="dxa"/>
            <w:tcBorders>
              <w:top w:val="nil"/>
              <w:left w:val="nil"/>
              <w:bottom w:val="single" w:color="auto" w:sz="4" w:space="0"/>
              <w:right w:val="single" w:color="auto" w:sz="4" w:space="0"/>
            </w:tcBorders>
            <w:noWrap/>
            <w:vAlign w:val="center"/>
          </w:tcPr>
          <w:p>
            <w:pPr>
              <w:pStyle w:val="33"/>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90" w:hRule="atLeast"/>
        </w:trPr>
        <w:tc>
          <w:tcPr>
            <w:tcW w:w="940"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2</w:t>
            </w:r>
          </w:p>
        </w:tc>
        <w:tc>
          <w:tcPr>
            <w:tcW w:w="5483" w:type="dxa"/>
            <w:tcBorders>
              <w:top w:val="nil"/>
              <w:left w:val="nil"/>
              <w:bottom w:val="single" w:color="auto" w:sz="4" w:space="0"/>
              <w:right w:val="single" w:color="auto" w:sz="4" w:space="0"/>
            </w:tcBorders>
            <w:noWrap/>
            <w:vAlign w:val="center"/>
          </w:tcPr>
          <w:p>
            <w:pPr>
              <w:pStyle w:val="33"/>
              <w:rPr>
                <w:rFonts w:ascii="宋体" w:hAnsi="宋体" w:cs="宋体"/>
                <w:kern w:val="0"/>
              </w:rPr>
            </w:pPr>
            <w:r>
              <w:rPr>
                <w:rFonts w:hint="eastAsia" w:ascii="宋体" w:hAnsi="宋体" w:cs="宋体"/>
                <w:kern w:val="0"/>
              </w:rPr>
              <w:t>　</w:t>
            </w:r>
          </w:p>
        </w:tc>
        <w:tc>
          <w:tcPr>
            <w:tcW w:w="1843" w:type="dxa"/>
            <w:tcBorders>
              <w:top w:val="nil"/>
              <w:left w:val="nil"/>
              <w:bottom w:val="single" w:color="auto" w:sz="4" w:space="0"/>
              <w:right w:val="single" w:color="auto" w:sz="4" w:space="0"/>
            </w:tcBorders>
            <w:noWrap/>
            <w:vAlign w:val="center"/>
          </w:tcPr>
          <w:p>
            <w:pPr>
              <w:pStyle w:val="33"/>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90" w:hRule="atLeast"/>
        </w:trPr>
        <w:tc>
          <w:tcPr>
            <w:tcW w:w="940"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3</w:t>
            </w:r>
          </w:p>
        </w:tc>
        <w:tc>
          <w:tcPr>
            <w:tcW w:w="5483" w:type="dxa"/>
            <w:tcBorders>
              <w:top w:val="nil"/>
              <w:left w:val="nil"/>
              <w:bottom w:val="single" w:color="auto" w:sz="4" w:space="0"/>
              <w:right w:val="single" w:color="auto" w:sz="4" w:space="0"/>
            </w:tcBorders>
            <w:noWrap/>
            <w:vAlign w:val="center"/>
          </w:tcPr>
          <w:p>
            <w:pPr>
              <w:pStyle w:val="33"/>
              <w:rPr>
                <w:rFonts w:ascii="宋体" w:hAnsi="宋体" w:cs="宋体"/>
                <w:kern w:val="0"/>
              </w:rPr>
            </w:pPr>
            <w:r>
              <w:rPr>
                <w:rFonts w:hint="eastAsia" w:ascii="宋体" w:hAnsi="宋体" w:cs="宋体"/>
                <w:kern w:val="0"/>
              </w:rPr>
              <w:t>　</w:t>
            </w:r>
          </w:p>
        </w:tc>
        <w:tc>
          <w:tcPr>
            <w:tcW w:w="1843" w:type="dxa"/>
            <w:tcBorders>
              <w:top w:val="nil"/>
              <w:left w:val="nil"/>
              <w:bottom w:val="single" w:color="auto" w:sz="4" w:space="0"/>
              <w:right w:val="single" w:color="auto" w:sz="4" w:space="0"/>
            </w:tcBorders>
            <w:noWrap/>
            <w:vAlign w:val="center"/>
          </w:tcPr>
          <w:p>
            <w:pPr>
              <w:pStyle w:val="33"/>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90" w:hRule="atLeast"/>
        </w:trPr>
        <w:tc>
          <w:tcPr>
            <w:tcW w:w="940"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4</w:t>
            </w:r>
          </w:p>
        </w:tc>
        <w:tc>
          <w:tcPr>
            <w:tcW w:w="5483" w:type="dxa"/>
            <w:tcBorders>
              <w:top w:val="nil"/>
              <w:left w:val="nil"/>
              <w:bottom w:val="single" w:color="auto" w:sz="4" w:space="0"/>
              <w:right w:val="single" w:color="auto" w:sz="4" w:space="0"/>
            </w:tcBorders>
            <w:noWrap/>
            <w:vAlign w:val="center"/>
          </w:tcPr>
          <w:p>
            <w:pPr>
              <w:pStyle w:val="33"/>
              <w:rPr>
                <w:rFonts w:ascii="宋体" w:hAnsi="宋体" w:cs="宋体"/>
                <w:kern w:val="0"/>
              </w:rPr>
            </w:pPr>
            <w:r>
              <w:rPr>
                <w:rFonts w:hint="eastAsia" w:ascii="宋体" w:hAnsi="宋体" w:cs="宋体"/>
                <w:kern w:val="0"/>
              </w:rPr>
              <w:t>　</w:t>
            </w:r>
          </w:p>
        </w:tc>
        <w:tc>
          <w:tcPr>
            <w:tcW w:w="1843" w:type="dxa"/>
            <w:tcBorders>
              <w:top w:val="nil"/>
              <w:left w:val="nil"/>
              <w:bottom w:val="single" w:color="auto" w:sz="4" w:space="0"/>
              <w:right w:val="single" w:color="auto" w:sz="4" w:space="0"/>
            </w:tcBorders>
            <w:noWrap/>
            <w:vAlign w:val="center"/>
          </w:tcPr>
          <w:p>
            <w:pPr>
              <w:pStyle w:val="33"/>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90" w:hRule="atLeast"/>
        </w:trPr>
        <w:tc>
          <w:tcPr>
            <w:tcW w:w="940"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5</w:t>
            </w:r>
          </w:p>
        </w:tc>
        <w:tc>
          <w:tcPr>
            <w:tcW w:w="5483" w:type="dxa"/>
            <w:tcBorders>
              <w:top w:val="nil"/>
              <w:left w:val="nil"/>
              <w:bottom w:val="single" w:color="auto" w:sz="4" w:space="0"/>
              <w:right w:val="single" w:color="auto" w:sz="4" w:space="0"/>
            </w:tcBorders>
            <w:noWrap/>
            <w:vAlign w:val="center"/>
          </w:tcPr>
          <w:p>
            <w:pPr>
              <w:pStyle w:val="33"/>
              <w:rPr>
                <w:rFonts w:ascii="宋体" w:hAnsi="宋体" w:cs="宋体"/>
                <w:kern w:val="0"/>
              </w:rPr>
            </w:pPr>
            <w:r>
              <w:rPr>
                <w:rFonts w:hint="eastAsia" w:ascii="宋体" w:hAnsi="宋体" w:cs="宋体"/>
                <w:kern w:val="0"/>
              </w:rPr>
              <w:t>　</w:t>
            </w:r>
          </w:p>
        </w:tc>
        <w:tc>
          <w:tcPr>
            <w:tcW w:w="1843" w:type="dxa"/>
            <w:tcBorders>
              <w:top w:val="nil"/>
              <w:left w:val="nil"/>
              <w:bottom w:val="single" w:color="auto" w:sz="4" w:space="0"/>
              <w:right w:val="single" w:color="auto" w:sz="4" w:space="0"/>
            </w:tcBorders>
            <w:noWrap/>
            <w:vAlign w:val="center"/>
          </w:tcPr>
          <w:p>
            <w:pPr>
              <w:pStyle w:val="33"/>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90" w:hRule="atLeast"/>
        </w:trPr>
        <w:tc>
          <w:tcPr>
            <w:tcW w:w="940"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6</w:t>
            </w:r>
          </w:p>
        </w:tc>
        <w:tc>
          <w:tcPr>
            <w:tcW w:w="5483" w:type="dxa"/>
            <w:tcBorders>
              <w:top w:val="nil"/>
              <w:left w:val="nil"/>
              <w:bottom w:val="single" w:color="auto" w:sz="4" w:space="0"/>
              <w:right w:val="single" w:color="auto" w:sz="4" w:space="0"/>
            </w:tcBorders>
            <w:noWrap/>
            <w:vAlign w:val="center"/>
          </w:tcPr>
          <w:p>
            <w:pPr>
              <w:pStyle w:val="33"/>
              <w:rPr>
                <w:rFonts w:ascii="宋体" w:hAnsi="宋体" w:cs="宋体"/>
                <w:kern w:val="0"/>
              </w:rPr>
            </w:pPr>
            <w:r>
              <w:rPr>
                <w:rFonts w:hint="eastAsia" w:ascii="宋体" w:hAnsi="宋体" w:cs="宋体"/>
                <w:kern w:val="0"/>
              </w:rPr>
              <w:t>　</w:t>
            </w:r>
          </w:p>
        </w:tc>
        <w:tc>
          <w:tcPr>
            <w:tcW w:w="1843" w:type="dxa"/>
            <w:tcBorders>
              <w:top w:val="nil"/>
              <w:left w:val="nil"/>
              <w:bottom w:val="single" w:color="auto" w:sz="4" w:space="0"/>
              <w:right w:val="single" w:color="auto" w:sz="4" w:space="0"/>
            </w:tcBorders>
            <w:noWrap/>
            <w:vAlign w:val="center"/>
          </w:tcPr>
          <w:p>
            <w:pPr>
              <w:pStyle w:val="33"/>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90" w:hRule="atLeast"/>
        </w:trPr>
        <w:tc>
          <w:tcPr>
            <w:tcW w:w="940"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7</w:t>
            </w:r>
          </w:p>
        </w:tc>
        <w:tc>
          <w:tcPr>
            <w:tcW w:w="5483" w:type="dxa"/>
            <w:tcBorders>
              <w:top w:val="nil"/>
              <w:left w:val="nil"/>
              <w:bottom w:val="single" w:color="auto" w:sz="4" w:space="0"/>
              <w:right w:val="single" w:color="auto" w:sz="4" w:space="0"/>
            </w:tcBorders>
            <w:noWrap/>
            <w:vAlign w:val="center"/>
          </w:tcPr>
          <w:p>
            <w:pPr>
              <w:pStyle w:val="33"/>
              <w:rPr>
                <w:rFonts w:ascii="宋体" w:hAnsi="宋体" w:cs="宋体"/>
                <w:kern w:val="0"/>
              </w:rPr>
            </w:pPr>
            <w:r>
              <w:rPr>
                <w:rFonts w:hint="eastAsia" w:ascii="宋体" w:hAnsi="宋体" w:cs="宋体"/>
                <w:kern w:val="0"/>
              </w:rPr>
              <w:t>　</w:t>
            </w:r>
          </w:p>
        </w:tc>
        <w:tc>
          <w:tcPr>
            <w:tcW w:w="1843" w:type="dxa"/>
            <w:tcBorders>
              <w:top w:val="nil"/>
              <w:left w:val="nil"/>
              <w:bottom w:val="single" w:color="auto" w:sz="4" w:space="0"/>
              <w:right w:val="single" w:color="auto" w:sz="4" w:space="0"/>
            </w:tcBorders>
            <w:noWrap/>
            <w:vAlign w:val="center"/>
          </w:tcPr>
          <w:p>
            <w:pPr>
              <w:pStyle w:val="33"/>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90" w:hRule="atLeast"/>
        </w:trPr>
        <w:tc>
          <w:tcPr>
            <w:tcW w:w="940"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8</w:t>
            </w:r>
          </w:p>
        </w:tc>
        <w:tc>
          <w:tcPr>
            <w:tcW w:w="5483" w:type="dxa"/>
            <w:tcBorders>
              <w:top w:val="nil"/>
              <w:left w:val="nil"/>
              <w:bottom w:val="single" w:color="auto" w:sz="4" w:space="0"/>
              <w:right w:val="single" w:color="auto" w:sz="4" w:space="0"/>
            </w:tcBorders>
            <w:noWrap/>
            <w:vAlign w:val="center"/>
          </w:tcPr>
          <w:p>
            <w:pPr>
              <w:pStyle w:val="33"/>
              <w:rPr>
                <w:rFonts w:ascii="宋体" w:hAnsi="宋体" w:cs="宋体"/>
                <w:kern w:val="0"/>
              </w:rPr>
            </w:pPr>
            <w:r>
              <w:rPr>
                <w:rFonts w:hint="eastAsia" w:ascii="宋体" w:hAnsi="宋体" w:cs="宋体"/>
                <w:kern w:val="0"/>
              </w:rPr>
              <w:t>　</w:t>
            </w:r>
          </w:p>
        </w:tc>
        <w:tc>
          <w:tcPr>
            <w:tcW w:w="1843" w:type="dxa"/>
            <w:tcBorders>
              <w:top w:val="nil"/>
              <w:left w:val="nil"/>
              <w:bottom w:val="single" w:color="auto" w:sz="4" w:space="0"/>
              <w:right w:val="single" w:color="auto" w:sz="4" w:space="0"/>
            </w:tcBorders>
            <w:noWrap/>
            <w:vAlign w:val="center"/>
          </w:tcPr>
          <w:p>
            <w:pPr>
              <w:pStyle w:val="33"/>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90" w:hRule="atLeast"/>
        </w:trPr>
        <w:tc>
          <w:tcPr>
            <w:tcW w:w="940"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9</w:t>
            </w:r>
          </w:p>
        </w:tc>
        <w:tc>
          <w:tcPr>
            <w:tcW w:w="5483" w:type="dxa"/>
            <w:tcBorders>
              <w:top w:val="nil"/>
              <w:left w:val="nil"/>
              <w:bottom w:val="single" w:color="auto" w:sz="4" w:space="0"/>
              <w:right w:val="single" w:color="auto" w:sz="4" w:space="0"/>
            </w:tcBorders>
            <w:noWrap/>
            <w:vAlign w:val="center"/>
          </w:tcPr>
          <w:p>
            <w:pPr>
              <w:pStyle w:val="33"/>
              <w:rPr>
                <w:rFonts w:ascii="宋体" w:hAnsi="宋体" w:cs="宋体"/>
                <w:kern w:val="0"/>
              </w:rPr>
            </w:pPr>
            <w:r>
              <w:rPr>
                <w:rFonts w:hint="eastAsia" w:ascii="宋体" w:hAnsi="宋体" w:cs="宋体"/>
                <w:kern w:val="0"/>
              </w:rPr>
              <w:t>　</w:t>
            </w:r>
          </w:p>
        </w:tc>
        <w:tc>
          <w:tcPr>
            <w:tcW w:w="1843" w:type="dxa"/>
            <w:tcBorders>
              <w:top w:val="nil"/>
              <w:left w:val="nil"/>
              <w:bottom w:val="single" w:color="auto" w:sz="4" w:space="0"/>
              <w:right w:val="single" w:color="auto" w:sz="4" w:space="0"/>
            </w:tcBorders>
            <w:noWrap/>
            <w:vAlign w:val="center"/>
          </w:tcPr>
          <w:p>
            <w:pPr>
              <w:pStyle w:val="33"/>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90" w:hRule="atLeast"/>
        </w:trPr>
        <w:tc>
          <w:tcPr>
            <w:tcW w:w="940" w:type="dxa"/>
            <w:tcBorders>
              <w:top w:val="nil"/>
              <w:left w:val="single" w:color="auto" w:sz="4" w:space="0"/>
              <w:bottom w:val="single" w:color="auto" w:sz="4" w:space="0"/>
              <w:right w:val="single" w:color="auto" w:sz="4" w:space="0"/>
            </w:tcBorders>
            <w:noWrap/>
            <w:vAlign w:val="center"/>
          </w:tcPr>
          <w:p>
            <w:pPr>
              <w:pStyle w:val="33"/>
              <w:jc w:val="center"/>
              <w:rPr>
                <w:rFonts w:ascii="宋体" w:hAnsi="宋体" w:cs="宋体"/>
                <w:kern w:val="0"/>
              </w:rPr>
            </w:pPr>
            <w:r>
              <w:rPr>
                <w:rFonts w:hint="eastAsia" w:ascii="宋体" w:hAnsi="宋体" w:cs="宋体"/>
                <w:kern w:val="0"/>
              </w:rPr>
              <w:t>10</w:t>
            </w:r>
          </w:p>
        </w:tc>
        <w:tc>
          <w:tcPr>
            <w:tcW w:w="5483" w:type="dxa"/>
            <w:tcBorders>
              <w:top w:val="nil"/>
              <w:left w:val="nil"/>
              <w:bottom w:val="single" w:color="auto" w:sz="4" w:space="0"/>
              <w:right w:val="single" w:color="auto" w:sz="4" w:space="0"/>
            </w:tcBorders>
            <w:noWrap/>
            <w:vAlign w:val="center"/>
          </w:tcPr>
          <w:p>
            <w:pPr>
              <w:pStyle w:val="33"/>
              <w:rPr>
                <w:rFonts w:ascii="宋体" w:hAnsi="宋体" w:cs="宋体"/>
                <w:kern w:val="0"/>
              </w:rPr>
            </w:pPr>
            <w:r>
              <w:rPr>
                <w:rFonts w:hint="eastAsia" w:ascii="宋体" w:hAnsi="宋体" w:cs="宋体"/>
                <w:kern w:val="0"/>
              </w:rPr>
              <w:t>　</w:t>
            </w:r>
          </w:p>
        </w:tc>
        <w:tc>
          <w:tcPr>
            <w:tcW w:w="1843" w:type="dxa"/>
            <w:tcBorders>
              <w:top w:val="nil"/>
              <w:left w:val="nil"/>
              <w:bottom w:val="single" w:color="auto" w:sz="4" w:space="0"/>
              <w:right w:val="single" w:color="auto" w:sz="4" w:space="0"/>
            </w:tcBorders>
            <w:noWrap/>
            <w:vAlign w:val="center"/>
          </w:tcPr>
          <w:p>
            <w:pPr>
              <w:pStyle w:val="33"/>
              <w:rPr>
                <w:rFonts w:ascii="宋体" w:hAnsi="宋体" w:cs="宋体"/>
                <w:kern w:val="0"/>
              </w:rPr>
            </w:pPr>
            <w:r>
              <w:rPr>
                <w:rFonts w:hint="eastAsia" w:ascii="宋体" w:hAnsi="宋体" w:cs="宋体"/>
                <w:kern w:val="0"/>
              </w:rPr>
              <w:t>　</w:t>
            </w:r>
          </w:p>
        </w:tc>
      </w:tr>
    </w:tbl>
    <w:p>
      <w:pPr>
        <w:pStyle w:val="33"/>
        <w:rPr>
          <w:szCs w:val="21"/>
        </w:rPr>
      </w:pPr>
      <w:r>
        <w:rPr>
          <w:rFonts w:hint="eastAsia"/>
          <w:szCs w:val="21"/>
        </w:rPr>
        <w:t>备注：本表中投标人排名不分先后。</w:t>
      </w:r>
    </w:p>
    <w:p>
      <w:pPr>
        <w:pStyle w:val="33"/>
      </w:pPr>
      <w:r>
        <w:rPr>
          <w:rFonts w:hint="eastAsia"/>
        </w:rPr>
        <w:t>评标委员会全体成员签字：</w:t>
      </w:r>
      <w:r>
        <w:t xml:space="preserve">                                  </w:t>
      </w:r>
      <w:r>
        <w:rPr>
          <w:rFonts w:hint="eastAsia"/>
        </w:rPr>
        <w:t>年</w:t>
      </w:r>
      <w:r>
        <w:t xml:space="preserve">      </w:t>
      </w:r>
      <w:r>
        <w:rPr>
          <w:rFonts w:hint="eastAsia"/>
        </w:rPr>
        <w:t>月</w:t>
      </w:r>
      <w:r>
        <w:t xml:space="preserve">      </w:t>
      </w:r>
      <w:r>
        <w:rPr>
          <w:rFonts w:hint="eastAsia"/>
        </w:rPr>
        <w:t>日</w:t>
      </w:r>
    </w:p>
    <w:p>
      <w:pPr>
        <w:pStyle w:val="33"/>
        <w:ind w:left="0" w:firstLine="0"/>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pPr>
    </w:p>
    <w:p>
      <w:pPr>
        <w:pStyle w:val="33"/>
        <w:sectPr>
          <w:pgSz w:w="11906" w:h="16838"/>
          <w:pgMar w:top="1440" w:right="1800" w:bottom="1440" w:left="1800" w:header="851" w:footer="992" w:gutter="0"/>
          <w:pgNumType w:fmt="numberInDash"/>
          <w:cols w:space="720" w:num="1"/>
          <w:docGrid w:linePitch="312" w:charSpace="0"/>
        </w:sectPr>
      </w:pPr>
    </w:p>
    <w:tbl>
      <w:tblPr>
        <w:tblStyle w:val="22"/>
        <w:tblW w:w="5000" w:type="pct"/>
        <w:tblInd w:w="0" w:type="dxa"/>
        <w:tblLayout w:type="autofit"/>
        <w:tblCellMar>
          <w:top w:w="0" w:type="dxa"/>
          <w:left w:w="108" w:type="dxa"/>
          <w:bottom w:w="0" w:type="dxa"/>
          <w:right w:w="108" w:type="dxa"/>
        </w:tblCellMar>
      </w:tblPr>
      <w:tblGrid>
        <w:gridCol w:w="704"/>
        <w:gridCol w:w="4459"/>
        <w:gridCol w:w="2032"/>
        <w:gridCol w:w="1908"/>
        <w:gridCol w:w="2266"/>
        <w:gridCol w:w="2085"/>
      </w:tblGrid>
      <w:tr>
        <w:tblPrEx>
          <w:tblCellMar>
            <w:top w:w="0" w:type="dxa"/>
            <w:left w:w="108" w:type="dxa"/>
            <w:bottom w:w="0" w:type="dxa"/>
            <w:right w:w="108" w:type="dxa"/>
          </w:tblCellMar>
        </w:tblPrEx>
        <w:trPr>
          <w:trHeight w:val="330"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附件3-8-（1）投标报价（下浮率）得分表</w:t>
            </w:r>
          </w:p>
        </w:tc>
      </w:tr>
      <w:tr>
        <w:tblPrEx>
          <w:tblCellMar>
            <w:top w:w="0" w:type="dxa"/>
            <w:left w:w="108" w:type="dxa"/>
            <w:bottom w:w="0" w:type="dxa"/>
            <w:right w:w="108" w:type="dxa"/>
          </w:tblCellMar>
        </w:tblPrEx>
        <w:trPr>
          <w:trHeight w:val="750" w:hRule="atLeast"/>
        </w:trPr>
        <w:tc>
          <w:tcPr>
            <w:tcW w:w="5000" w:type="pct"/>
            <w:gridSpan w:val="6"/>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项目</w:t>
            </w:r>
            <w:r>
              <w:rPr>
                <w:rFonts w:ascii="黑体" w:hAnsi="黑体" w:eastAsia="黑体" w:cs="宋体"/>
                <w:b/>
                <w:bCs/>
                <w:kern w:val="0"/>
                <w:sz w:val="32"/>
                <w:szCs w:val="32"/>
              </w:rPr>
              <w:t>管理</w:t>
            </w:r>
            <w:r>
              <w:rPr>
                <w:rFonts w:hint="eastAsia" w:ascii="黑体" w:hAnsi="黑体" w:eastAsia="黑体" w:cs="宋体"/>
                <w:b/>
                <w:bCs/>
                <w:kern w:val="0"/>
                <w:sz w:val="32"/>
                <w:szCs w:val="32"/>
              </w:rPr>
              <w:t>－－投标报价（下浮率）得分表</w:t>
            </w:r>
          </w:p>
        </w:tc>
      </w:tr>
      <w:tr>
        <w:tblPrEx>
          <w:tblCellMar>
            <w:top w:w="0" w:type="dxa"/>
            <w:left w:w="108" w:type="dxa"/>
            <w:bottom w:w="0" w:type="dxa"/>
            <w:right w:w="108" w:type="dxa"/>
          </w:tblCellMar>
        </w:tblPrEx>
        <w:trPr>
          <w:trHeight w:val="48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p>
            <w:pPr>
              <w:widowControl/>
              <w:jc w:val="left"/>
              <w:rPr>
                <w:rFonts w:ascii="宋体" w:hAnsi="宋体" w:cs="宋体"/>
                <w:kern w:val="0"/>
                <w:sz w:val="24"/>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192" w:hRule="atLeast"/>
        </w:trPr>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65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75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投标报价</w:t>
            </w:r>
          </w:p>
          <w:p>
            <w:pPr>
              <w:widowControl/>
              <w:jc w:val="center"/>
              <w:rPr>
                <w:rFonts w:ascii="宋体" w:hAnsi="宋体" w:cs="宋体"/>
                <w:kern w:val="0"/>
                <w:szCs w:val="21"/>
              </w:rPr>
            </w:pPr>
            <w:r>
              <w:rPr>
                <w:rFonts w:hint="eastAsia" w:ascii="宋体" w:hAnsi="宋体" w:cs="宋体"/>
                <w:kern w:val="0"/>
                <w:szCs w:val="21"/>
              </w:rPr>
              <w:t>（下浮率）              （%）</w:t>
            </w:r>
          </w:p>
        </w:tc>
        <w:tc>
          <w:tcPr>
            <w:tcW w:w="70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基准价</w:t>
            </w:r>
          </w:p>
          <w:p>
            <w:pPr>
              <w:widowControl/>
              <w:jc w:val="center"/>
              <w:rPr>
                <w:rFonts w:ascii="宋体" w:hAnsi="宋体" w:cs="宋体"/>
                <w:kern w:val="0"/>
                <w:szCs w:val="21"/>
              </w:rPr>
            </w:pPr>
            <w:r>
              <w:rPr>
                <w:rFonts w:hint="eastAsia" w:ascii="宋体" w:hAnsi="宋体" w:cs="宋体"/>
                <w:kern w:val="0"/>
                <w:szCs w:val="21"/>
              </w:rPr>
              <w:t>（下浮率）                   （%）</w:t>
            </w:r>
          </w:p>
        </w:tc>
        <w:tc>
          <w:tcPr>
            <w:tcW w:w="8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偏差率</w:t>
            </w:r>
          </w:p>
        </w:tc>
        <w:tc>
          <w:tcPr>
            <w:tcW w:w="77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65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55"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709"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p>
        </w:tc>
        <w:tc>
          <w:tcPr>
            <w:tcW w:w="773"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65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55"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84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73"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65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55"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842"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73"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65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55"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842"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73"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65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55"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842"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73"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5000" w:type="pct"/>
            <w:gridSpan w:val="6"/>
            <w:tcBorders>
              <w:top w:val="nil"/>
              <w:left w:val="single" w:color="auto" w:sz="4" w:space="0"/>
              <w:bottom w:val="single" w:color="auto" w:sz="4" w:space="0"/>
              <w:right w:val="single" w:color="auto" w:sz="4" w:space="0"/>
            </w:tcBorders>
            <w:vAlign w:val="center"/>
          </w:tcPr>
          <w:p>
            <w:pPr>
              <w:rPr>
                <w:szCs w:val="22"/>
              </w:rPr>
            </w:pPr>
            <w:r>
              <w:rPr>
                <w:rFonts w:hint="eastAsia"/>
                <w:szCs w:val="22"/>
              </w:rPr>
              <w:t>注：评标基准价（下浮率）=各有效投标报价（下浮率）之和</w:t>
            </w:r>
            <w:r>
              <w:rPr>
                <w:rFonts w:hint="eastAsia"/>
              </w:rPr>
              <w:t>/</w:t>
            </w:r>
            <w:r>
              <w:rPr>
                <w:rFonts w:hint="eastAsia"/>
                <w:szCs w:val="22"/>
              </w:rPr>
              <w:t>有效投标单位个数。</w:t>
            </w:r>
          </w:p>
          <w:p>
            <w:pPr>
              <w:jc w:val="left"/>
              <w:rPr>
                <w:rFonts w:ascii="宋体" w:hAnsi="宋体" w:cs="宋体"/>
                <w:b/>
                <w:bCs/>
                <w:kern w:val="0"/>
                <w:szCs w:val="21"/>
              </w:rPr>
            </w:pPr>
            <w:r>
              <w:rPr>
                <w:rFonts w:hint="eastAsia"/>
              </w:rPr>
              <w:t>投标人数量≤5时，评标基准价采用全部有效投标报价计算；5＜投标人数量≤20时，评标基准价采用去除有效报价最高、最低各1个计算；投标人数量＞20时，评标基准价采用去除有效报价最高、最低各2个计算。</w:t>
            </w:r>
          </w:p>
        </w:tc>
      </w:tr>
      <w:tr>
        <w:tblPrEx>
          <w:tblCellMar>
            <w:top w:w="0" w:type="dxa"/>
            <w:left w:w="108" w:type="dxa"/>
            <w:bottom w:w="0" w:type="dxa"/>
            <w:right w:w="108" w:type="dxa"/>
          </w:tblCellMar>
        </w:tblPrEx>
        <w:trPr>
          <w:trHeight w:val="525" w:hRule="atLeast"/>
        </w:trPr>
        <w:tc>
          <w:tcPr>
            <w:tcW w:w="1919"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755"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09"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615" w:type="pct"/>
            <w:gridSpan w:val="2"/>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年  月  </w:t>
            </w:r>
            <w:r>
              <w:rPr>
                <w:rFonts w:ascii="宋体" w:hAnsi="宋体" w:cs="宋体"/>
                <w:kern w:val="0"/>
                <w:szCs w:val="21"/>
              </w:rPr>
              <w:t>日</w:t>
            </w:r>
          </w:p>
        </w:tc>
      </w:tr>
    </w:tbl>
    <w:p/>
    <w:p>
      <w:r>
        <w:br w:type="page"/>
      </w:r>
    </w:p>
    <w:p/>
    <w:tbl>
      <w:tblPr>
        <w:tblStyle w:val="22"/>
        <w:tblW w:w="5000" w:type="pct"/>
        <w:tblInd w:w="0" w:type="dxa"/>
        <w:tblLayout w:type="autofit"/>
        <w:tblCellMar>
          <w:top w:w="0" w:type="dxa"/>
          <w:left w:w="108" w:type="dxa"/>
          <w:bottom w:w="0" w:type="dxa"/>
          <w:right w:w="108" w:type="dxa"/>
        </w:tblCellMar>
      </w:tblPr>
      <w:tblGrid>
        <w:gridCol w:w="694"/>
        <w:gridCol w:w="1485"/>
        <w:gridCol w:w="869"/>
        <w:gridCol w:w="869"/>
        <w:gridCol w:w="869"/>
        <w:gridCol w:w="869"/>
        <w:gridCol w:w="869"/>
        <w:gridCol w:w="869"/>
        <w:gridCol w:w="869"/>
        <w:gridCol w:w="869"/>
        <w:gridCol w:w="869"/>
        <w:gridCol w:w="869"/>
        <w:gridCol w:w="869"/>
        <w:gridCol w:w="869"/>
        <w:gridCol w:w="847"/>
      </w:tblGrid>
      <w:tr>
        <w:tblPrEx>
          <w:tblCellMar>
            <w:top w:w="0" w:type="dxa"/>
            <w:left w:w="108" w:type="dxa"/>
            <w:bottom w:w="0" w:type="dxa"/>
            <w:right w:w="108" w:type="dxa"/>
          </w:tblCellMar>
        </w:tblPrEx>
        <w:trPr>
          <w:trHeight w:val="528" w:hRule="atLeast"/>
        </w:trPr>
        <w:tc>
          <w:tcPr>
            <w:tcW w:w="907" w:type="dxa"/>
            <w:gridSpan w:val="15"/>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附件3-8-（1）服务方案评审得分表</w:t>
            </w:r>
          </w:p>
        </w:tc>
      </w:tr>
      <w:tr>
        <w:tblPrEx>
          <w:tblCellMar>
            <w:top w:w="0" w:type="dxa"/>
            <w:left w:w="108" w:type="dxa"/>
            <w:bottom w:w="0" w:type="dxa"/>
            <w:right w:w="108" w:type="dxa"/>
          </w:tblCellMar>
        </w:tblPrEx>
        <w:trPr>
          <w:trHeight w:val="390" w:hRule="atLeast"/>
        </w:trPr>
        <w:tc>
          <w:tcPr>
            <w:tcW w:w="907" w:type="dxa"/>
            <w:gridSpan w:val="15"/>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项目</w:t>
            </w:r>
            <w:r>
              <w:rPr>
                <w:rFonts w:ascii="黑体" w:hAnsi="黑体" w:eastAsia="黑体" w:cs="宋体"/>
                <w:b/>
                <w:bCs/>
                <w:kern w:val="0"/>
                <w:sz w:val="32"/>
                <w:szCs w:val="32"/>
              </w:rPr>
              <w:t>管理</w:t>
            </w:r>
            <w:r>
              <w:rPr>
                <w:rFonts w:hint="eastAsia" w:ascii="黑体" w:hAnsi="黑体" w:eastAsia="黑体" w:cs="宋体"/>
                <w:b/>
                <w:bCs/>
                <w:kern w:val="0"/>
                <w:sz w:val="32"/>
                <w:szCs w:val="32"/>
              </w:rPr>
              <w:t>－－服务方案评审得分表</w:t>
            </w:r>
          </w:p>
        </w:tc>
      </w:tr>
      <w:tr>
        <w:tblPrEx>
          <w:tblCellMar>
            <w:top w:w="0" w:type="dxa"/>
            <w:left w:w="108" w:type="dxa"/>
            <w:bottom w:w="0" w:type="dxa"/>
            <w:right w:w="108" w:type="dxa"/>
          </w:tblCellMar>
        </w:tblPrEx>
        <w:trPr>
          <w:trHeight w:val="390" w:hRule="atLeast"/>
        </w:trPr>
        <w:tc>
          <w:tcPr>
            <w:tcW w:w="907" w:type="dxa"/>
            <w:gridSpan w:val="15"/>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p>
            <w:pPr>
              <w:pStyle w:val="2"/>
              <w:rPr>
                <w:rFonts w:ascii="宋体" w:hAnsi="宋体" w:cs="宋体"/>
                <w:kern w:val="0"/>
                <w:szCs w:val="21"/>
              </w:rPr>
            </w:pPr>
            <w:r>
              <w:rPr>
                <w:rFonts w:hint="eastAsia" w:ascii="宋体" w:hAnsi="宋体" w:cs="宋体"/>
                <w:b w:val="0"/>
                <w:bCs w:val="0"/>
                <w:kern w:val="0"/>
                <w:szCs w:val="21"/>
              </w:rPr>
              <w:t>项目编号：</w:t>
            </w:r>
          </w:p>
        </w:tc>
      </w:tr>
      <w:tr>
        <w:tblPrEx>
          <w:tblCellMar>
            <w:top w:w="0" w:type="dxa"/>
            <w:left w:w="108" w:type="dxa"/>
            <w:bottom w:w="0" w:type="dxa"/>
            <w:right w:w="108" w:type="dxa"/>
          </w:tblCellMar>
        </w:tblPrEx>
        <w:trPr>
          <w:trHeight w:val="622" w:hRule="atLeast"/>
        </w:trPr>
        <w:tc>
          <w:tcPr>
            <w:tcW w:w="7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6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907" w:type="dxa"/>
            <w:gridSpan w:val="1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Cs w:val="21"/>
              </w:rPr>
            </w:pPr>
            <w:r>
              <w:rPr>
                <w:rFonts w:hint="eastAsia" w:ascii="宋体" w:hAnsi="宋体" w:cs="宋体"/>
                <w:kern w:val="0"/>
                <w:szCs w:val="21"/>
              </w:rPr>
              <w:t>服务方案（满分30分）</w:t>
            </w:r>
          </w:p>
        </w:tc>
        <w:tc>
          <w:tcPr>
            <w:tcW w:w="8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得分</w:t>
            </w:r>
          </w:p>
          <w:p>
            <w:pPr>
              <w:widowControl/>
              <w:jc w:val="center"/>
              <w:rPr>
                <w:rFonts w:ascii="宋体" w:hAnsi="宋体" w:cs="宋体"/>
                <w:kern w:val="0"/>
                <w:sz w:val="18"/>
                <w:szCs w:val="18"/>
              </w:rPr>
            </w:pPr>
            <w:r>
              <w:rPr>
                <w:rFonts w:hint="eastAsia" w:ascii="宋体" w:hAnsi="宋体" w:cs="宋体"/>
                <w:kern w:val="0"/>
                <w:sz w:val="18"/>
                <w:szCs w:val="18"/>
              </w:rPr>
              <w:t>（满分30分）</w:t>
            </w:r>
          </w:p>
        </w:tc>
      </w:tr>
      <w:tr>
        <w:tblPrEx>
          <w:tblCellMar>
            <w:top w:w="0" w:type="dxa"/>
            <w:left w:w="108" w:type="dxa"/>
            <w:bottom w:w="0" w:type="dxa"/>
            <w:right w:w="108" w:type="dxa"/>
          </w:tblCellMar>
        </w:tblPrEx>
        <w:trPr>
          <w:trHeight w:val="810" w:hRule="atLeast"/>
        </w:trPr>
        <w:tc>
          <w:tcPr>
            <w:tcW w:w="7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1</w:t>
            </w:r>
          </w:p>
          <w:p>
            <w:pPr>
              <w:widowControl/>
              <w:rPr>
                <w:rFonts w:ascii="宋体" w:hAnsi="宋体" w:cs="宋体"/>
                <w:kern w:val="0"/>
                <w:sz w:val="15"/>
                <w:szCs w:val="15"/>
              </w:rPr>
            </w:pPr>
            <w:r>
              <w:rPr>
                <w:rFonts w:hint="eastAsia" w:ascii="宋体" w:hAnsi="宋体" w:cs="宋体"/>
                <w:kern w:val="0"/>
                <w:sz w:val="15"/>
                <w:szCs w:val="15"/>
              </w:rPr>
              <w:t>（0-7分）</w:t>
            </w: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2</w:t>
            </w:r>
          </w:p>
          <w:p>
            <w:pPr>
              <w:widowControl/>
              <w:rPr>
                <w:rFonts w:ascii="宋体" w:hAnsi="宋体" w:cs="宋体"/>
                <w:kern w:val="0"/>
                <w:sz w:val="15"/>
                <w:szCs w:val="15"/>
              </w:rPr>
            </w:pPr>
            <w:r>
              <w:rPr>
                <w:rFonts w:hint="eastAsia" w:ascii="宋体" w:hAnsi="宋体" w:cs="宋体"/>
                <w:kern w:val="0"/>
                <w:sz w:val="15"/>
                <w:szCs w:val="15"/>
              </w:rPr>
              <w:t>（0-3分）</w:t>
            </w: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 xml:space="preserve">3   </w:t>
            </w:r>
          </w:p>
          <w:p>
            <w:pPr>
              <w:widowControl/>
              <w:rPr>
                <w:rFonts w:ascii="宋体" w:hAnsi="宋体" w:cs="宋体"/>
                <w:kern w:val="0"/>
                <w:sz w:val="15"/>
                <w:szCs w:val="15"/>
              </w:rPr>
            </w:pPr>
            <w:r>
              <w:rPr>
                <w:rFonts w:hint="eastAsia" w:ascii="宋体" w:hAnsi="宋体" w:cs="宋体"/>
                <w:kern w:val="0"/>
                <w:sz w:val="15"/>
                <w:szCs w:val="15"/>
              </w:rPr>
              <w:t>（0-2分）</w:t>
            </w: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 xml:space="preserve">4   </w:t>
            </w:r>
          </w:p>
          <w:p>
            <w:pPr>
              <w:widowControl/>
              <w:rPr>
                <w:rFonts w:ascii="宋体" w:hAnsi="宋体" w:cs="宋体"/>
                <w:kern w:val="0"/>
                <w:sz w:val="15"/>
                <w:szCs w:val="15"/>
              </w:rPr>
            </w:pPr>
            <w:r>
              <w:rPr>
                <w:rFonts w:hint="eastAsia" w:ascii="宋体" w:hAnsi="宋体" w:cs="宋体"/>
                <w:kern w:val="0"/>
                <w:sz w:val="15"/>
                <w:szCs w:val="15"/>
              </w:rPr>
              <w:t>（0-2分）</w:t>
            </w: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 xml:space="preserve">5 </w:t>
            </w:r>
          </w:p>
          <w:p>
            <w:pPr>
              <w:widowControl/>
              <w:rPr>
                <w:rFonts w:ascii="宋体" w:hAnsi="宋体" w:cs="宋体"/>
                <w:kern w:val="0"/>
                <w:sz w:val="15"/>
                <w:szCs w:val="15"/>
              </w:rPr>
            </w:pPr>
            <w:r>
              <w:rPr>
                <w:rFonts w:hint="eastAsia" w:ascii="宋体" w:hAnsi="宋体" w:cs="宋体"/>
                <w:kern w:val="0"/>
                <w:sz w:val="15"/>
                <w:szCs w:val="15"/>
              </w:rPr>
              <w:t>（0-2分）</w:t>
            </w: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ascii="宋体" w:hAnsi="宋体" w:cs="宋体"/>
                <w:kern w:val="0"/>
                <w:sz w:val="15"/>
                <w:szCs w:val="15"/>
              </w:rPr>
              <w:t>6</w:t>
            </w:r>
            <w:r>
              <w:rPr>
                <w:rFonts w:hint="eastAsia" w:ascii="宋体" w:hAnsi="宋体" w:cs="宋体"/>
                <w:kern w:val="0"/>
                <w:sz w:val="15"/>
                <w:szCs w:val="15"/>
              </w:rPr>
              <w:t xml:space="preserve"> </w:t>
            </w:r>
          </w:p>
          <w:p>
            <w:pPr>
              <w:widowControl/>
              <w:rPr>
                <w:rFonts w:ascii="宋体" w:hAnsi="宋体" w:cs="宋体"/>
                <w:kern w:val="0"/>
                <w:sz w:val="15"/>
                <w:szCs w:val="15"/>
              </w:rPr>
            </w:pPr>
            <w:r>
              <w:rPr>
                <w:rFonts w:hint="eastAsia" w:ascii="宋体" w:hAnsi="宋体" w:cs="宋体"/>
                <w:kern w:val="0"/>
                <w:sz w:val="15"/>
                <w:szCs w:val="15"/>
              </w:rPr>
              <w:t>（0-2分）</w:t>
            </w: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 xml:space="preserve">7  </w:t>
            </w:r>
          </w:p>
          <w:p>
            <w:pPr>
              <w:widowControl/>
              <w:rPr>
                <w:rFonts w:ascii="宋体" w:hAnsi="宋体" w:cs="宋体"/>
                <w:kern w:val="0"/>
                <w:sz w:val="15"/>
                <w:szCs w:val="15"/>
              </w:rPr>
            </w:pPr>
            <w:r>
              <w:rPr>
                <w:rFonts w:hint="eastAsia" w:ascii="宋体" w:hAnsi="宋体" w:cs="宋体"/>
                <w:kern w:val="0"/>
                <w:sz w:val="15"/>
                <w:szCs w:val="15"/>
              </w:rPr>
              <w:t>（0-2分）</w:t>
            </w: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 xml:space="preserve">8  </w:t>
            </w:r>
          </w:p>
          <w:p>
            <w:pPr>
              <w:widowControl/>
              <w:rPr>
                <w:rFonts w:ascii="宋体" w:hAnsi="宋体" w:cs="宋体"/>
                <w:kern w:val="0"/>
                <w:sz w:val="15"/>
                <w:szCs w:val="15"/>
              </w:rPr>
            </w:pPr>
            <w:r>
              <w:rPr>
                <w:rFonts w:hint="eastAsia" w:ascii="宋体" w:hAnsi="宋体" w:cs="宋体"/>
                <w:kern w:val="0"/>
                <w:sz w:val="15"/>
                <w:szCs w:val="15"/>
              </w:rPr>
              <w:t>（0-2分）</w:t>
            </w: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 xml:space="preserve">9  </w:t>
            </w:r>
          </w:p>
          <w:p>
            <w:pPr>
              <w:widowControl/>
              <w:rPr>
                <w:rFonts w:ascii="宋体" w:hAnsi="宋体" w:cs="宋体"/>
                <w:kern w:val="0"/>
                <w:sz w:val="15"/>
                <w:szCs w:val="15"/>
              </w:rPr>
            </w:pPr>
            <w:r>
              <w:rPr>
                <w:rFonts w:hint="eastAsia" w:ascii="宋体" w:hAnsi="宋体" w:cs="宋体"/>
                <w:kern w:val="0"/>
                <w:sz w:val="15"/>
                <w:szCs w:val="15"/>
              </w:rPr>
              <w:t>（0-2分）</w:t>
            </w: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 xml:space="preserve">10  </w:t>
            </w:r>
          </w:p>
          <w:p>
            <w:pPr>
              <w:widowControl/>
              <w:rPr>
                <w:rFonts w:ascii="宋体" w:hAnsi="宋体" w:cs="宋体"/>
                <w:kern w:val="0"/>
                <w:sz w:val="15"/>
                <w:szCs w:val="15"/>
              </w:rPr>
            </w:pPr>
            <w:r>
              <w:rPr>
                <w:rFonts w:hint="eastAsia" w:ascii="宋体" w:hAnsi="宋体" w:cs="宋体"/>
                <w:kern w:val="0"/>
                <w:sz w:val="15"/>
                <w:szCs w:val="15"/>
              </w:rPr>
              <w:t>（0-2分）</w:t>
            </w: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 xml:space="preserve">11 </w:t>
            </w:r>
          </w:p>
          <w:p>
            <w:pPr>
              <w:widowControl/>
              <w:rPr>
                <w:rFonts w:ascii="宋体" w:hAnsi="宋体" w:cs="宋体"/>
                <w:kern w:val="0"/>
                <w:sz w:val="15"/>
                <w:szCs w:val="15"/>
              </w:rPr>
            </w:pPr>
            <w:r>
              <w:rPr>
                <w:rFonts w:hint="eastAsia" w:ascii="宋体" w:hAnsi="宋体" w:cs="宋体"/>
                <w:kern w:val="0"/>
                <w:sz w:val="15"/>
                <w:szCs w:val="15"/>
              </w:rPr>
              <w:t>（0-2分）</w:t>
            </w: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 xml:space="preserve">12 </w:t>
            </w:r>
          </w:p>
          <w:p>
            <w:pPr>
              <w:widowControl/>
              <w:rPr>
                <w:rFonts w:ascii="宋体" w:hAnsi="宋体" w:cs="宋体"/>
                <w:kern w:val="0"/>
                <w:sz w:val="15"/>
                <w:szCs w:val="15"/>
              </w:rPr>
            </w:pPr>
            <w:r>
              <w:rPr>
                <w:rFonts w:hint="eastAsia" w:ascii="宋体" w:hAnsi="宋体" w:cs="宋体"/>
                <w:kern w:val="0"/>
                <w:sz w:val="15"/>
                <w:szCs w:val="15"/>
              </w:rPr>
              <w:t>（0-2分）</w:t>
            </w: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750" w:hRule="atLeast"/>
        </w:trPr>
        <w:tc>
          <w:tcPr>
            <w:tcW w:w="7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630"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883"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750" w:hRule="atLeast"/>
        </w:trPr>
        <w:tc>
          <w:tcPr>
            <w:tcW w:w="7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630"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883"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750" w:hRule="atLeast"/>
        </w:trPr>
        <w:tc>
          <w:tcPr>
            <w:tcW w:w="7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630"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883"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750" w:hRule="atLeast"/>
        </w:trPr>
        <w:tc>
          <w:tcPr>
            <w:tcW w:w="7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630"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883"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750" w:hRule="atLeast"/>
        </w:trPr>
        <w:tc>
          <w:tcPr>
            <w:tcW w:w="7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630"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p>
        </w:tc>
        <w:tc>
          <w:tcPr>
            <w:tcW w:w="883"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p>
        </w:tc>
      </w:tr>
      <w:tr>
        <w:tblPrEx>
          <w:tblCellMar>
            <w:top w:w="0" w:type="dxa"/>
            <w:left w:w="108" w:type="dxa"/>
            <w:bottom w:w="0" w:type="dxa"/>
            <w:right w:w="108" w:type="dxa"/>
          </w:tblCellMar>
        </w:tblPrEx>
        <w:trPr>
          <w:trHeight w:val="1020" w:hRule="atLeast"/>
        </w:trPr>
        <w:tc>
          <w:tcPr>
            <w:tcW w:w="7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备注</w:t>
            </w:r>
          </w:p>
        </w:tc>
        <w:tc>
          <w:tcPr>
            <w:tcW w:w="907" w:type="dxa"/>
            <w:gridSpan w:val="14"/>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b/>
                <w:bCs/>
                <w:kern w:val="0"/>
                <w:sz w:val="18"/>
                <w:szCs w:val="18"/>
              </w:rPr>
              <w:t>1</w:t>
            </w:r>
            <w:r>
              <w:rPr>
                <w:rFonts w:hint="eastAsia" w:ascii="宋体" w:hAnsi="宋体" w:cs="宋体"/>
                <w:kern w:val="0"/>
                <w:sz w:val="18"/>
                <w:szCs w:val="18"/>
              </w:rPr>
              <w:t>整体方案：针对本项目整体管理思路，负责项目全过程内、外部关系协调，处理往来文件，对工程进度、质量、安全等管理措施进行横向对比，差别赋分（0-7）</w:t>
            </w:r>
            <w:r>
              <w:rPr>
                <w:rFonts w:hint="eastAsia" w:ascii="宋体" w:hAnsi="宋体" w:cs="宋体"/>
                <w:b/>
                <w:bCs/>
                <w:kern w:val="0"/>
                <w:sz w:val="18"/>
                <w:szCs w:val="18"/>
              </w:rPr>
              <w:t>2</w:t>
            </w:r>
            <w:r>
              <w:rPr>
                <w:rFonts w:hint="eastAsia" w:ascii="宋体" w:hAnsi="宋体" w:cs="宋体"/>
                <w:kern w:val="0"/>
                <w:sz w:val="18"/>
                <w:szCs w:val="18"/>
              </w:rPr>
              <w:t>代建管理目标、范围和内容：（0-3分）</w:t>
            </w:r>
            <w:r>
              <w:rPr>
                <w:rFonts w:hint="eastAsia" w:ascii="宋体" w:hAnsi="宋体" w:cs="宋体"/>
                <w:b/>
                <w:bCs/>
                <w:kern w:val="0"/>
                <w:sz w:val="18"/>
                <w:szCs w:val="18"/>
              </w:rPr>
              <w:t>3</w:t>
            </w:r>
            <w:r>
              <w:rPr>
                <w:rFonts w:hint="eastAsia" w:ascii="宋体" w:hAnsi="宋体" w:cs="宋体"/>
                <w:kern w:val="0"/>
                <w:sz w:val="18"/>
                <w:szCs w:val="18"/>
              </w:rPr>
              <w:t>项目前期管理：（0-2分）</w:t>
            </w:r>
            <w:r>
              <w:rPr>
                <w:rFonts w:hint="eastAsia" w:ascii="宋体" w:hAnsi="宋体" w:cs="宋体"/>
                <w:b/>
                <w:bCs/>
                <w:kern w:val="0"/>
                <w:sz w:val="18"/>
                <w:szCs w:val="18"/>
              </w:rPr>
              <w:t>4</w:t>
            </w:r>
            <w:r>
              <w:rPr>
                <w:rFonts w:hint="eastAsia" w:ascii="宋体" w:hAnsi="宋体" w:cs="宋体"/>
                <w:kern w:val="0"/>
                <w:sz w:val="18"/>
                <w:szCs w:val="18"/>
              </w:rPr>
              <w:t>投资控制：（0-2分）</w:t>
            </w:r>
            <w:r>
              <w:rPr>
                <w:rFonts w:hint="eastAsia" w:ascii="宋体" w:hAnsi="宋体" w:cs="宋体"/>
                <w:b/>
                <w:bCs/>
                <w:kern w:val="0"/>
                <w:sz w:val="18"/>
                <w:szCs w:val="18"/>
              </w:rPr>
              <w:t>5</w:t>
            </w:r>
            <w:r>
              <w:rPr>
                <w:rFonts w:hint="eastAsia" w:ascii="宋体" w:hAnsi="宋体" w:cs="宋体"/>
                <w:kern w:val="0"/>
                <w:sz w:val="18"/>
                <w:szCs w:val="18"/>
              </w:rPr>
              <w:t>质量控制：（0-2分）</w:t>
            </w:r>
            <w:r>
              <w:rPr>
                <w:rFonts w:hint="eastAsia" w:ascii="宋体" w:hAnsi="宋体" w:cs="宋体"/>
                <w:b/>
                <w:bCs/>
                <w:kern w:val="0"/>
                <w:sz w:val="18"/>
                <w:szCs w:val="18"/>
              </w:rPr>
              <w:t>6</w:t>
            </w:r>
            <w:r>
              <w:rPr>
                <w:rFonts w:hint="eastAsia" w:ascii="宋体" w:hAnsi="宋体" w:cs="宋体"/>
                <w:kern w:val="0"/>
                <w:sz w:val="18"/>
                <w:szCs w:val="18"/>
              </w:rPr>
              <w:t>安全、环境保护与职业健康管理：（0-2分）</w:t>
            </w:r>
            <w:r>
              <w:rPr>
                <w:rFonts w:hint="eastAsia" w:ascii="宋体" w:hAnsi="宋体" w:cs="宋体"/>
                <w:b/>
                <w:bCs/>
                <w:kern w:val="0"/>
                <w:sz w:val="18"/>
                <w:szCs w:val="18"/>
              </w:rPr>
              <w:t>7、</w:t>
            </w:r>
            <w:r>
              <w:rPr>
                <w:rFonts w:hint="eastAsia" w:ascii="宋体" w:hAnsi="宋体" w:cs="宋体"/>
                <w:kern w:val="0"/>
                <w:sz w:val="18"/>
                <w:szCs w:val="18"/>
              </w:rPr>
              <w:t>进度控制：（0-2分）</w:t>
            </w:r>
            <w:r>
              <w:rPr>
                <w:rFonts w:hint="eastAsia" w:ascii="宋体" w:hAnsi="宋体" w:cs="宋体"/>
                <w:b/>
                <w:bCs/>
                <w:kern w:val="0"/>
                <w:sz w:val="18"/>
                <w:szCs w:val="18"/>
              </w:rPr>
              <w:t>8</w:t>
            </w:r>
            <w:r>
              <w:rPr>
                <w:rFonts w:hint="eastAsia" w:ascii="宋体" w:hAnsi="宋体" w:cs="宋体"/>
                <w:kern w:val="0"/>
                <w:sz w:val="18"/>
                <w:szCs w:val="18"/>
              </w:rPr>
              <w:t>合同管理：（0-2分）</w:t>
            </w:r>
            <w:r>
              <w:rPr>
                <w:rFonts w:hint="eastAsia" w:ascii="宋体" w:hAnsi="宋体" w:cs="宋体"/>
                <w:b/>
                <w:bCs/>
                <w:kern w:val="0"/>
                <w:sz w:val="18"/>
                <w:szCs w:val="18"/>
              </w:rPr>
              <w:t>9</w:t>
            </w:r>
            <w:r>
              <w:rPr>
                <w:rFonts w:hint="eastAsia" w:ascii="宋体" w:hAnsi="宋体" w:cs="宋体"/>
                <w:kern w:val="0"/>
                <w:sz w:val="18"/>
                <w:szCs w:val="18"/>
              </w:rPr>
              <w:t>风险管理：（0-2分）</w:t>
            </w:r>
            <w:r>
              <w:rPr>
                <w:rFonts w:hint="eastAsia" w:ascii="宋体" w:hAnsi="宋体" w:cs="宋体"/>
                <w:b/>
                <w:bCs/>
                <w:kern w:val="0"/>
                <w:sz w:val="18"/>
                <w:szCs w:val="18"/>
              </w:rPr>
              <w:t>10</w:t>
            </w:r>
            <w:r>
              <w:rPr>
                <w:rFonts w:hint="eastAsia" w:ascii="宋体" w:hAnsi="宋体" w:cs="宋体"/>
                <w:kern w:val="0"/>
                <w:sz w:val="18"/>
                <w:szCs w:val="18"/>
              </w:rPr>
              <w:t>信息管理与沟通协调：（0-2分）</w:t>
            </w:r>
            <w:r>
              <w:rPr>
                <w:rFonts w:hint="eastAsia" w:ascii="宋体" w:hAnsi="宋体" w:cs="宋体"/>
                <w:b/>
                <w:bCs/>
                <w:kern w:val="0"/>
                <w:sz w:val="18"/>
                <w:szCs w:val="18"/>
              </w:rPr>
              <w:t>11</w:t>
            </w:r>
            <w:r>
              <w:rPr>
                <w:rFonts w:hint="eastAsia" w:ascii="宋体" w:hAnsi="宋体" w:cs="宋体"/>
                <w:kern w:val="0"/>
                <w:sz w:val="18"/>
                <w:szCs w:val="18"/>
              </w:rPr>
              <w:t>项目管理团队组织分工：（0-2分）</w:t>
            </w:r>
            <w:r>
              <w:rPr>
                <w:rFonts w:hint="eastAsia" w:ascii="宋体" w:hAnsi="宋体" w:cs="宋体"/>
                <w:b/>
                <w:bCs/>
                <w:kern w:val="0"/>
                <w:sz w:val="18"/>
                <w:szCs w:val="18"/>
              </w:rPr>
              <w:t>12</w:t>
            </w:r>
            <w:r>
              <w:rPr>
                <w:rFonts w:hint="eastAsia" w:ascii="宋体" w:hAnsi="宋体" w:cs="宋体"/>
                <w:kern w:val="0"/>
                <w:sz w:val="18"/>
                <w:szCs w:val="18"/>
              </w:rPr>
              <w:t>合理化建议：（0-2分）</w:t>
            </w:r>
          </w:p>
        </w:tc>
      </w:tr>
    </w:tbl>
    <w:p>
      <w:r>
        <w:rPr>
          <w:rFonts w:hint="eastAsia"/>
        </w:rPr>
        <w:t xml:space="preserve">评委签字：                                                                                                      </w:t>
      </w:r>
      <w:r>
        <w:rPr>
          <w:rFonts w:hint="eastAsia" w:ascii="宋体" w:hAnsi="宋体" w:cs="宋体"/>
          <w:kern w:val="0"/>
        </w:rPr>
        <w:t xml:space="preserve">年   月   </w:t>
      </w:r>
      <w:r>
        <w:rPr>
          <w:rFonts w:ascii="宋体" w:hAnsi="宋体" w:cs="宋体"/>
          <w:kern w:val="0"/>
        </w:rPr>
        <w:t>日</w:t>
      </w:r>
    </w:p>
    <w:p>
      <w:r>
        <w:br w:type="page"/>
      </w:r>
    </w:p>
    <w:p>
      <w:pPr>
        <w:pStyle w:val="2"/>
        <w:outlineLvl w:val="9"/>
      </w:pPr>
    </w:p>
    <w:tbl>
      <w:tblPr>
        <w:tblStyle w:val="22"/>
        <w:tblW w:w="4999" w:type="pct"/>
        <w:tblInd w:w="0" w:type="dxa"/>
        <w:tblLayout w:type="autofit"/>
        <w:tblCellMar>
          <w:top w:w="0" w:type="dxa"/>
          <w:left w:w="108" w:type="dxa"/>
          <w:bottom w:w="0" w:type="dxa"/>
          <w:right w:w="108" w:type="dxa"/>
        </w:tblCellMar>
      </w:tblPr>
      <w:tblGrid>
        <w:gridCol w:w="607"/>
        <w:gridCol w:w="2529"/>
        <w:gridCol w:w="1391"/>
        <w:gridCol w:w="920"/>
        <w:gridCol w:w="476"/>
        <w:gridCol w:w="681"/>
        <w:gridCol w:w="702"/>
        <w:gridCol w:w="455"/>
        <w:gridCol w:w="979"/>
        <w:gridCol w:w="178"/>
        <w:gridCol w:w="1243"/>
        <w:gridCol w:w="1420"/>
        <w:gridCol w:w="1870"/>
      </w:tblGrid>
      <w:tr>
        <w:tblPrEx>
          <w:tblCellMar>
            <w:top w:w="0" w:type="dxa"/>
            <w:left w:w="108" w:type="dxa"/>
            <w:bottom w:w="0" w:type="dxa"/>
            <w:right w:w="108" w:type="dxa"/>
          </w:tblCellMar>
        </w:tblPrEx>
        <w:trPr>
          <w:trHeight w:val="330" w:hRule="atLeast"/>
        </w:trPr>
        <w:tc>
          <w:tcPr>
            <w:tcW w:w="2025" w:type="pct"/>
            <w:gridSpan w:val="4"/>
            <w:tcBorders>
              <w:top w:val="nil"/>
              <w:left w:val="nil"/>
              <w:bottom w:val="nil"/>
              <w:right w:val="nil"/>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附件3-8-（1）服务方案评审汇总表</w:t>
            </w:r>
          </w:p>
        </w:tc>
        <w:tc>
          <w:tcPr>
            <w:tcW w:w="430" w:type="pct"/>
            <w:gridSpan w:val="2"/>
            <w:tcBorders>
              <w:top w:val="nil"/>
              <w:left w:val="nil"/>
              <w:bottom w:val="nil"/>
              <w:right w:val="nil"/>
            </w:tcBorders>
            <w:noWrap/>
            <w:vAlign w:val="center"/>
          </w:tcPr>
          <w:p>
            <w:pPr>
              <w:widowControl/>
              <w:jc w:val="left"/>
              <w:rPr>
                <w:rFonts w:ascii="宋体" w:hAnsi="宋体" w:cs="宋体"/>
                <w:kern w:val="0"/>
                <w:sz w:val="28"/>
                <w:szCs w:val="28"/>
              </w:rPr>
            </w:pPr>
          </w:p>
        </w:tc>
        <w:tc>
          <w:tcPr>
            <w:tcW w:w="430" w:type="pct"/>
            <w:gridSpan w:val="2"/>
            <w:tcBorders>
              <w:top w:val="nil"/>
              <w:left w:val="nil"/>
              <w:bottom w:val="nil"/>
              <w:right w:val="nil"/>
            </w:tcBorders>
            <w:noWrap/>
            <w:vAlign w:val="center"/>
          </w:tcPr>
          <w:p>
            <w:pPr>
              <w:widowControl/>
              <w:jc w:val="left"/>
              <w:rPr>
                <w:rFonts w:ascii="宋体" w:hAnsi="宋体" w:cs="宋体"/>
                <w:kern w:val="0"/>
                <w:sz w:val="28"/>
                <w:szCs w:val="28"/>
              </w:rPr>
            </w:pPr>
          </w:p>
        </w:tc>
        <w:tc>
          <w:tcPr>
            <w:tcW w:w="430" w:type="pct"/>
            <w:gridSpan w:val="2"/>
            <w:tcBorders>
              <w:top w:val="nil"/>
              <w:left w:val="nil"/>
              <w:bottom w:val="nil"/>
              <w:right w:val="nil"/>
            </w:tcBorders>
            <w:noWrap/>
            <w:vAlign w:val="center"/>
          </w:tcPr>
          <w:p>
            <w:pPr>
              <w:widowControl/>
              <w:jc w:val="left"/>
              <w:rPr>
                <w:rFonts w:ascii="宋体" w:hAnsi="宋体" w:cs="宋体"/>
                <w:kern w:val="0"/>
                <w:sz w:val="28"/>
                <w:szCs w:val="28"/>
              </w:rPr>
            </w:pPr>
          </w:p>
        </w:tc>
        <w:tc>
          <w:tcPr>
            <w:tcW w:w="1682" w:type="pct"/>
            <w:gridSpan w:val="3"/>
            <w:tcBorders>
              <w:top w:val="nil"/>
              <w:left w:val="nil"/>
              <w:bottom w:val="nil"/>
              <w:right w:val="nil"/>
            </w:tcBorders>
            <w:noWrap/>
            <w:vAlign w:val="center"/>
          </w:tcPr>
          <w:p>
            <w:pPr>
              <w:widowControl/>
              <w:jc w:val="left"/>
              <w:rPr>
                <w:rFonts w:ascii="宋体" w:hAnsi="宋体" w:cs="宋体"/>
                <w:kern w:val="0"/>
                <w:sz w:val="28"/>
                <w:szCs w:val="28"/>
              </w:rPr>
            </w:pPr>
          </w:p>
        </w:tc>
      </w:tr>
      <w:tr>
        <w:tblPrEx>
          <w:tblCellMar>
            <w:top w:w="0" w:type="dxa"/>
            <w:left w:w="108" w:type="dxa"/>
            <w:bottom w:w="0" w:type="dxa"/>
            <w:right w:w="108" w:type="dxa"/>
          </w:tblCellMar>
        </w:tblPrEx>
        <w:trPr>
          <w:trHeight w:val="330" w:hRule="atLeast"/>
        </w:trPr>
        <w:tc>
          <w:tcPr>
            <w:tcW w:w="5000" w:type="pct"/>
            <w:gridSpan w:val="13"/>
            <w:tcBorders>
              <w:top w:val="nil"/>
              <w:left w:val="nil"/>
              <w:bottom w:val="nil"/>
              <w:right w:val="nil"/>
            </w:tcBorders>
            <w:noWrap/>
            <w:vAlign w:val="center"/>
          </w:tcPr>
          <w:p>
            <w:pPr>
              <w:widowControl/>
              <w:jc w:val="center"/>
              <w:rPr>
                <w:rFonts w:ascii="黑体" w:hAnsi="黑体" w:eastAsia="黑体" w:cs="宋体"/>
                <w:b/>
                <w:bCs/>
                <w:kern w:val="0"/>
                <w:sz w:val="32"/>
                <w:szCs w:val="32"/>
              </w:rPr>
            </w:pPr>
            <w:bookmarkStart w:id="457" w:name="RANGE!A2:H11"/>
            <w:r>
              <w:rPr>
                <w:rFonts w:hint="eastAsia" w:ascii="黑体" w:hAnsi="黑体" w:eastAsia="黑体" w:cs="宋体"/>
                <w:b/>
                <w:bCs/>
                <w:kern w:val="0"/>
                <w:sz w:val="32"/>
                <w:szCs w:val="32"/>
              </w:rPr>
              <w:t>项目</w:t>
            </w:r>
            <w:r>
              <w:rPr>
                <w:rFonts w:ascii="黑体" w:hAnsi="黑体" w:eastAsia="黑体" w:cs="宋体"/>
                <w:b/>
                <w:bCs/>
                <w:kern w:val="0"/>
                <w:sz w:val="32"/>
                <w:szCs w:val="32"/>
              </w:rPr>
              <w:t>管理</w:t>
            </w:r>
            <w:r>
              <w:rPr>
                <w:rFonts w:hint="eastAsia" w:ascii="黑体" w:hAnsi="黑体" w:eastAsia="黑体" w:cs="宋体"/>
                <w:b/>
                <w:bCs/>
                <w:kern w:val="0"/>
                <w:sz w:val="32"/>
                <w:szCs w:val="32"/>
              </w:rPr>
              <w:t>－－服务方案评审汇总表</w:t>
            </w:r>
            <w:bookmarkEnd w:id="457"/>
          </w:p>
        </w:tc>
      </w:tr>
      <w:tr>
        <w:tblPrEx>
          <w:tblCellMar>
            <w:top w:w="0" w:type="dxa"/>
            <w:left w:w="108" w:type="dxa"/>
            <w:bottom w:w="0" w:type="dxa"/>
            <w:right w:w="108" w:type="dxa"/>
          </w:tblCellMar>
        </w:tblPrEx>
        <w:trPr>
          <w:trHeight w:val="330" w:hRule="atLeast"/>
        </w:trPr>
        <w:tc>
          <w:tcPr>
            <w:tcW w:w="5000" w:type="pct"/>
            <w:gridSpan w:val="13"/>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30" w:hRule="atLeast"/>
        </w:trPr>
        <w:tc>
          <w:tcPr>
            <w:tcW w:w="5000" w:type="pct"/>
            <w:gridSpan w:val="13"/>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365" w:hRule="atLeast"/>
        </w:trPr>
        <w:tc>
          <w:tcPr>
            <w:tcW w:w="22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94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517"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评委1</w:t>
            </w:r>
          </w:p>
        </w:tc>
        <w:tc>
          <w:tcPr>
            <w:tcW w:w="519" w:type="pct"/>
            <w:gridSpan w:val="2"/>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评委2</w:t>
            </w:r>
          </w:p>
        </w:tc>
        <w:tc>
          <w:tcPr>
            <w:tcW w:w="514" w:type="pct"/>
            <w:gridSpan w:val="2"/>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评委3</w:t>
            </w:r>
          </w:p>
        </w:tc>
        <w:tc>
          <w:tcPr>
            <w:tcW w:w="533" w:type="pct"/>
            <w:gridSpan w:val="2"/>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评委4</w:t>
            </w:r>
          </w:p>
        </w:tc>
        <w:tc>
          <w:tcPr>
            <w:tcW w:w="528" w:type="pct"/>
            <w:gridSpan w:val="2"/>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评委5</w:t>
            </w:r>
          </w:p>
        </w:tc>
        <w:tc>
          <w:tcPr>
            <w:tcW w:w="528"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6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平均得分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720" w:hRule="atLeast"/>
        </w:trPr>
        <w:tc>
          <w:tcPr>
            <w:tcW w:w="226"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94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19"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14"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3"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8"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90"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720" w:hRule="atLeast"/>
        </w:trPr>
        <w:tc>
          <w:tcPr>
            <w:tcW w:w="226"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94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19"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14"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3"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8"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90"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720" w:hRule="atLeast"/>
        </w:trPr>
        <w:tc>
          <w:tcPr>
            <w:tcW w:w="226"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94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19"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14"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3"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8"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90"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720" w:hRule="atLeast"/>
        </w:trPr>
        <w:tc>
          <w:tcPr>
            <w:tcW w:w="226"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94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19"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14"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3"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8"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90"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720" w:hRule="atLeast"/>
        </w:trPr>
        <w:tc>
          <w:tcPr>
            <w:tcW w:w="226"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94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19"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14"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3"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8"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90"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525" w:hRule="atLeast"/>
        </w:trPr>
        <w:tc>
          <w:tcPr>
            <w:tcW w:w="1166"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1036" w:type="pct"/>
            <w:gridSpan w:val="3"/>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14" w:type="pct"/>
            <w:gridSpan w:val="2"/>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33" w:type="pct"/>
            <w:gridSpan w:val="2"/>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28" w:type="pct"/>
            <w:gridSpan w:val="2"/>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28"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690" w:type="pct"/>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年   月   </w:t>
            </w:r>
            <w:r>
              <w:rPr>
                <w:rFonts w:ascii="宋体" w:hAnsi="宋体" w:cs="宋体"/>
                <w:kern w:val="0"/>
                <w:szCs w:val="21"/>
              </w:rPr>
              <w:t>日</w:t>
            </w:r>
          </w:p>
        </w:tc>
      </w:tr>
    </w:tbl>
    <w:p/>
    <w:p>
      <w:r>
        <w:br w:type="page"/>
      </w:r>
    </w:p>
    <w:tbl>
      <w:tblPr>
        <w:tblStyle w:val="22"/>
        <w:tblW w:w="5000" w:type="pct"/>
        <w:tblInd w:w="0" w:type="dxa"/>
        <w:tblLayout w:type="autofit"/>
        <w:tblCellMar>
          <w:top w:w="0" w:type="dxa"/>
          <w:left w:w="0" w:type="dxa"/>
          <w:bottom w:w="0" w:type="dxa"/>
          <w:right w:w="0" w:type="dxa"/>
        </w:tblCellMar>
      </w:tblPr>
      <w:tblGrid>
        <w:gridCol w:w="653"/>
        <w:gridCol w:w="2476"/>
        <w:gridCol w:w="1664"/>
        <w:gridCol w:w="1696"/>
        <w:gridCol w:w="289"/>
        <w:gridCol w:w="1091"/>
        <w:gridCol w:w="265"/>
        <w:gridCol w:w="926"/>
        <w:gridCol w:w="326"/>
        <w:gridCol w:w="852"/>
        <w:gridCol w:w="560"/>
        <w:gridCol w:w="1008"/>
        <w:gridCol w:w="1462"/>
      </w:tblGrid>
      <w:tr>
        <w:tblPrEx>
          <w:tblCellMar>
            <w:top w:w="0" w:type="dxa"/>
            <w:left w:w="0" w:type="dxa"/>
            <w:bottom w:w="0" w:type="dxa"/>
            <w:right w:w="0" w:type="dxa"/>
          </w:tblCellMar>
        </w:tblPrEx>
        <w:trPr>
          <w:trHeight w:val="300" w:hRule="atLeast"/>
        </w:trPr>
        <w:tc>
          <w:tcPr>
            <w:tcW w:w="5000" w:type="pct"/>
            <w:gridSpan w:val="13"/>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附件3-8-（1）企业实力及人员配置评审得分表</w:t>
            </w:r>
          </w:p>
        </w:tc>
      </w:tr>
      <w:tr>
        <w:tblPrEx>
          <w:tblCellMar>
            <w:top w:w="0" w:type="dxa"/>
            <w:left w:w="0" w:type="dxa"/>
            <w:bottom w:w="0" w:type="dxa"/>
            <w:right w:w="0" w:type="dxa"/>
          </w:tblCellMar>
        </w:tblPrEx>
        <w:trPr>
          <w:trHeight w:val="390" w:hRule="atLeast"/>
        </w:trPr>
        <w:tc>
          <w:tcPr>
            <w:tcW w:w="5000" w:type="pct"/>
            <w:gridSpan w:val="13"/>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b/>
                <w:sz w:val="32"/>
                <w:szCs w:val="32"/>
              </w:rPr>
            </w:pPr>
            <w:r>
              <w:rPr>
                <w:rFonts w:hint="eastAsia" w:ascii="黑体" w:hAnsi="黑体" w:eastAsia="黑体" w:cs="宋体"/>
                <w:b/>
                <w:bCs/>
                <w:kern w:val="0"/>
                <w:sz w:val="32"/>
                <w:szCs w:val="32"/>
              </w:rPr>
              <w:t>项目</w:t>
            </w:r>
            <w:r>
              <w:rPr>
                <w:rFonts w:ascii="黑体" w:hAnsi="黑体" w:eastAsia="黑体" w:cs="宋体"/>
                <w:b/>
                <w:bCs/>
                <w:kern w:val="0"/>
                <w:sz w:val="32"/>
                <w:szCs w:val="32"/>
              </w:rPr>
              <w:t>管理</w:t>
            </w:r>
            <w:r>
              <w:rPr>
                <w:rFonts w:hint="eastAsia" w:ascii="黑体" w:hAnsi="黑体" w:eastAsia="黑体" w:cs="宋体"/>
                <w:b/>
                <w:bCs/>
                <w:kern w:val="0"/>
                <w:sz w:val="32"/>
                <w:szCs w:val="32"/>
              </w:rPr>
              <w:t>－－</w:t>
            </w:r>
            <w:r>
              <w:rPr>
                <w:rFonts w:hint="eastAsia" w:ascii="黑体" w:hAnsi="宋体" w:eastAsia="黑体" w:cs="黑体"/>
                <w:b/>
                <w:kern w:val="0"/>
                <w:sz w:val="32"/>
                <w:szCs w:val="32"/>
              </w:rPr>
              <w:t>企业实力及人员配置评审得分表</w:t>
            </w:r>
          </w:p>
        </w:tc>
      </w:tr>
      <w:tr>
        <w:tblPrEx>
          <w:tblCellMar>
            <w:top w:w="0" w:type="dxa"/>
            <w:left w:w="0" w:type="dxa"/>
            <w:bottom w:w="0" w:type="dxa"/>
            <w:right w:w="0" w:type="dxa"/>
          </w:tblCellMar>
        </w:tblPrEx>
        <w:trPr>
          <w:trHeight w:val="360" w:hRule="atLeast"/>
        </w:trPr>
        <w:tc>
          <w:tcPr>
            <w:tcW w:w="5000" w:type="pct"/>
            <w:gridSpan w:val="13"/>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szCs w:val="21"/>
              </w:rPr>
            </w:pPr>
            <w:r>
              <w:rPr>
                <w:rFonts w:hint="eastAsia" w:ascii="宋体" w:hAnsi="宋体" w:cs="宋体"/>
                <w:kern w:val="0"/>
                <w:szCs w:val="21"/>
              </w:rPr>
              <w:t>项目名称：</w:t>
            </w:r>
          </w:p>
        </w:tc>
      </w:tr>
      <w:tr>
        <w:tblPrEx>
          <w:tblCellMar>
            <w:top w:w="0" w:type="dxa"/>
            <w:left w:w="0" w:type="dxa"/>
            <w:bottom w:w="0" w:type="dxa"/>
            <w:right w:w="0" w:type="dxa"/>
          </w:tblCellMar>
        </w:tblPrEx>
        <w:trPr>
          <w:trHeight w:val="360" w:hRule="atLeast"/>
        </w:trPr>
        <w:tc>
          <w:tcPr>
            <w:tcW w:w="5000" w:type="pct"/>
            <w:gridSpan w:val="13"/>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szCs w:val="21"/>
              </w:rPr>
            </w:pPr>
            <w:r>
              <w:rPr>
                <w:rFonts w:hint="eastAsia" w:ascii="宋体" w:hAnsi="宋体" w:cs="宋体"/>
                <w:kern w:val="0"/>
                <w:szCs w:val="21"/>
              </w:rPr>
              <w:t>项目编号：</w:t>
            </w:r>
          </w:p>
        </w:tc>
      </w:tr>
      <w:tr>
        <w:tblPrEx>
          <w:tblCellMar>
            <w:top w:w="0" w:type="dxa"/>
            <w:left w:w="0" w:type="dxa"/>
            <w:bottom w:w="0" w:type="dxa"/>
            <w:right w:w="0" w:type="dxa"/>
          </w:tblCellMar>
        </w:tblPrEx>
        <w:trPr>
          <w:trHeight w:val="360" w:hRule="atLeast"/>
        </w:trPr>
        <w:tc>
          <w:tcPr>
            <w:tcW w:w="24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序号</w:t>
            </w:r>
          </w:p>
        </w:tc>
        <w:tc>
          <w:tcPr>
            <w:tcW w:w="933"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投标人</w:t>
            </w:r>
          </w:p>
        </w:tc>
        <w:tc>
          <w:tcPr>
            <w:tcW w:w="1266"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9"/>
              </w:numPr>
              <w:jc w:val="center"/>
              <w:textAlignment w:val="center"/>
              <w:rPr>
                <w:rStyle w:val="34"/>
                <w:rFonts w:hint="default"/>
                <w:szCs w:val="21"/>
              </w:rPr>
            </w:pPr>
            <w:r>
              <w:rPr>
                <w:rFonts w:hint="eastAsia" w:ascii="宋体" w:hAnsi="宋体" w:cs="宋体"/>
                <w:kern w:val="0"/>
                <w:szCs w:val="21"/>
              </w:rPr>
              <w:t xml:space="preserve">企业实力      </w:t>
            </w:r>
            <w:r>
              <w:rPr>
                <w:rStyle w:val="34"/>
                <w:rFonts w:hint="default"/>
                <w:szCs w:val="21"/>
              </w:rPr>
              <w:t xml:space="preserve">           </w:t>
            </w:r>
          </w:p>
          <w:p>
            <w:pPr>
              <w:widowControl/>
              <w:jc w:val="center"/>
              <w:textAlignment w:val="center"/>
              <w:rPr>
                <w:rFonts w:ascii="宋体" w:hAnsi="宋体" w:cs="宋体"/>
                <w:szCs w:val="21"/>
              </w:rPr>
            </w:pPr>
            <w:r>
              <w:rPr>
                <w:rStyle w:val="34"/>
                <w:rFonts w:hint="default"/>
                <w:szCs w:val="21"/>
              </w:rPr>
              <w:t>（满分16分）</w:t>
            </w:r>
          </w:p>
        </w:tc>
        <w:tc>
          <w:tcPr>
            <w:tcW w:w="2004" w:type="pct"/>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2、人员配置（满分24分）</w:t>
            </w:r>
          </w:p>
        </w:tc>
        <w:tc>
          <w:tcPr>
            <w:tcW w:w="551"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textAlignment w:val="center"/>
              <w:rPr>
                <w:rFonts w:ascii="宋体" w:hAnsi="宋体" w:cs="宋体"/>
                <w:szCs w:val="21"/>
              </w:rPr>
            </w:pPr>
            <w:r>
              <w:rPr>
                <w:rFonts w:hint="eastAsia" w:ascii="宋体" w:hAnsi="宋体" w:cs="宋体"/>
                <w:kern w:val="0"/>
                <w:szCs w:val="21"/>
              </w:rPr>
              <w:t>（满分4</w:t>
            </w:r>
            <w:r>
              <w:rPr>
                <w:rFonts w:ascii="宋体" w:hAnsi="宋体" w:cs="宋体"/>
                <w:kern w:val="0"/>
                <w:szCs w:val="21"/>
              </w:rPr>
              <w:t>0</w:t>
            </w:r>
            <w:r>
              <w:rPr>
                <w:rStyle w:val="35"/>
                <w:rFonts w:hint="default"/>
                <w:szCs w:val="21"/>
              </w:rPr>
              <w:t>分）</w:t>
            </w:r>
          </w:p>
        </w:tc>
      </w:tr>
      <w:tr>
        <w:tblPrEx>
          <w:tblCellMar>
            <w:top w:w="0" w:type="dxa"/>
            <w:left w:w="0" w:type="dxa"/>
            <w:bottom w:w="0" w:type="dxa"/>
            <w:right w:w="0" w:type="dxa"/>
          </w:tblCellMar>
        </w:tblPrEx>
        <w:trPr>
          <w:trHeight w:val="420" w:hRule="atLeast"/>
        </w:trPr>
        <w:tc>
          <w:tcPr>
            <w:tcW w:w="24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93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1266" w:type="pct"/>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1413"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①代建项目经理（14分）</w:t>
            </w:r>
          </w:p>
        </w:tc>
        <w:tc>
          <w:tcPr>
            <w:tcW w:w="591"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②其他人员配置</w:t>
            </w:r>
          </w:p>
          <w:p>
            <w:pPr>
              <w:widowControl/>
              <w:jc w:val="center"/>
              <w:textAlignment w:val="center"/>
              <w:rPr>
                <w:rFonts w:ascii="宋体" w:hAnsi="宋体" w:cs="宋体"/>
                <w:szCs w:val="21"/>
              </w:rPr>
            </w:pPr>
            <w:r>
              <w:rPr>
                <w:rFonts w:hint="eastAsia" w:ascii="宋体" w:hAnsi="宋体" w:cs="宋体"/>
                <w:kern w:val="0"/>
                <w:szCs w:val="21"/>
              </w:rPr>
              <w:t>（10分）</w:t>
            </w:r>
          </w:p>
        </w:tc>
        <w:tc>
          <w:tcPr>
            <w:tcW w:w="55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413" w:hRule="atLeast"/>
        </w:trPr>
        <w:tc>
          <w:tcPr>
            <w:tcW w:w="24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93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6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①业绩</w:t>
            </w:r>
          </w:p>
          <w:p>
            <w:pPr>
              <w:widowControl/>
              <w:jc w:val="center"/>
              <w:textAlignment w:val="center"/>
              <w:rPr>
                <w:rFonts w:ascii="宋体" w:hAnsi="宋体" w:cs="宋体"/>
                <w:szCs w:val="21"/>
              </w:rPr>
            </w:pPr>
            <w:r>
              <w:rPr>
                <w:rFonts w:hint="eastAsia" w:ascii="宋体" w:hAnsi="宋体" w:cs="宋体"/>
                <w:kern w:val="0"/>
                <w:szCs w:val="21"/>
              </w:rPr>
              <w:t>（12分）</w:t>
            </w:r>
          </w:p>
        </w:tc>
        <w:tc>
          <w:tcPr>
            <w:tcW w:w="6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②财务状况</w:t>
            </w:r>
          </w:p>
          <w:p>
            <w:pPr>
              <w:widowControl/>
              <w:jc w:val="center"/>
              <w:textAlignment w:val="center"/>
              <w:rPr>
                <w:rFonts w:ascii="宋体" w:hAnsi="宋体" w:cs="宋体"/>
                <w:szCs w:val="21"/>
              </w:rPr>
            </w:pPr>
            <w:r>
              <w:rPr>
                <w:rFonts w:hint="eastAsia" w:ascii="宋体" w:hAnsi="宋体" w:cs="宋体"/>
                <w:kern w:val="0"/>
                <w:szCs w:val="21"/>
              </w:rPr>
              <w:t>（4分）</w:t>
            </w:r>
          </w:p>
        </w:tc>
        <w:tc>
          <w:tcPr>
            <w:tcW w:w="52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学历</w:t>
            </w:r>
          </w:p>
          <w:p>
            <w:pPr>
              <w:widowControl/>
              <w:jc w:val="center"/>
              <w:textAlignment w:val="center"/>
              <w:rPr>
                <w:rFonts w:ascii="宋体" w:hAnsi="宋体" w:cs="宋体"/>
                <w:szCs w:val="21"/>
              </w:rPr>
            </w:pPr>
            <w:r>
              <w:rPr>
                <w:rFonts w:hint="eastAsia" w:ascii="宋体" w:hAnsi="宋体" w:cs="宋体"/>
                <w:kern w:val="0"/>
                <w:szCs w:val="21"/>
              </w:rPr>
              <w:t>（4分）</w:t>
            </w:r>
          </w:p>
        </w:tc>
        <w:tc>
          <w:tcPr>
            <w:tcW w:w="44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职称</w:t>
            </w:r>
          </w:p>
          <w:p>
            <w:pPr>
              <w:widowControl/>
              <w:jc w:val="center"/>
              <w:textAlignment w:val="center"/>
              <w:rPr>
                <w:rFonts w:ascii="宋体" w:hAnsi="宋体" w:cs="宋体"/>
                <w:szCs w:val="21"/>
              </w:rPr>
            </w:pPr>
            <w:r>
              <w:rPr>
                <w:rFonts w:hint="eastAsia" w:ascii="宋体" w:hAnsi="宋体" w:cs="宋体"/>
                <w:szCs w:val="21"/>
              </w:rPr>
              <w:t>（2分）</w:t>
            </w:r>
          </w:p>
        </w:tc>
        <w:tc>
          <w:tcPr>
            <w:tcW w:w="44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业绩</w:t>
            </w:r>
          </w:p>
          <w:p>
            <w:pPr>
              <w:widowControl/>
              <w:jc w:val="center"/>
              <w:textAlignment w:val="center"/>
              <w:rPr>
                <w:rFonts w:ascii="宋体" w:hAnsi="宋体" w:cs="宋体"/>
                <w:szCs w:val="21"/>
              </w:rPr>
            </w:pPr>
            <w:r>
              <w:rPr>
                <w:rFonts w:hint="eastAsia" w:ascii="宋体" w:hAnsi="宋体" w:cs="宋体"/>
                <w:kern w:val="0"/>
                <w:szCs w:val="21"/>
              </w:rPr>
              <w:t>（8分）</w:t>
            </w:r>
          </w:p>
        </w:tc>
        <w:tc>
          <w:tcPr>
            <w:tcW w:w="591" w:type="pct"/>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5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398" w:hRule="atLeast"/>
        </w:trPr>
        <w:tc>
          <w:tcPr>
            <w:tcW w:w="2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Cs w:val="21"/>
              </w:rPr>
            </w:pPr>
          </w:p>
        </w:tc>
        <w:tc>
          <w:tcPr>
            <w:tcW w:w="6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6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2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44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44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9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470" w:hRule="atLeast"/>
        </w:trPr>
        <w:tc>
          <w:tcPr>
            <w:tcW w:w="2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Cs w:val="21"/>
              </w:rPr>
            </w:pPr>
          </w:p>
        </w:tc>
        <w:tc>
          <w:tcPr>
            <w:tcW w:w="6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6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2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44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44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9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516" w:hRule="atLeast"/>
        </w:trPr>
        <w:tc>
          <w:tcPr>
            <w:tcW w:w="2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Cs w:val="21"/>
              </w:rPr>
            </w:pPr>
          </w:p>
        </w:tc>
        <w:tc>
          <w:tcPr>
            <w:tcW w:w="6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6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2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44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44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9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410" w:hRule="atLeast"/>
        </w:trPr>
        <w:tc>
          <w:tcPr>
            <w:tcW w:w="2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Cs w:val="21"/>
              </w:rPr>
            </w:pPr>
          </w:p>
        </w:tc>
        <w:tc>
          <w:tcPr>
            <w:tcW w:w="6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6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2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44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44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9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442" w:hRule="atLeast"/>
        </w:trPr>
        <w:tc>
          <w:tcPr>
            <w:tcW w:w="2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Cs w:val="21"/>
              </w:rPr>
            </w:pPr>
          </w:p>
        </w:tc>
        <w:tc>
          <w:tcPr>
            <w:tcW w:w="6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6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2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44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44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9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2383" w:hRule="atLeast"/>
        </w:trPr>
        <w:tc>
          <w:tcPr>
            <w:tcW w:w="2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备注</w:t>
            </w:r>
          </w:p>
        </w:tc>
        <w:tc>
          <w:tcPr>
            <w:tcW w:w="4754" w:type="pct"/>
            <w:gridSpan w:val="1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0"/>
              <w:snapToGrid w:val="0"/>
              <w:spacing w:line="320" w:lineRule="exact"/>
              <w:rPr>
                <w:rStyle w:val="36"/>
                <w:rFonts w:hint="default"/>
                <w:b w:val="0"/>
              </w:rPr>
            </w:pPr>
            <w:r>
              <w:rPr>
                <w:rStyle w:val="36"/>
                <w:rFonts w:hint="default"/>
              </w:rPr>
              <w:t>1、企业实力（16分）①业绩（12分）：</w:t>
            </w:r>
            <w:r>
              <w:rPr>
                <w:rStyle w:val="36"/>
                <w:rFonts w:hint="default"/>
                <w:b w:val="0"/>
              </w:rPr>
              <w:t>业绩（12分）：近</w:t>
            </w:r>
            <w:r>
              <w:rPr>
                <w:rStyle w:val="36"/>
                <w:rFonts w:hint="default"/>
                <w:b w:val="0"/>
                <w:u w:val="single"/>
              </w:rPr>
              <w:t xml:space="preserve">   </w:t>
            </w:r>
            <w:r>
              <w:rPr>
                <w:rStyle w:val="36"/>
                <w:rFonts w:hint="default"/>
                <w:b w:val="0"/>
              </w:rPr>
              <w:t>年（20</w:t>
            </w:r>
            <w:r>
              <w:rPr>
                <w:rStyle w:val="36"/>
                <w:rFonts w:hint="default"/>
                <w:b w:val="0"/>
                <w:u w:val="single"/>
              </w:rPr>
              <w:t xml:space="preserve">  </w:t>
            </w:r>
            <w:r>
              <w:rPr>
                <w:rStyle w:val="36"/>
                <w:rFonts w:hint="default"/>
                <w:b w:val="0"/>
              </w:rPr>
              <w:t>年</w:t>
            </w:r>
            <w:r>
              <w:rPr>
                <w:rStyle w:val="36"/>
                <w:rFonts w:hint="default"/>
                <w:b w:val="0"/>
                <w:u w:val="single"/>
              </w:rPr>
              <w:t xml:space="preserve">   </w:t>
            </w:r>
            <w:r>
              <w:rPr>
                <w:rStyle w:val="36"/>
                <w:rFonts w:hint="default"/>
                <w:b w:val="0"/>
              </w:rPr>
              <w:t>月）至今的企业类似项目业绩。a.提供业绩为类似项目的代建管理、项目管理业绩，每项得4分，满分12分；b.提供业绩为类似项目的工程监理、工程总承包、全过程工程咨询业绩，每项得2分，满分12分。a、b可叠加得分，最高得12分。（注：类似业绩指</w:t>
            </w:r>
            <w:r>
              <w:rPr>
                <w:rStyle w:val="36"/>
                <w:rFonts w:hint="default"/>
                <w:b w:val="0"/>
                <w:i/>
              </w:rPr>
              <w:t>（类别、规模）</w:t>
            </w:r>
            <w:r>
              <w:rPr>
                <w:rStyle w:val="36"/>
                <w:rFonts w:hint="default"/>
                <w:b w:val="0"/>
              </w:rPr>
              <w:t>项目业绩，以合同内容为准；时间以合同签订日期为准。）</w:t>
            </w:r>
            <w:r>
              <w:rPr>
                <w:rStyle w:val="36"/>
                <w:rFonts w:hint="default"/>
              </w:rPr>
              <w:t>②财务状况（4分）：</w:t>
            </w:r>
            <w:r>
              <w:rPr>
                <w:rStyle w:val="36"/>
                <w:rFonts w:hint="default"/>
                <w:b w:val="0"/>
              </w:rPr>
              <w:t>提供近三年财务审计报告（</w:t>
            </w:r>
            <w:r>
              <w:rPr>
                <w:rStyle w:val="36"/>
                <w:rFonts w:hint="default"/>
                <w:b w:val="0"/>
                <w:u w:val="single"/>
              </w:rPr>
              <w:t xml:space="preserve">   </w:t>
            </w:r>
            <w:r>
              <w:rPr>
                <w:rStyle w:val="36"/>
                <w:rFonts w:hint="default"/>
                <w:b w:val="0"/>
              </w:rPr>
              <w:t>年度、</w:t>
            </w:r>
            <w:r>
              <w:rPr>
                <w:rStyle w:val="36"/>
                <w:rFonts w:hint="default"/>
                <w:b w:val="0"/>
                <w:u w:val="single"/>
              </w:rPr>
              <w:t xml:space="preserve">   </w:t>
            </w:r>
            <w:r>
              <w:rPr>
                <w:rStyle w:val="36"/>
                <w:rFonts w:hint="default"/>
                <w:b w:val="0"/>
              </w:rPr>
              <w:t>年度及</w:t>
            </w:r>
            <w:r>
              <w:rPr>
                <w:rStyle w:val="36"/>
                <w:rFonts w:hint="default"/>
                <w:b w:val="0"/>
                <w:u w:val="single"/>
              </w:rPr>
              <w:t xml:space="preserve">   </w:t>
            </w:r>
            <w:r>
              <w:rPr>
                <w:rStyle w:val="36"/>
                <w:rFonts w:hint="default"/>
                <w:b w:val="0"/>
              </w:rPr>
              <w:t>年度（若企业为新成立公司，提供财务状况的年份为自成立起至今））</w:t>
            </w:r>
            <w:r>
              <w:rPr>
                <w:rStyle w:val="36"/>
                <w:rFonts w:hint="default"/>
              </w:rPr>
              <w:t>财务状况报告：</w:t>
            </w:r>
            <w:r>
              <w:rPr>
                <w:rStyle w:val="36"/>
                <w:rFonts w:hint="default"/>
                <w:b w:val="0"/>
              </w:rPr>
              <w:t>申请人需提供经会计师事务所或第三方审计机构出具的年度财务审计报告（至少包括审计报告、资产负债表、现金流量表和利润表）。根据各投标人近年的财务状况酌情赋分：良好（2-4分），一般（0-1分）。</w:t>
            </w:r>
          </w:p>
          <w:p>
            <w:pPr>
              <w:rPr>
                <w:rFonts w:ascii="宋体" w:hAnsi="宋体" w:cs="宋体"/>
                <w:b/>
                <w:sz w:val="18"/>
                <w:szCs w:val="18"/>
              </w:rPr>
            </w:pPr>
            <w:r>
              <w:rPr>
                <w:rStyle w:val="36"/>
                <w:rFonts w:hint="default"/>
              </w:rPr>
              <w:t>2、项目组人员配置（24分）①代建项目经理（12分）学历（4分）：</w:t>
            </w:r>
            <w:r>
              <w:rPr>
                <w:rStyle w:val="36"/>
                <w:rFonts w:hint="default"/>
                <w:b w:val="0"/>
              </w:rPr>
              <w:t>工程类相关专业本科得2分，研究生以上得4分。</w:t>
            </w:r>
            <w:r>
              <w:rPr>
                <w:rStyle w:val="36"/>
                <w:rFonts w:hint="default"/>
              </w:rPr>
              <w:t>职称（2分）：</w:t>
            </w:r>
            <w:r>
              <w:rPr>
                <w:rStyle w:val="36"/>
                <w:rFonts w:hint="default"/>
                <w:b w:val="0"/>
              </w:rPr>
              <w:t>高级工程师得1分，正高级工程师得2分。</w:t>
            </w:r>
            <w:r>
              <w:rPr>
                <w:rStyle w:val="36"/>
                <w:rFonts w:hint="default"/>
              </w:rPr>
              <w:t>业绩（8分）：</w:t>
            </w:r>
            <w:r>
              <w:rPr>
                <w:rStyle w:val="36"/>
                <w:rFonts w:hint="default"/>
                <w:b w:val="0"/>
              </w:rPr>
              <w:t>近</w:t>
            </w:r>
            <w:r>
              <w:rPr>
                <w:rStyle w:val="36"/>
                <w:rFonts w:hint="default"/>
                <w:b w:val="0"/>
                <w:u w:val="single"/>
              </w:rPr>
              <w:t xml:space="preserve">   </w:t>
            </w:r>
            <w:r>
              <w:rPr>
                <w:rStyle w:val="36"/>
                <w:rFonts w:hint="default"/>
                <w:b w:val="0"/>
              </w:rPr>
              <w:t>年（20</w:t>
            </w:r>
            <w:r>
              <w:rPr>
                <w:rStyle w:val="36"/>
                <w:rFonts w:hint="default"/>
                <w:b w:val="0"/>
                <w:u w:val="single"/>
              </w:rPr>
              <w:t xml:space="preserve">  </w:t>
            </w:r>
            <w:r>
              <w:rPr>
                <w:rStyle w:val="36"/>
                <w:rFonts w:hint="default"/>
                <w:b w:val="0"/>
              </w:rPr>
              <w:t>年</w:t>
            </w:r>
            <w:r>
              <w:rPr>
                <w:rStyle w:val="36"/>
                <w:rFonts w:hint="default"/>
                <w:b w:val="0"/>
                <w:u w:val="single"/>
              </w:rPr>
              <w:t xml:space="preserve">   </w:t>
            </w:r>
            <w:r>
              <w:rPr>
                <w:rStyle w:val="36"/>
                <w:rFonts w:hint="default"/>
                <w:b w:val="0"/>
              </w:rPr>
              <w:t>月），担任过类似项目的代建管理、项目管理项目负责人业绩，每项得4分；类似项目的工程监理、工程总承包、全过程工程咨询项目负责人业绩，每项得2分。（注：类似业绩指</w:t>
            </w:r>
            <w:r>
              <w:rPr>
                <w:rStyle w:val="36"/>
                <w:rFonts w:hint="default"/>
                <w:b w:val="0"/>
                <w:i/>
                <w:u w:val="single"/>
              </w:rPr>
              <w:t>（类别、规模）</w:t>
            </w:r>
            <w:r>
              <w:rPr>
                <w:rStyle w:val="36"/>
                <w:rFonts w:hint="default"/>
                <w:b w:val="0"/>
              </w:rPr>
              <w:t>项目业绩，以合同内容为准；时间以合同签订日期为准。）</w:t>
            </w:r>
            <w:r>
              <w:rPr>
                <w:rStyle w:val="36"/>
                <w:rFonts w:hint="default"/>
              </w:rPr>
              <w:t>②其他人员配置（10分）</w:t>
            </w:r>
            <w:r>
              <w:rPr>
                <w:rStyle w:val="36"/>
                <w:rFonts w:hint="default"/>
                <w:b w:val="0"/>
                <w:bCs/>
              </w:rPr>
              <w:t>各专业人员数量须满足本项目需求：现场工程师（包括计划管理、质量安全、设计变更、合同造价、报建及档案管理等岗位职能）需配备</w:t>
            </w:r>
            <w:r>
              <w:rPr>
                <w:rStyle w:val="36"/>
                <w:rFonts w:hint="default"/>
                <w:b w:val="0"/>
                <w:bCs/>
                <w:u w:val="single"/>
              </w:rPr>
              <w:t xml:space="preserve">   </w:t>
            </w:r>
            <w:r>
              <w:rPr>
                <w:rStyle w:val="36"/>
                <w:rFonts w:hint="default"/>
                <w:b w:val="0"/>
                <w:bCs/>
              </w:rPr>
              <w:t>名，资格（职称）条件分别如下：1）（岗位）人员</w:t>
            </w:r>
            <w:r>
              <w:rPr>
                <w:rStyle w:val="36"/>
                <w:rFonts w:hint="default"/>
                <w:b w:val="0"/>
                <w:bCs/>
                <w:u w:val="single"/>
              </w:rPr>
              <w:t xml:space="preserve">   </w:t>
            </w:r>
            <w:r>
              <w:rPr>
                <w:rStyle w:val="36"/>
                <w:rFonts w:hint="default"/>
                <w:b w:val="0"/>
                <w:bCs/>
              </w:rPr>
              <w:t>名，具备（资格/职称）；2）……</w:t>
            </w:r>
            <w:r>
              <w:rPr>
                <w:rStyle w:val="36"/>
                <w:rFonts w:hint="default"/>
                <w:b w:val="0"/>
                <w:i/>
              </w:rPr>
              <w:t>（</w:t>
            </w:r>
            <w:r>
              <w:rPr>
                <w:rStyle w:val="36"/>
                <w:rFonts w:hint="default"/>
                <w:b w:val="0"/>
                <w:i/>
                <w:iCs/>
              </w:rPr>
              <w:t>满足基本要求的得8分，根据人员任职资格条件提升情况，差别赋0-2分。此项满分10分</w:t>
            </w:r>
            <w:r>
              <w:rPr>
                <w:rStyle w:val="36"/>
                <w:rFonts w:hint="default"/>
                <w:b w:val="0"/>
                <w:i/>
              </w:rPr>
              <w:t>）</w:t>
            </w:r>
          </w:p>
        </w:tc>
      </w:tr>
      <w:tr>
        <w:tblPrEx>
          <w:tblCellMar>
            <w:top w:w="0" w:type="dxa"/>
            <w:left w:w="0" w:type="dxa"/>
            <w:bottom w:w="0" w:type="dxa"/>
            <w:right w:w="0" w:type="dxa"/>
          </w:tblCellMar>
        </w:tblPrEx>
        <w:trPr>
          <w:trHeight w:val="317" w:hRule="atLeast"/>
        </w:trPr>
        <w:tc>
          <w:tcPr>
            <w:tcW w:w="1178" w:type="pct"/>
            <w:gridSpan w:val="2"/>
            <w:tcBorders>
              <w:top w:val="single" w:color="000000" w:sz="4" w:space="0"/>
              <w:left w:val="nil"/>
              <w:bottom w:val="nil"/>
              <w:right w:val="nil"/>
            </w:tcBorders>
            <w:noWrap/>
            <w:tcMar>
              <w:top w:w="15" w:type="dxa"/>
              <w:left w:w="15" w:type="dxa"/>
              <w:right w:w="15" w:type="dxa"/>
            </w:tcMar>
            <w:vAlign w:val="center"/>
          </w:tcPr>
          <w:p>
            <w:pPr>
              <w:rPr>
                <w:rFonts w:ascii="宋体" w:hAnsi="宋体" w:cs="宋体"/>
                <w:szCs w:val="21"/>
              </w:rPr>
            </w:pPr>
            <w:r>
              <w:rPr>
                <w:rFonts w:hint="eastAsia" w:ascii="宋体" w:hAnsi="宋体" w:cs="宋体"/>
                <w:kern w:val="0"/>
                <w:szCs w:val="21"/>
              </w:rPr>
              <w:t>评标委员会全体成员签字：</w:t>
            </w:r>
          </w:p>
        </w:tc>
        <w:tc>
          <w:tcPr>
            <w:tcW w:w="627" w:type="pct"/>
            <w:tcBorders>
              <w:top w:val="single" w:color="000000" w:sz="4" w:space="0"/>
              <w:left w:val="nil"/>
              <w:bottom w:val="nil"/>
              <w:right w:val="nil"/>
            </w:tcBorders>
            <w:noWrap/>
            <w:tcMar>
              <w:top w:w="15" w:type="dxa"/>
              <w:left w:w="15" w:type="dxa"/>
              <w:right w:w="15" w:type="dxa"/>
            </w:tcMar>
            <w:vAlign w:val="center"/>
          </w:tcPr>
          <w:p>
            <w:pPr>
              <w:rPr>
                <w:rFonts w:ascii="宋体" w:hAnsi="宋体" w:cs="宋体"/>
                <w:szCs w:val="21"/>
              </w:rPr>
            </w:pPr>
          </w:p>
        </w:tc>
        <w:tc>
          <w:tcPr>
            <w:tcW w:w="748" w:type="pct"/>
            <w:gridSpan w:val="2"/>
            <w:tcBorders>
              <w:top w:val="single" w:color="000000" w:sz="4" w:space="0"/>
              <w:left w:val="nil"/>
              <w:bottom w:val="nil"/>
              <w:right w:val="nil"/>
            </w:tcBorders>
            <w:noWrap/>
            <w:tcMar>
              <w:top w:w="15" w:type="dxa"/>
              <w:left w:w="15" w:type="dxa"/>
              <w:right w:w="15" w:type="dxa"/>
            </w:tcMar>
            <w:vAlign w:val="center"/>
          </w:tcPr>
          <w:p>
            <w:pPr>
              <w:rPr>
                <w:rFonts w:ascii="宋体" w:hAnsi="宋体" w:cs="宋体"/>
                <w:szCs w:val="21"/>
              </w:rPr>
            </w:pPr>
          </w:p>
        </w:tc>
        <w:tc>
          <w:tcPr>
            <w:tcW w:w="511" w:type="pct"/>
            <w:gridSpan w:val="2"/>
            <w:tcBorders>
              <w:top w:val="single" w:color="000000" w:sz="4" w:space="0"/>
              <w:left w:val="nil"/>
              <w:bottom w:val="nil"/>
              <w:right w:val="nil"/>
            </w:tcBorders>
            <w:noWrap/>
            <w:tcMar>
              <w:top w:w="15" w:type="dxa"/>
              <w:left w:w="15" w:type="dxa"/>
              <w:right w:w="15" w:type="dxa"/>
            </w:tcMar>
            <w:vAlign w:val="center"/>
          </w:tcPr>
          <w:p>
            <w:pPr>
              <w:rPr>
                <w:rFonts w:ascii="宋体" w:hAnsi="宋体" w:cs="宋体"/>
                <w:szCs w:val="21"/>
              </w:rPr>
            </w:pPr>
          </w:p>
        </w:tc>
        <w:tc>
          <w:tcPr>
            <w:tcW w:w="472" w:type="pct"/>
            <w:gridSpan w:val="2"/>
            <w:tcBorders>
              <w:top w:val="single" w:color="000000" w:sz="4" w:space="0"/>
              <w:left w:val="nil"/>
              <w:bottom w:val="nil"/>
              <w:right w:val="nil"/>
            </w:tcBorders>
            <w:noWrap/>
            <w:tcMar>
              <w:top w:w="15" w:type="dxa"/>
              <w:left w:w="15" w:type="dxa"/>
              <w:right w:w="15" w:type="dxa"/>
            </w:tcMar>
            <w:vAlign w:val="center"/>
          </w:tcPr>
          <w:p>
            <w:pPr>
              <w:rPr>
                <w:rFonts w:ascii="宋体" w:hAnsi="宋体" w:cs="宋体"/>
                <w:szCs w:val="21"/>
              </w:rPr>
            </w:pPr>
          </w:p>
        </w:tc>
        <w:tc>
          <w:tcPr>
            <w:tcW w:w="532" w:type="pct"/>
            <w:gridSpan w:val="2"/>
            <w:tcBorders>
              <w:top w:val="single" w:color="000000" w:sz="4" w:space="0"/>
              <w:left w:val="nil"/>
              <w:bottom w:val="nil"/>
              <w:right w:val="nil"/>
            </w:tcBorders>
            <w:noWrap/>
            <w:tcMar>
              <w:top w:w="15" w:type="dxa"/>
              <w:left w:w="15" w:type="dxa"/>
              <w:right w:w="15" w:type="dxa"/>
            </w:tcMar>
            <w:vAlign w:val="center"/>
          </w:tcPr>
          <w:p>
            <w:pPr>
              <w:rPr>
                <w:rFonts w:ascii="宋体" w:hAnsi="宋体" w:cs="宋体"/>
                <w:szCs w:val="21"/>
              </w:rPr>
            </w:pPr>
          </w:p>
        </w:tc>
        <w:tc>
          <w:tcPr>
            <w:tcW w:w="380" w:type="pct"/>
            <w:tcBorders>
              <w:top w:val="single" w:color="000000" w:sz="4" w:space="0"/>
              <w:left w:val="nil"/>
              <w:bottom w:val="nil"/>
              <w:right w:val="nil"/>
            </w:tcBorders>
            <w:noWrap/>
            <w:tcMar>
              <w:top w:w="15" w:type="dxa"/>
              <w:left w:w="15" w:type="dxa"/>
              <w:right w:w="15" w:type="dxa"/>
            </w:tcMar>
            <w:vAlign w:val="center"/>
          </w:tcPr>
          <w:p>
            <w:pPr>
              <w:rPr>
                <w:rFonts w:ascii="宋体" w:hAnsi="宋体" w:cs="宋体"/>
                <w:szCs w:val="21"/>
              </w:rPr>
            </w:pPr>
          </w:p>
        </w:tc>
        <w:tc>
          <w:tcPr>
            <w:tcW w:w="551" w:type="pct"/>
            <w:tcBorders>
              <w:top w:val="single" w:color="000000" w:sz="4" w:space="0"/>
              <w:left w:val="nil"/>
              <w:bottom w:val="nil"/>
              <w:right w:val="nil"/>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 xml:space="preserve">年   月   </w:t>
            </w:r>
            <w:r>
              <w:rPr>
                <w:rFonts w:ascii="宋体" w:hAnsi="宋体" w:cs="宋体"/>
                <w:kern w:val="0"/>
                <w:szCs w:val="21"/>
              </w:rPr>
              <w:t>日</w:t>
            </w:r>
          </w:p>
        </w:tc>
      </w:tr>
    </w:tbl>
    <w:p>
      <w:r>
        <w:br w:type="page"/>
      </w:r>
    </w:p>
    <w:tbl>
      <w:tblPr>
        <w:tblStyle w:val="22"/>
        <w:tblW w:w="5000" w:type="pct"/>
        <w:tblInd w:w="0" w:type="dxa"/>
        <w:tblLayout w:type="autofit"/>
        <w:tblCellMar>
          <w:top w:w="0" w:type="dxa"/>
          <w:left w:w="108" w:type="dxa"/>
          <w:bottom w:w="0" w:type="dxa"/>
          <w:right w:w="108" w:type="dxa"/>
        </w:tblCellMar>
      </w:tblPr>
      <w:tblGrid>
        <w:gridCol w:w="831"/>
        <w:gridCol w:w="4125"/>
        <w:gridCol w:w="1827"/>
        <w:gridCol w:w="2333"/>
        <w:gridCol w:w="2201"/>
        <w:gridCol w:w="2137"/>
      </w:tblGrid>
      <w:tr>
        <w:tblPrEx>
          <w:tblCellMar>
            <w:top w:w="0" w:type="dxa"/>
            <w:left w:w="108" w:type="dxa"/>
            <w:bottom w:w="0" w:type="dxa"/>
            <w:right w:w="108" w:type="dxa"/>
          </w:tblCellMar>
        </w:tblPrEx>
        <w:trPr>
          <w:trHeight w:val="345"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附件3-8-（1）-A得分汇总表</w:t>
            </w:r>
          </w:p>
        </w:tc>
      </w:tr>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noWrap/>
            <w:vAlign w:val="center"/>
          </w:tcPr>
          <w:p>
            <w:pPr>
              <w:widowControl/>
              <w:jc w:val="center"/>
              <w:rPr>
                <w:rFonts w:ascii="黑体" w:hAnsi="黑体" w:eastAsia="黑体" w:cs="宋体"/>
                <w:b/>
                <w:bCs/>
                <w:kern w:val="0"/>
                <w:sz w:val="32"/>
                <w:szCs w:val="32"/>
              </w:rPr>
            </w:pPr>
            <w:bookmarkStart w:id="458" w:name="RANGE!A2:F11"/>
            <w:r>
              <w:rPr>
                <w:rFonts w:hint="eastAsia" w:ascii="黑体" w:hAnsi="黑体" w:eastAsia="黑体" w:cs="宋体"/>
                <w:b/>
                <w:bCs/>
                <w:kern w:val="0"/>
                <w:sz w:val="32"/>
                <w:szCs w:val="32"/>
              </w:rPr>
              <w:t>项目</w:t>
            </w:r>
            <w:r>
              <w:rPr>
                <w:rFonts w:ascii="黑体" w:hAnsi="黑体" w:eastAsia="黑体" w:cs="宋体"/>
                <w:b/>
                <w:bCs/>
                <w:kern w:val="0"/>
                <w:sz w:val="32"/>
                <w:szCs w:val="32"/>
              </w:rPr>
              <w:t>管理</w:t>
            </w:r>
            <w:r>
              <w:rPr>
                <w:rFonts w:hint="eastAsia" w:ascii="黑体" w:hAnsi="黑体" w:eastAsia="黑体" w:cs="宋体"/>
                <w:b/>
                <w:bCs/>
                <w:kern w:val="0"/>
                <w:sz w:val="32"/>
                <w:szCs w:val="32"/>
              </w:rPr>
              <w:t>－－得分汇总表</w:t>
            </w:r>
            <w:bookmarkEnd w:id="458"/>
          </w:p>
        </w:tc>
      </w:tr>
      <w:tr>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260" w:hRule="atLeast"/>
        </w:trPr>
        <w:tc>
          <w:tcPr>
            <w:tcW w:w="309" w:type="pct"/>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532"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67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投标报价                （满分30分）</w:t>
            </w:r>
          </w:p>
        </w:tc>
        <w:tc>
          <w:tcPr>
            <w:tcW w:w="86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服务方案</w:t>
            </w:r>
          </w:p>
          <w:p>
            <w:pPr>
              <w:widowControl/>
              <w:jc w:val="center"/>
              <w:rPr>
                <w:rFonts w:ascii="宋体" w:hAnsi="宋体" w:cs="宋体"/>
                <w:kern w:val="0"/>
                <w:szCs w:val="21"/>
              </w:rPr>
            </w:pPr>
            <w:r>
              <w:rPr>
                <w:rFonts w:hint="eastAsia" w:ascii="宋体" w:hAnsi="宋体" w:cs="宋体"/>
                <w:kern w:val="0"/>
                <w:szCs w:val="21"/>
              </w:rPr>
              <w:t>（满分30分）</w:t>
            </w:r>
          </w:p>
        </w:tc>
        <w:tc>
          <w:tcPr>
            <w:tcW w:w="818" w:type="pct"/>
            <w:tcBorders>
              <w:top w:val="single" w:color="auto" w:sz="4" w:space="0"/>
              <w:left w:val="nil"/>
              <w:bottom w:val="nil"/>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企业实力及人员配置</w:t>
            </w:r>
          </w:p>
          <w:p>
            <w:pPr>
              <w:widowControl/>
              <w:jc w:val="center"/>
              <w:rPr>
                <w:rFonts w:ascii="宋体" w:hAnsi="宋体" w:cs="宋体"/>
                <w:kern w:val="0"/>
                <w:szCs w:val="21"/>
              </w:rPr>
            </w:pPr>
            <w:r>
              <w:rPr>
                <w:rFonts w:hint="eastAsia" w:ascii="宋体" w:hAnsi="宋体" w:cs="宋体"/>
                <w:kern w:val="0"/>
                <w:szCs w:val="21"/>
              </w:rPr>
              <w:t>（满分40分）</w:t>
            </w:r>
          </w:p>
        </w:tc>
        <w:tc>
          <w:tcPr>
            <w:tcW w:w="791" w:type="pct"/>
            <w:tcBorders>
              <w:top w:val="single" w:color="auto" w:sz="4" w:space="0"/>
              <w:left w:val="nil"/>
              <w:bottom w:val="nil"/>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总得分</w:t>
            </w:r>
          </w:p>
          <w:p>
            <w:pPr>
              <w:widowControl/>
              <w:jc w:val="center"/>
              <w:rPr>
                <w:rFonts w:ascii="宋体" w:hAnsi="宋体" w:cs="宋体"/>
                <w:kern w:val="0"/>
                <w:szCs w:val="21"/>
              </w:rPr>
            </w:pPr>
            <w:r>
              <w:rPr>
                <w:rFonts w:hint="eastAsia" w:ascii="宋体" w:hAnsi="宋体" w:cs="宋体"/>
                <w:kern w:val="0"/>
                <w:szCs w:val="21"/>
              </w:rPr>
              <w:t>（满分100分）</w:t>
            </w:r>
          </w:p>
        </w:tc>
      </w:tr>
      <w:tr>
        <w:tblPrEx>
          <w:tblCellMar>
            <w:top w:w="0" w:type="dxa"/>
            <w:left w:w="108" w:type="dxa"/>
            <w:bottom w:w="0" w:type="dxa"/>
            <w:right w:w="108" w:type="dxa"/>
          </w:tblCellMar>
        </w:tblPrEx>
        <w:trPr>
          <w:trHeight w:val="945" w:hRule="atLeast"/>
        </w:trPr>
        <w:tc>
          <w:tcPr>
            <w:tcW w:w="30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532"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6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1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9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45" w:hRule="atLeast"/>
        </w:trPr>
        <w:tc>
          <w:tcPr>
            <w:tcW w:w="30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532"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6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9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45" w:hRule="atLeast"/>
        </w:trPr>
        <w:tc>
          <w:tcPr>
            <w:tcW w:w="30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532"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6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9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45" w:hRule="atLeast"/>
        </w:trPr>
        <w:tc>
          <w:tcPr>
            <w:tcW w:w="30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532"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6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9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45" w:hRule="atLeast"/>
        </w:trPr>
        <w:tc>
          <w:tcPr>
            <w:tcW w:w="30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532"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6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9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25" w:hRule="atLeast"/>
        </w:trPr>
        <w:tc>
          <w:tcPr>
            <w:tcW w:w="1842"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xml:space="preserve">评标委员会全体成员签字：            </w:t>
            </w:r>
          </w:p>
        </w:tc>
        <w:tc>
          <w:tcPr>
            <w:tcW w:w="679"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867"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818"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91" w:type="pct"/>
            <w:tcBorders>
              <w:top w:val="nil"/>
              <w:left w:val="nil"/>
              <w:bottom w:val="nil"/>
              <w:right w:val="nil"/>
            </w:tcBorders>
            <w:noWrap/>
            <w:vAlign w:val="center"/>
          </w:tcPr>
          <w:p>
            <w:pPr>
              <w:widowControl/>
              <w:jc w:val="center"/>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年  月   日</w:t>
            </w:r>
          </w:p>
        </w:tc>
      </w:tr>
    </w:tbl>
    <w:p>
      <w:pPr>
        <w:pStyle w:val="7"/>
      </w:pPr>
      <w:r>
        <w:rPr>
          <w:rFonts w:hint="eastAsia"/>
        </w:rPr>
        <w:br w:type="page"/>
      </w:r>
    </w:p>
    <w:tbl>
      <w:tblPr>
        <w:tblStyle w:val="22"/>
        <w:tblW w:w="5000" w:type="pct"/>
        <w:tblInd w:w="0" w:type="dxa"/>
        <w:tblLayout w:type="autofit"/>
        <w:tblCellMar>
          <w:top w:w="0" w:type="dxa"/>
          <w:left w:w="108" w:type="dxa"/>
          <w:bottom w:w="0" w:type="dxa"/>
          <w:right w:w="108" w:type="dxa"/>
        </w:tblCellMar>
      </w:tblPr>
      <w:tblGrid>
        <w:gridCol w:w="704"/>
        <w:gridCol w:w="4577"/>
        <w:gridCol w:w="2142"/>
        <w:gridCol w:w="2067"/>
        <w:gridCol w:w="2002"/>
        <w:gridCol w:w="1962"/>
      </w:tblGrid>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附件3-8-（2）投标报价（下浮率）得分表</w:t>
            </w:r>
          </w:p>
        </w:tc>
      </w:tr>
      <w:tr>
        <w:tblPrEx>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可行性研究报告编制－－投标报价（下浮率）得分表</w:t>
            </w:r>
          </w:p>
        </w:tc>
      </w:tr>
      <w:tr>
        <w:tblPrEx>
          <w:tblCellMar>
            <w:top w:w="0" w:type="dxa"/>
            <w:left w:w="108" w:type="dxa"/>
            <w:bottom w:w="0" w:type="dxa"/>
            <w:right w:w="108" w:type="dxa"/>
          </w:tblCellMar>
        </w:tblPrEx>
        <w:trPr>
          <w:trHeight w:val="33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3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335" w:hRule="atLeast"/>
        </w:trPr>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7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79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投标报价</w:t>
            </w:r>
          </w:p>
          <w:p>
            <w:pPr>
              <w:widowControl/>
              <w:jc w:val="center"/>
              <w:rPr>
                <w:rFonts w:ascii="宋体" w:hAnsi="宋体" w:cs="宋体"/>
                <w:kern w:val="0"/>
                <w:szCs w:val="21"/>
              </w:rPr>
            </w:pPr>
            <w:r>
              <w:rPr>
                <w:rFonts w:hint="eastAsia" w:ascii="宋体" w:hAnsi="宋体" w:cs="宋体"/>
                <w:kern w:val="0"/>
                <w:szCs w:val="21"/>
              </w:rPr>
              <w:t>（下浮率）              （%）</w:t>
            </w:r>
          </w:p>
        </w:tc>
        <w:tc>
          <w:tcPr>
            <w:tcW w:w="76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基准价</w:t>
            </w:r>
          </w:p>
          <w:p>
            <w:pPr>
              <w:widowControl/>
              <w:jc w:val="center"/>
              <w:rPr>
                <w:rFonts w:ascii="宋体" w:hAnsi="宋体" w:cs="宋体"/>
                <w:kern w:val="0"/>
                <w:szCs w:val="21"/>
              </w:rPr>
            </w:pPr>
            <w:r>
              <w:rPr>
                <w:rFonts w:hint="eastAsia" w:ascii="宋体" w:hAnsi="宋体" w:cs="宋体"/>
                <w:kern w:val="0"/>
                <w:szCs w:val="21"/>
              </w:rPr>
              <w:t>（下浮率）                    （%）</w:t>
            </w:r>
          </w:p>
        </w:tc>
        <w:tc>
          <w:tcPr>
            <w:tcW w:w="74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偏差率</w:t>
            </w:r>
          </w:p>
        </w:tc>
        <w:tc>
          <w:tcPr>
            <w:tcW w:w="72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70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9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768"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74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p>
        </w:tc>
        <w:tc>
          <w:tcPr>
            <w:tcW w:w="72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70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9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76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74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2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70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9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76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744"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2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70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9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76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744"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2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70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9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76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744"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2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5000" w:type="pct"/>
            <w:gridSpan w:val="6"/>
            <w:tcBorders>
              <w:top w:val="nil"/>
              <w:left w:val="single" w:color="auto" w:sz="4" w:space="0"/>
              <w:bottom w:val="single" w:color="auto" w:sz="4" w:space="0"/>
              <w:right w:val="single" w:color="auto" w:sz="4" w:space="0"/>
            </w:tcBorders>
            <w:vAlign w:val="center"/>
          </w:tcPr>
          <w:p>
            <w:pPr>
              <w:jc w:val="left"/>
              <w:rPr>
                <w:szCs w:val="22"/>
              </w:rPr>
            </w:pPr>
            <w:r>
              <w:rPr>
                <w:rFonts w:hint="eastAsia"/>
                <w:szCs w:val="22"/>
              </w:rPr>
              <w:t>注：评标基准价（下浮率）=各有效投标报价（下浮率）之和</w:t>
            </w:r>
            <w:r>
              <w:rPr>
                <w:rFonts w:hint="eastAsia"/>
              </w:rPr>
              <w:t>/</w:t>
            </w:r>
            <w:r>
              <w:rPr>
                <w:rFonts w:hint="eastAsia"/>
                <w:szCs w:val="22"/>
              </w:rPr>
              <w:t>有效投标单位个数。</w:t>
            </w:r>
          </w:p>
          <w:p>
            <w:pPr>
              <w:widowControl/>
              <w:jc w:val="left"/>
              <w:rPr>
                <w:rFonts w:ascii="宋体" w:hAnsi="宋体" w:cs="宋体"/>
                <w:b/>
                <w:bCs/>
                <w:kern w:val="0"/>
                <w:szCs w:val="21"/>
              </w:rPr>
            </w:pPr>
            <w:r>
              <w:rPr>
                <w:rFonts w:hint="eastAsia"/>
              </w:rPr>
              <w:t>投标人数量≤5时，评标基准价采用全部有效投标报价计算；5＜投标人数量≤20时，评标基准价采用去除有效报价最高、最低各1个计算；投标人数量＞20时，评标基准价采用去除有效报价最高、最低各2个计算。</w:t>
            </w:r>
          </w:p>
        </w:tc>
      </w:tr>
      <w:tr>
        <w:tblPrEx>
          <w:tblCellMar>
            <w:top w:w="0" w:type="dxa"/>
            <w:left w:w="108" w:type="dxa"/>
            <w:bottom w:w="0" w:type="dxa"/>
            <w:right w:w="108" w:type="dxa"/>
          </w:tblCellMar>
        </w:tblPrEx>
        <w:trPr>
          <w:trHeight w:val="525" w:hRule="atLeast"/>
        </w:trPr>
        <w:tc>
          <w:tcPr>
            <w:tcW w:w="1963"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796"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68"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472" w:type="pct"/>
            <w:gridSpan w:val="2"/>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年   月   日</w:t>
            </w:r>
          </w:p>
        </w:tc>
      </w:tr>
    </w:tbl>
    <w:p/>
    <w:p>
      <w:pPr>
        <w:pStyle w:val="10"/>
      </w:pPr>
    </w:p>
    <w:tbl>
      <w:tblPr>
        <w:tblStyle w:val="22"/>
        <w:tblW w:w="5000" w:type="pct"/>
        <w:tblInd w:w="0" w:type="dxa"/>
        <w:tblLayout w:type="autofit"/>
        <w:tblCellMar>
          <w:top w:w="0" w:type="dxa"/>
          <w:left w:w="108" w:type="dxa"/>
          <w:bottom w:w="0" w:type="dxa"/>
          <w:right w:w="108" w:type="dxa"/>
        </w:tblCellMar>
      </w:tblPr>
      <w:tblGrid>
        <w:gridCol w:w="605"/>
        <w:gridCol w:w="1520"/>
        <w:gridCol w:w="1437"/>
        <w:gridCol w:w="1526"/>
        <w:gridCol w:w="1701"/>
        <w:gridCol w:w="1542"/>
        <w:gridCol w:w="1423"/>
        <w:gridCol w:w="2193"/>
        <w:gridCol w:w="1507"/>
      </w:tblGrid>
      <w:tr>
        <w:tblPrEx>
          <w:tblCellMar>
            <w:top w:w="0" w:type="dxa"/>
            <w:left w:w="108" w:type="dxa"/>
            <w:bottom w:w="0" w:type="dxa"/>
            <w:right w:w="108" w:type="dxa"/>
          </w:tblCellMar>
        </w:tblPrEx>
        <w:trPr>
          <w:trHeight w:val="480" w:hRule="atLeast"/>
        </w:trPr>
        <w:tc>
          <w:tcPr>
            <w:tcW w:w="5000" w:type="pct"/>
            <w:gridSpan w:val="9"/>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附件3-8-（2）服务方案评审得分表</w:t>
            </w:r>
          </w:p>
        </w:tc>
      </w:tr>
      <w:tr>
        <w:tblPrEx>
          <w:tblCellMar>
            <w:top w:w="0" w:type="dxa"/>
            <w:left w:w="108" w:type="dxa"/>
            <w:bottom w:w="0" w:type="dxa"/>
            <w:right w:w="108" w:type="dxa"/>
          </w:tblCellMar>
        </w:tblPrEx>
        <w:trPr>
          <w:trHeight w:val="435" w:hRule="atLeast"/>
        </w:trPr>
        <w:tc>
          <w:tcPr>
            <w:tcW w:w="5000" w:type="pct"/>
            <w:gridSpan w:val="9"/>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可行性研究报告编制－－服务方案评审得分表</w:t>
            </w:r>
          </w:p>
        </w:tc>
      </w:tr>
      <w:tr>
        <w:tblPrEx>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480" w:hRule="atLeast"/>
        </w:trPr>
        <w:tc>
          <w:tcPr>
            <w:tcW w:w="225"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565"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3650" w:type="pct"/>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服务方案（满分30分）</w:t>
            </w:r>
          </w:p>
        </w:tc>
        <w:tc>
          <w:tcPr>
            <w:tcW w:w="55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得分（满分30分）</w:t>
            </w:r>
          </w:p>
        </w:tc>
      </w:tr>
      <w:tr>
        <w:tblPrEx>
          <w:tblCellMar>
            <w:top w:w="0" w:type="dxa"/>
            <w:left w:w="108" w:type="dxa"/>
            <w:bottom w:w="0" w:type="dxa"/>
            <w:right w:w="108" w:type="dxa"/>
          </w:tblCellMar>
        </w:tblPrEx>
        <w:trPr>
          <w:trHeight w:val="1138" w:hRule="atLeast"/>
        </w:trPr>
        <w:tc>
          <w:tcPr>
            <w:tcW w:w="2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56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534" w:type="pct"/>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1质量保证措施：</w:t>
            </w:r>
          </w:p>
          <w:p>
            <w:pPr>
              <w:widowControl/>
              <w:jc w:val="center"/>
              <w:rPr>
                <w:rFonts w:ascii="宋体" w:hAnsi="宋体" w:cs="宋体"/>
                <w:kern w:val="0"/>
                <w:szCs w:val="21"/>
              </w:rPr>
            </w:pPr>
            <w:r>
              <w:rPr>
                <w:rFonts w:hint="eastAsia" w:ascii="宋体" w:hAnsi="宋体" w:cs="宋体"/>
                <w:kern w:val="0"/>
                <w:szCs w:val="21"/>
              </w:rPr>
              <w:t>（0-4分）</w:t>
            </w:r>
          </w:p>
        </w:tc>
        <w:tc>
          <w:tcPr>
            <w:tcW w:w="567" w:type="pct"/>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2时限保证</w:t>
            </w:r>
          </w:p>
          <w:p>
            <w:pPr>
              <w:widowControl/>
              <w:jc w:val="center"/>
              <w:rPr>
                <w:rFonts w:ascii="宋体" w:hAnsi="宋体" w:cs="宋体"/>
                <w:kern w:val="0"/>
                <w:szCs w:val="21"/>
              </w:rPr>
            </w:pPr>
            <w:r>
              <w:rPr>
                <w:rFonts w:hint="eastAsia" w:ascii="宋体" w:hAnsi="宋体" w:cs="宋体"/>
                <w:kern w:val="0"/>
                <w:szCs w:val="21"/>
              </w:rPr>
              <w:t>措施：</w:t>
            </w:r>
          </w:p>
          <w:p>
            <w:pPr>
              <w:widowControl/>
              <w:jc w:val="center"/>
              <w:rPr>
                <w:rFonts w:ascii="宋体" w:hAnsi="宋体" w:cs="宋体"/>
                <w:kern w:val="0"/>
                <w:szCs w:val="21"/>
              </w:rPr>
            </w:pPr>
            <w:r>
              <w:rPr>
                <w:rFonts w:hint="eastAsia" w:ascii="宋体" w:hAnsi="宋体" w:cs="宋体"/>
                <w:kern w:val="0"/>
                <w:szCs w:val="21"/>
              </w:rPr>
              <w:t>（0-4分）</w:t>
            </w:r>
          </w:p>
        </w:tc>
        <w:tc>
          <w:tcPr>
            <w:tcW w:w="632" w:type="pct"/>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3对项目</w:t>
            </w:r>
            <w:r>
              <w:rPr>
                <w:rFonts w:ascii="宋体" w:hAnsi="宋体" w:cs="宋体"/>
                <w:kern w:val="0"/>
                <w:szCs w:val="21"/>
              </w:rPr>
              <w:t>理解和认识、</w:t>
            </w:r>
            <w:r>
              <w:rPr>
                <w:rFonts w:hint="eastAsia" w:ascii="宋体" w:hAnsi="宋体" w:cs="宋体"/>
                <w:kern w:val="0"/>
                <w:szCs w:val="21"/>
              </w:rPr>
              <w:t>工作流程及工作要点：（0-6分）</w:t>
            </w:r>
          </w:p>
        </w:tc>
        <w:tc>
          <w:tcPr>
            <w:tcW w:w="573" w:type="pct"/>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4人员配置及制度、岗位</w:t>
            </w:r>
          </w:p>
          <w:p>
            <w:pPr>
              <w:widowControl/>
              <w:jc w:val="center"/>
              <w:rPr>
                <w:rFonts w:ascii="宋体" w:hAnsi="宋体" w:cs="宋体"/>
                <w:kern w:val="0"/>
                <w:szCs w:val="21"/>
              </w:rPr>
            </w:pPr>
            <w:r>
              <w:rPr>
                <w:rFonts w:hint="eastAsia" w:ascii="宋体" w:hAnsi="宋体" w:cs="宋体"/>
                <w:kern w:val="0"/>
                <w:szCs w:val="21"/>
              </w:rPr>
              <w:t>职责：</w:t>
            </w:r>
          </w:p>
          <w:p>
            <w:pPr>
              <w:widowControl/>
              <w:jc w:val="center"/>
              <w:rPr>
                <w:rFonts w:ascii="宋体" w:hAnsi="宋体" w:cs="宋体"/>
                <w:kern w:val="0"/>
                <w:szCs w:val="21"/>
              </w:rPr>
            </w:pPr>
            <w:r>
              <w:rPr>
                <w:rFonts w:hint="eastAsia" w:ascii="宋体" w:hAnsi="宋体" w:cs="宋体"/>
                <w:kern w:val="0"/>
                <w:szCs w:val="21"/>
              </w:rPr>
              <w:t>（0-4分）</w:t>
            </w:r>
          </w:p>
        </w:tc>
        <w:tc>
          <w:tcPr>
            <w:tcW w:w="529" w:type="pct"/>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5廉洁从业及保密</w:t>
            </w:r>
          </w:p>
          <w:p>
            <w:pPr>
              <w:widowControl/>
              <w:jc w:val="center"/>
              <w:rPr>
                <w:rFonts w:ascii="宋体" w:hAnsi="宋体" w:cs="宋体"/>
                <w:kern w:val="0"/>
                <w:szCs w:val="21"/>
              </w:rPr>
            </w:pPr>
            <w:r>
              <w:rPr>
                <w:rFonts w:hint="eastAsia" w:ascii="宋体" w:hAnsi="宋体" w:cs="宋体"/>
                <w:kern w:val="0"/>
                <w:szCs w:val="21"/>
              </w:rPr>
              <w:t>措施：</w:t>
            </w:r>
          </w:p>
          <w:p>
            <w:pPr>
              <w:widowControl/>
              <w:jc w:val="center"/>
              <w:rPr>
                <w:rFonts w:ascii="宋体" w:hAnsi="宋体" w:cs="宋体"/>
                <w:kern w:val="0"/>
                <w:szCs w:val="21"/>
              </w:rPr>
            </w:pPr>
            <w:r>
              <w:rPr>
                <w:rFonts w:hint="eastAsia" w:ascii="宋体" w:hAnsi="宋体" w:cs="宋体"/>
                <w:kern w:val="0"/>
                <w:szCs w:val="21"/>
              </w:rPr>
              <w:t>（0-4分）</w:t>
            </w:r>
          </w:p>
        </w:tc>
        <w:tc>
          <w:tcPr>
            <w:tcW w:w="812" w:type="pct"/>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6可研报告编制过程中重点难点的分析及解决办法：</w:t>
            </w:r>
          </w:p>
          <w:p>
            <w:pPr>
              <w:widowControl/>
              <w:jc w:val="center"/>
              <w:rPr>
                <w:rFonts w:ascii="宋体" w:hAnsi="宋体" w:cs="宋体"/>
                <w:kern w:val="0"/>
                <w:szCs w:val="21"/>
              </w:rPr>
            </w:pPr>
            <w:r>
              <w:rPr>
                <w:rFonts w:hint="eastAsia" w:ascii="宋体" w:hAnsi="宋体" w:cs="宋体"/>
                <w:kern w:val="0"/>
                <w:szCs w:val="21"/>
              </w:rPr>
              <w:t>（0-8分）</w:t>
            </w:r>
          </w:p>
        </w:tc>
        <w:tc>
          <w:tcPr>
            <w:tcW w:w="5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75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565"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534"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67"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32"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73"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29"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812"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5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5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565"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53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67"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32"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73"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29"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812" w:type="pct"/>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55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5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565"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53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67"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32"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73"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29"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812"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5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50" w:hRule="atLeast"/>
        </w:trPr>
        <w:tc>
          <w:tcPr>
            <w:tcW w:w="2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565"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Cs w:val="21"/>
              </w:rPr>
            </w:pPr>
          </w:p>
        </w:tc>
        <w:tc>
          <w:tcPr>
            <w:tcW w:w="534"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67"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32"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7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29"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812"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5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50" w:hRule="atLeast"/>
        </w:trPr>
        <w:tc>
          <w:tcPr>
            <w:tcW w:w="2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565"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Cs w:val="21"/>
              </w:rPr>
            </w:pPr>
          </w:p>
        </w:tc>
        <w:tc>
          <w:tcPr>
            <w:tcW w:w="534"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c>
          <w:tcPr>
            <w:tcW w:w="567"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c>
          <w:tcPr>
            <w:tcW w:w="632"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c>
          <w:tcPr>
            <w:tcW w:w="57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c>
          <w:tcPr>
            <w:tcW w:w="812"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c>
          <w:tcPr>
            <w:tcW w:w="55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r>
    </w:tbl>
    <w:p>
      <w:r>
        <w:rPr>
          <w:rFonts w:hint="eastAsia"/>
          <w:szCs w:val="21"/>
        </w:rPr>
        <w:t xml:space="preserve">评委签字：                                                                              </w:t>
      </w:r>
      <w:r>
        <w:rPr>
          <w:rFonts w:hint="eastAsia"/>
        </w:rPr>
        <w:t xml:space="preserve">                            年  月   日</w:t>
      </w:r>
    </w:p>
    <w:p>
      <w:pPr>
        <w:pStyle w:val="2"/>
        <w:outlineLvl w:val="9"/>
      </w:pPr>
      <w:r>
        <w:rPr>
          <w:rFonts w:hint="eastAsia"/>
        </w:rPr>
        <w:br w:type="page"/>
      </w:r>
    </w:p>
    <w:tbl>
      <w:tblPr>
        <w:tblStyle w:val="22"/>
        <w:tblpPr w:leftFromText="180" w:rightFromText="180" w:vertAnchor="text" w:horzAnchor="page" w:tblpX="1890" w:tblpY="-111"/>
        <w:tblOverlap w:val="never"/>
        <w:tblW w:w="5000" w:type="pct"/>
        <w:tblInd w:w="0" w:type="dxa"/>
        <w:tblLayout w:type="autofit"/>
        <w:tblCellMar>
          <w:top w:w="0" w:type="dxa"/>
          <w:left w:w="108" w:type="dxa"/>
          <w:bottom w:w="0" w:type="dxa"/>
          <w:right w:w="108" w:type="dxa"/>
        </w:tblCellMar>
      </w:tblPr>
      <w:tblGrid>
        <w:gridCol w:w="605"/>
        <w:gridCol w:w="3167"/>
        <w:gridCol w:w="1394"/>
        <w:gridCol w:w="1458"/>
        <w:gridCol w:w="1343"/>
        <w:gridCol w:w="1405"/>
        <w:gridCol w:w="1270"/>
        <w:gridCol w:w="1165"/>
        <w:gridCol w:w="1647"/>
      </w:tblGrid>
      <w:tr>
        <w:tblPrEx>
          <w:tblCellMar>
            <w:top w:w="0" w:type="dxa"/>
            <w:left w:w="108" w:type="dxa"/>
            <w:bottom w:w="0" w:type="dxa"/>
            <w:right w:w="108" w:type="dxa"/>
          </w:tblCellMar>
        </w:tblPrEx>
        <w:trPr>
          <w:trHeight w:val="525" w:hRule="atLeast"/>
        </w:trPr>
        <w:tc>
          <w:tcPr>
            <w:tcW w:w="5000" w:type="pct"/>
            <w:gridSpan w:val="9"/>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附件3-8-（2）服务方案评审汇总表</w:t>
            </w:r>
          </w:p>
        </w:tc>
      </w:tr>
      <w:tr>
        <w:tblPrEx>
          <w:tblCellMar>
            <w:top w:w="0" w:type="dxa"/>
            <w:left w:w="108" w:type="dxa"/>
            <w:bottom w:w="0" w:type="dxa"/>
            <w:right w:w="108" w:type="dxa"/>
          </w:tblCellMar>
        </w:tblPrEx>
        <w:trPr>
          <w:trHeight w:val="405" w:hRule="atLeast"/>
        </w:trPr>
        <w:tc>
          <w:tcPr>
            <w:tcW w:w="5000" w:type="pct"/>
            <w:gridSpan w:val="9"/>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可行性研究报告编制－－服务方案评审汇总表</w:t>
            </w:r>
          </w:p>
        </w:tc>
      </w:tr>
      <w:tr>
        <w:tblPrEx>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365" w:hRule="atLeast"/>
        </w:trPr>
        <w:tc>
          <w:tcPr>
            <w:tcW w:w="2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176"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518"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评委1</w:t>
            </w:r>
          </w:p>
        </w:tc>
        <w:tc>
          <w:tcPr>
            <w:tcW w:w="542"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评委2</w:t>
            </w:r>
          </w:p>
        </w:tc>
        <w:tc>
          <w:tcPr>
            <w:tcW w:w="499"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评委3</w:t>
            </w:r>
          </w:p>
        </w:tc>
        <w:tc>
          <w:tcPr>
            <w:tcW w:w="522"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评委4</w:t>
            </w:r>
          </w:p>
        </w:tc>
        <w:tc>
          <w:tcPr>
            <w:tcW w:w="471"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评委5</w:t>
            </w:r>
          </w:p>
        </w:tc>
        <w:tc>
          <w:tcPr>
            <w:tcW w:w="433"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60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平均得分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72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17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17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17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17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17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25" w:hRule="atLeast"/>
        </w:trPr>
        <w:tc>
          <w:tcPr>
            <w:tcW w:w="1402"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518"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42"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499"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994" w:type="pct"/>
            <w:gridSpan w:val="2"/>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433"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609" w:type="pct"/>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年  月   </w:t>
            </w:r>
            <w:r>
              <w:rPr>
                <w:rFonts w:ascii="宋体" w:hAnsi="宋体" w:cs="宋体"/>
                <w:kern w:val="0"/>
                <w:szCs w:val="21"/>
              </w:rPr>
              <w:t>日</w:t>
            </w:r>
          </w:p>
        </w:tc>
      </w:tr>
    </w:tbl>
    <w:p>
      <w:r>
        <w:br w:type="page"/>
      </w:r>
    </w:p>
    <w:tbl>
      <w:tblPr>
        <w:tblStyle w:val="22"/>
        <w:tblW w:w="5000" w:type="pct"/>
        <w:tblInd w:w="0" w:type="dxa"/>
        <w:tblLayout w:type="autofit"/>
        <w:tblCellMar>
          <w:top w:w="0" w:type="dxa"/>
          <w:left w:w="108" w:type="dxa"/>
          <w:bottom w:w="0" w:type="dxa"/>
          <w:right w:w="108" w:type="dxa"/>
        </w:tblCellMar>
      </w:tblPr>
      <w:tblGrid>
        <w:gridCol w:w="705"/>
        <w:gridCol w:w="4163"/>
        <w:gridCol w:w="1477"/>
        <w:gridCol w:w="1458"/>
        <w:gridCol w:w="1706"/>
        <w:gridCol w:w="2015"/>
        <w:gridCol w:w="1930"/>
      </w:tblGrid>
      <w:tr>
        <w:tblPrEx>
          <w:tblCellMar>
            <w:top w:w="0" w:type="dxa"/>
            <w:left w:w="108" w:type="dxa"/>
            <w:bottom w:w="0" w:type="dxa"/>
            <w:right w:w="108" w:type="dxa"/>
          </w:tblCellMar>
        </w:tblPrEx>
        <w:trPr>
          <w:trHeight w:val="405" w:hRule="atLeast"/>
        </w:trPr>
        <w:tc>
          <w:tcPr>
            <w:tcW w:w="5000" w:type="pct"/>
            <w:gridSpan w:val="7"/>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附件3-8-（2）企业业绩、人员配置及服务承诺评审得分表</w:t>
            </w:r>
          </w:p>
        </w:tc>
      </w:tr>
      <w:tr>
        <w:tblPrEx>
          <w:tblCellMar>
            <w:top w:w="0" w:type="dxa"/>
            <w:left w:w="108" w:type="dxa"/>
            <w:bottom w:w="0" w:type="dxa"/>
            <w:right w:w="108" w:type="dxa"/>
          </w:tblCellMar>
        </w:tblPrEx>
        <w:trPr>
          <w:trHeight w:val="450" w:hRule="atLeast"/>
        </w:trPr>
        <w:tc>
          <w:tcPr>
            <w:tcW w:w="5000" w:type="pct"/>
            <w:gridSpan w:val="7"/>
            <w:tcBorders>
              <w:top w:val="nil"/>
              <w:left w:val="nil"/>
              <w:bottom w:val="nil"/>
              <w:right w:val="nil"/>
            </w:tcBorders>
            <w:vAlign w:val="center"/>
          </w:tcPr>
          <w:p>
            <w:pPr>
              <w:widowControl/>
              <w:jc w:val="center"/>
              <w:rPr>
                <w:rFonts w:ascii="黑体" w:hAnsi="黑体" w:eastAsia="黑体" w:cs="宋体"/>
                <w:b/>
                <w:bCs/>
                <w:kern w:val="0"/>
                <w:sz w:val="32"/>
                <w:szCs w:val="32"/>
              </w:rPr>
            </w:pPr>
            <w:bookmarkStart w:id="459" w:name="RANGE!A2:E13"/>
            <w:r>
              <w:rPr>
                <w:rFonts w:hint="eastAsia" w:ascii="黑体" w:hAnsi="黑体" w:eastAsia="黑体" w:cs="宋体"/>
                <w:b/>
                <w:bCs/>
                <w:kern w:val="0"/>
                <w:sz w:val="32"/>
                <w:szCs w:val="32"/>
              </w:rPr>
              <w:t>可行性研究报告编制－－企业业绩、人员配置及服务承诺评审得分表</w:t>
            </w:r>
            <w:bookmarkEnd w:id="459"/>
          </w:p>
        </w:tc>
      </w:tr>
      <w:tr>
        <w:tblPrEx>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645" w:hRule="atLeast"/>
        </w:trPr>
        <w:tc>
          <w:tcPr>
            <w:tcW w:w="262"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547"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549"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1、企业业绩</w:t>
            </w:r>
          </w:p>
          <w:p>
            <w:pPr>
              <w:widowControl/>
              <w:jc w:val="center"/>
              <w:rPr>
                <w:rFonts w:ascii="宋体" w:hAnsi="宋体" w:cs="宋体"/>
                <w:kern w:val="0"/>
                <w:szCs w:val="21"/>
              </w:rPr>
            </w:pPr>
            <w:r>
              <w:rPr>
                <w:rFonts w:hint="eastAsia" w:ascii="宋体" w:hAnsi="宋体" w:cs="宋体"/>
                <w:kern w:val="0"/>
                <w:szCs w:val="21"/>
              </w:rPr>
              <w:t>（24分）</w:t>
            </w:r>
          </w:p>
        </w:tc>
        <w:tc>
          <w:tcPr>
            <w:tcW w:w="117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2、人员配置</w:t>
            </w:r>
          </w:p>
          <w:p>
            <w:pPr>
              <w:widowControl/>
              <w:jc w:val="center"/>
              <w:rPr>
                <w:rFonts w:ascii="宋体" w:hAnsi="宋体" w:cs="宋体"/>
                <w:kern w:val="0"/>
                <w:szCs w:val="21"/>
              </w:rPr>
            </w:pPr>
            <w:r>
              <w:rPr>
                <w:rFonts w:hint="eastAsia" w:ascii="宋体" w:hAnsi="宋体" w:cs="宋体"/>
                <w:kern w:val="0"/>
                <w:szCs w:val="21"/>
              </w:rPr>
              <w:t>（12分）</w:t>
            </w:r>
          </w:p>
        </w:tc>
        <w:tc>
          <w:tcPr>
            <w:tcW w:w="749"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3、服务承诺</w:t>
            </w:r>
          </w:p>
          <w:p>
            <w:pPr>
              <w:widowControl/>
              <w:jc w:val="center"/>
              <w:rPr>
                <w:rFonts w:ascii="宋体" w:hAnsi="宋体" w:cs="宋体"/>
                <w:kern w:val="0"/>
                <w:szCs w:val="21"/>
              </w:rPr>
            </w:pPr>
            <w:r>
              <w:rPr>
                <w:rFonts w:hint="eastAsia" w:ascii="宋体" w:hAnsi="宋体" w:cs="宋体"/>
                <w:kern w:val="0"/>
                <w:szCs w:val="21"/>
              </w:rPr>
              <w:t>（满分4分）</w:t>
            </w:r>
          </w:p>
        </w:tc>
        <w:tc>
          <w:tcPr>
            <w:tcW w:w="717" w:type="pct"/>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（满分40分）</w:t>
            </w:r>
          </w:p>
        </w:tc>
      </w:tr>
      <w:tr>
        <w:tblPrEx>
          <w:tblCellMar>
            <w:top w:w="0" w:type="dxa"/>
            <w:left w:w="108" w:type="dxa"/>
            <w:bottom w:w="0" w:type="dxa"/>
            <w:right w:w="108" w:type="dxa"/>
          </w:tblCellMar>
        </w:tblPrEx>
        <w:trPr>
          <w:trHeight w:val="645" w:hRule="atLeast"/>
        </w:trPr>
        <w:tc>
          <w:tcPr>
            <w:tcW w:w="262" w:type="pct"/>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547" w:type="pct"/>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549"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5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1"/>
              </w:rPr>
            </w:pPr>
            <w:r>
              <w:rPr>
                <w:rFonts w:hint="eastAsia" w:ascii="宋体" w:hAnsi="宋体" w:cs="宋体"/>
                <w:kern w:val="0"/>
                <w:sz w:val="20"/>
                <w:szCs w:val="21"/>
              </w:rPr>
              <w:t>①专业负责人</w:t>
            </w:r>
          </w:p>
          <w:p>
            <w:pPr>
              <w:widowControl/>
              <w:jc w:val="center"/>
              <w:rPr>
                <w:rFonts w:ascii="宋体" w:hAnsi="宋体" w:cs="宋体"/>
                <w:kern w:val="0"/>
                <w:szCs w:val="21"/>
              </w:rPr>
            </w:pPr>
            <w:r>
              <w:rPr>
                <w:rFonts w:hint="eastAsia" w:ascii="宋体" w:hAnsi="宋体" w:cs="宋体"/>
                <w:kern w:val="0"/>
                <w:sz w:val="20"/>
                <w:szCs w:val="21"/>
              </w:rPr>
              <w:t>（6分）</w:t>
            </w:r>
          </w:p>
        </w:tc>
        <w:tc>
          <w:tcPr>
            <w:tcW w:w="63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 w:val="20"/>
                <w:szCs w:val="22"/>
              </w:rPr>
            </w:pPr>
            <w:r>
              <w:rPr>
                <w:rFonts w:hint="eastAsia" w:ascii="Times New Roman" w:hAnsi="Times New Roman"/>
                <w:sz w:val="20"/>
                <w:szCs w:val="22"/>
              </w:rPr>
              <w:t>②其他人员配置</w:t>
            </w:r>
          </w:p>
          <w:p>
            <w:pPr>
              <w:widowControl/>
              <w:jc w:val="center"/>
              <w:rPr>
                <w:rFonts w:ascii="宋体" w:hAnsi="宋体" w:cs="宋体"/>
                <w:kern w:val="0"/>
                <w:szCs w:val="21"/>
              </w:rPr>
            </w:pPr>
            <w:r>
              <w:rPr>
                <w:rFonts w:hint="eastAsia" w:ascii="Times New Roman" w:hAnsi="Times New Roman"/>
                <w:sz w:val="20"/>
                <w:szCs w:val="22"/>
              </w:rPr>
              <w:t>（6分</w:t>
            </w:r>
            <w:r>
              <w:rPr>
                <w:rFonts w:hint="eastAsia" w:ascii="Times New Roman" w:hAnsi="Times New Roman"/>
                <w:szCs w:val="22"/>
              </w:rPr>
              <w:t>）</w:t>
            </w:r>
          </w:p>
        </w:tc>
        <w:tc>
          <w:tcPr>
            <w:tcW w:w="749" w:type="pct"/>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717" w:type="pct"/>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69"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54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4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4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3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1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29"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54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3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1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2"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54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3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1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77"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54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3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1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14"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54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4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3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1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30"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Cs w:val="21"/>
              </w:rPr>
              <w:t>备注</w:t>
            </w:r>
          </w:p>
        </w:tc>
        <w:tc>
          <w:tcPr>
            <w:tcW w:w="4738" w:type="pct"/>
            <w:gridSpan w:val="6"/>
            <w:tcBorders>
              <w:top w:val="single" w:color="auto" w:sz="4" w:space="0"/>
              <w:left w:val="nil"/>
              <w:bottom w:val="single" w:color="auto" w:sz="4" w:space="0"/>
              <w:right w:val="single" w:color="000000" w:sz="4" w:space="0"/>
            </w:tcBorders>
            <w:vAlign w:val="center"/>
          </w:tcPr>
          <w:p>
            <w:pPr>
              <w:pStyle w:val="7"/>
              <w:ind w:left="361" w:hanging="361" w:hangingChars="200"/>
              <w:rPr>
                <w:rFonts w:ascii="宋体" w:hAnsi="宋体" w:cs="宋体"/>
                <w:bCs/>
                <w:kern w:val="0"/>
                <w:sz w:val="18"/>
                <w:szCs w:val="18"/>
              </w:rPr>
            </w:pPr>
            <w:r>
              <w:rPr>
                <w:rFonts w:hint="eastAsia" w:ascii="宋体" w:hAnsi="宋体" w:cs="宋体"/>
                <w:b/>
                <w:bCs/>
                <w:kern w:val="0"/>
                <w:sz w:val="18"/>
                <w:szCs w:val="18"/>
              </w:rPr>
              <w:t>1、企业业绩（24分）</w:t>
            </w:r>
            <w:r>
              <w:rPr>
                <w:rStyle w:val="36"/>
                <w:rFonts w:hint="default"/>
                <w:b w:val="0"/>
              </w:rPr>
              <w:t>近</w:t>
            </w:r>
            <w:r>
              <w:rPr>
                <w:rStyle w:val="36"/>
                <w:rFonts w:hint="default"/>
                <w:b w:val="0"/>
                <w:u w:val="single"/>
              </w:rPr>
              <w:t xml:space="preserve">   </w:t>
            </w:r>
            <w:r>
              <w:rPr>
                <w:rStyle w:val="36"/>
                <w:rFonts w:hint="default"/>
                <w:b w:val="0"/>
              </w:rPr>
              <w:t>年（20</w:t>
            </w:r>
            <w:r>
              <w:rPr>
                <w:rStyle w:val="36"/>
                <w:rFonts w:hint="default"/>
                <w:b w:val="0"/>
                <w:u w:val="single"/>
              </w:rPr>
              <w:t xml:space="preserve">  </w:t>
            </w:r>
            <w:r>
              <w:rPr>
                <w:rStyle w:val="36"/>
                <w:rFonts w:hint="default"/>
                <w:b w:val="0"/>
              </w:rPr>
              <w:t>年</w:t>
            </w:r>
            <w:r>
              <w:rPr>
                <w:rStyle w:val="36"/>
                <w:rFonts w:hint="default"/>
                <w:b w:val="0"/>
                <w:u w:val="single"/>
              </w:rPr>
              <w:t xml:space="preserve">   </w:t>
            </w:r>
            <w:r>
              <w:rPr>
                <w:rStyle w:val="36"/>
                <w:rFonts w:hint="default"/>
                <w:b w:val="0"/>
              </w:rPr>
              <w:t>月）</w:t>
            </w:r>
            <w:r>
              <w:rPr>
                <w:rFonts w:hint="eastAsia" w:ascii="宋体" w:hAnsi="宋体" w:cs="宋体"/>
                <w:bCs/>
                <w:kern w:val="0"/>
                <w:sz w:val="18"/>
                <w:szCs w:val="18"/>
              </w:rPr>
              <w:t>，提供企业类似项目业绩：单项合同金额≥</w:t>
            </w:r>
            <w:r>
              <w:rPr>
                <w:rFonts w:hint="eastAsia" w:ascii="宋体" w:hAnsi="宋体" w:cs="宋体"/>
                <w:bCs/>
                <w:kern w:val="0"/>
                <w:sz w:val="18"/>
                <w:szCs w:val="18"/>
                <w:u w:val="single"/>
              </w:rPr>
              <w:t xml:space="preserve">   </w:t>
            </w:r>
            <w:r>
              <w:rPr>
                <w:rFonts w:hint="eastAsia" w:ascii="宋体" w:hAnsi="宋体" w:cs="宋体"/>
                <w:bCs/>
                <w:kern w:val="0"/>
                <w:sz w:val="18"/>
                <w:szCs w:val="18"/>
              </w:rPr>
              <w:t>万元的类似项目业绩，每项得6分；单项合同金额≥</w:t>
            </w:r>
            <w:r>
              <w:rPr>
                <w:rFonts w:hint="eastAsia" w:ascii="宋体" w:hAnsi="宋体" w:cs="宋体"/>
                <w:bCs/>
                <w:kern w:val="0"/>
                <w:sz w:val="18"/>
                <w:szCs w:val="18"/>
                <w:u w:val="single"/>
              </w:rPr>
              <w:t xml:space="preserve">   </w:t>
            </w:r>
            <w:r>
              <w:rPr>
                <w:rFonts w:hint="eastAsia" w:ascii="宋体" w:hAnsi="宋体" w:cs="宋体"/>
                <w:bCs/>
                <w:kern w:val="0"/>
                <w:sz w:val="18"/>
                <w:szCs w:val="18"/>
              </w:rPr>
              <w:t>万元但＜</w:t>
            </w:r>
          </w:p>
          <w:p>
            <w:pPr>
              <w:pStyle w:val="7"/>
              <w:ind w:left="360" w:hanging="360" w:hangingChars="200"/>
              <w:rPr>
                <w:rFonts w:ascii="宋体" w:hAnsi="宋体" w:cs="宋体"/>
                <w:bCs/>
                <w:kern w:val="0"/>
                <w:sz w:val="18"/>
                <w:szCs w:val="18"/>
              </w:rPr>
            </w:pPr>
            <w:r>
              <w:rPr>
                <w:rFonts w:hint="eastAsia" w:ascii="宋体" w:hAnsi="宋体" w:cs="宋体"/>
                <w:bCs/>
                <w:kern w:val="0"/>
                <w:sz w:val="18"/>
                <w:szCs w:val="18"/>
                <w:u w:val="single"/>
              </w:rPr>
              <w:t xml:space="preserve">   </w:t>
            </w:r>
            <w:r>
              <w:rPr>
                <w:rFonts w:hint="eastAsia" w:ascii="宋体" w:hAnsi="宋体" w:cs="宋体"/>
                <w:bCs/>
                <w:kern w:val="0"/>
                <w:sz w:val="18"/>
                <w:szCs w:val="18"/>
              </w:rPr>
              <w:t>万元的类似项目业绩，每项得3分。满分24分。</w:t>
            </w:r>
            <w:r>
              <w:rPr>
                <w:rStyle w:val="36"/>
                <w:rFonts w:hint="default"/>
                <w:b w:val="0"/>
              </w:rPr>
              <w:t>（注：类似业绩指</w:t>
            </w:r>
            <w:r>
              <w:rPr>
                <w:rStyle w:val="36"/>
                <w:rFonts w:hint="default"/>
                <w:b w:val="0"/>
                <w:i/>
                <w:u w:val="single"/>
              </w:rPr>
              <w:t>（类别、规模）</w:t>
            </w:r>
            <w:r>
              <w:rPr>
                <w:rStyle w:val="36"/>
                <w:rFonts w:hint="default"/>
                <w:b w:val="0"/>
              </w:rPr>
              <w:t>项目业绩，以合同内容为准；时间以合同签订日期为准。）</w:t>
            </w:r>
          </w:p>
          <w:p>
            <w:pPr>
              <w:pStyle w:val="7"/>
              <w:widowControl/>
              <w:rPr>
                <w:rFonts w:ascii="宋体" w:hAnsi="宋体" w:cs="宋体"/>
                <w:bCs/>
                <w:kern w:val="0"/>
                <w:sz w:val="18"/>
                <w:szCs w:val="18"/>
              </w:rPr>
            </w:pPr>
            <w:r>
              <w:rPr>
                <w:rFonts w:hint="eastAsia" w:ascii="宋体" w:hAnsi="宋体" w:cs="宋体"/>
                <w:b/>
                <w:bCs/>
                <w:kern w:val="0"/>
                <w:sz w:val="18"/>
                <w:szCs w:val="18"/>
              </w:rPr>
              <w:t>2、人员配置（12分）</w:t>
            </w:r>
            <w:r>
              <w:rPr>
                <w:rFonts w:hint="eastAsia" w:ascii="宋体" w:hAnsi="宋体" w:cs="宋体"/>
                <w:b/>
                <w:kern w:val="0"/>
                <w:sz w:val="18"/>
                <w:szCs w:val="18"/>
              </w:rPr>
              <w:t>①专业负责人（6分）资格及职称（3分）</w:t>
            </w:r>
            <w:r>
              <w:rPr>
                <w:rFonts w:hint="eastAsia" w:ascii="宋体" w:hAnsi="宋体" w:cs="宋体"/>
                <w:bCs/>
                <w:kern w:val="0"/>
                <w:sz w:val="18"/>
                <w:szCs w:val="18"/>
              </w:rPr>
              <w:t>：拟派专业负责人为（专业工程）咨询工程师且具备高级职称得3分；专业负责人为（专业工程）咨询工程师且具备中级职称得2分；其他不得分。</w:t>
            </w:r>
            <w:r>
              <w:rPr>
                <w:rFonts w:hint="eastAsia" w:ascii="宋体" w:hAnsi="宋体" w:cs="宋体"/>
                <w:b/>
                <w:kern w:val="0"/>
                <w:sz w:val="18"/>
                <w:szCs w:val="18"/>
              </w:rPr>
              <w:t>业绩（3分）</w:t>
            </w:r>
            <w:r>
              <w:rPr>
                <w:rFonts w:hint="eastAsia" w:ascii="宋体" w:hAnsi="宋体" w:cs="宋体"/>
                <w:bCs/>
                <w:kern w:val="0"/>
                <w:sz w:val="18"/>
                <w:szCs w:val="18"/>
              </w:rPr>
              <w:t>：</w:t>
            </w:r>
            <w:r>
              <w:rPr>
                <w:rStyle w:val="36"/>
                <w:rFonts w:hint="default"/>
                <w:b w:val="0"/>
              </w:rPr>
              <w:t>近</w:t>
            </w:r>
            <w:r>
              <w:rPr>
                <w:rStyle w:val="36"/>
                <w:rFonts w:hint="default"/>
                <w:b w:val="0"/>
                <w:u w:val="single"/>
              </w:rPr>
              <w:t xml:space="preserve">   </w:t>
            </w:r>
            <w:r>
              <w:rPr>
                <w:rStyle w:val="36"/>
                <w:rFonts w:hint="default"/>
                <w:b w:val="0"/>
              </w:rPr>
              <w:t>年（20</w:t>
            </w:r>
            <w:r>
              <w:rPr>
                <w:rStyle w:val="36"/>
                <w:rFonts w:hint="default"/>
                <w:b w:val="0"/>
                <w:u w:val="single"/>
              </w:rPr>
              <w:t xml:space="preserve">  </w:t>
            </w:r>
            <w:r>
              <w:rPr>
                <w:rStyle w:val="36"/>
                <w:rFonts w:hint="default"/>
                <w:b w:val="0"/>
              </w:rPr>
              <w:t>年</w:t>
            </w:r>
            <w:r>
              <w:rPr>
                <w:rStyle w:val="36"/>
                <w:rFonts w:hint="default"/>
                <w:b w:val="0"/>
                <w:u w:val="single"/>
              </w:rPr>
              <w:t xml:space="preserve">   </w:t>
            </w:r>
            <w:r>
              <w:rPr>
                <w:rStyle w:val="36"/>
                <w:rFonts w:hint="default"/>
                <w:b w:val="0"/>
              </w:rPr>
              <w:t>月）</w:t>
            </w:r>
            <w:r>
              <w:rPr>
                <w:rFonts w:hint="eastAsia" w:ascii="宋体" w:hAnsi="宋体" w:cs="宋体"/>
                <w:bCs/>
                <w:kern w:val="0"/>
                <w:sz w:val="18"/>
                <w:szCs w:val="18"/>
              </w:rPr>
              <w:t>，有类似项目可研报告编制业绩，每项得1分。</w:t>
            </w:r>
            <w:r>
              <w:rPr>
                <w:rStyle w:val="36"/>
                <w:rFonts w:hint="default"/>
                <w:b w:val="0"/>
              </w:rPr>
              <w:t>（注：类似项目可研报告编制业绩是指</w:t>
            </w:r>
            <w:r>
              <w:rPr>
                <w:rStyle w:val="36"/>
                <w:rFonts w:hint="default"/>
                <w:b w:val="0"/>
                <w:i/>
                <w:u w:val="single"/>
              </w:rPr>
              <w:t>（类别、规模）</w:t>
            </w:r>
            <w:r>
              <w:rPr>
                <w:rStyle w:val="36"/>
                <w:rFonts w:hint="default"/>
                <w:b w:val="0"/>
              </w:rPr>
              <w:t>项目业绩，以合同内容为准；时间以合同签订日期为准。）</w:t>
            </w:r>
            <w:r>
              <w:rPr>
                <w:rFonts w:hint="eastAsia" w:ascii="宋体" w:hAnsi="宋体" w:cs="宋体"/>
                <w:b/>
                <w:kern w:val="0"/>
                <w:sz w:val="18"/>
                <w:szCs w:val="18"/>
              </w:rPr>
              <w:t>②其他人员配置（</w:t>
            </w:r>
            <w:r>
              <w:rPr>
                <w:rFonts w:ascii="宋体" w:hAnsi="宋体" w:cs="宋体"/>
                <w:b/>
                <w:kern w:val="0"/>
                <w:sz w:val="18"/>
                <w:szCs w:val="18"/>
              </w:rPr>
              <w:t>6分）</w:t>
            </w:r>
            <w:r>
              <w:rPr>
                <w:rFonts w:hint="eastAsia" w:ascii="宋体" w:hAnsi="宋体" w:cs="宋体"/>
                <w:kern w:val="0"/>
                <w:sz w:val="18"/>
                <w:szCs w:val="18"/>
              </w:rPr>
              <w:t>拟派本项目人员中，每提供一个咨询工程师（投资）、注册造价工程师、注册建筑师、注册结构工程师、注册土木工程师（岩土）、注册建造师，一级得</w:t>
            </w:r>
            <w:r>
              <w:rPr>
                <w:rFonts w:ascii="宋体" w:hAnsi="宋体" w:cs="宋体"/>
                <w:kern w:val="0"/>
                <w:sz w:val="18"/>
                <w:szCs w:val="18"/>
              </w:rPr>
              <w:t>3分，二级得2分，未实行分级的自动划分为一级；每提供一个工程类或经济类高级职称得3分，中级职称得2分；同一人提供多个证书的只计其中最高分；满分6分。</w:t>
            </w:r>
          </w:p>
          <w:p>
            <w:pPr>
              <w:widowControl/>
              <w:jc w:val="left"/>
              <w:rPr>
                <w:rFonts w:ascii="宋体" w:hAnsi="宋体" w:cs="宋体"/>
                <w:b/>
                <w:bCs/>
                <w:kern w:val="0"/>
                <w:sz w:val="18"/>
                <w:szCs w:val="18"/>
              </w:rPr>
            </w:pPr>
            <w:r>
              <w:rPr>
                <w:rFonts w:ascii="宋体" w:hAnsi="宋体" w:cs="宋体"/>
                <w:b/>
                <w:bCs/>
                <w:kern w:val="0"/>
                <w:sz w:val="18"/>
                <w:szCs w:val="18"/>
              </w:rPr>
              <w:t>3、服务承诺（4分）</w:t>
            </w:r>
            <w:r>
              <w:rPr>
                <w:rFonts w:hint="eastAsia" w:ascii="宋体" w:hAnsi="宋体" w:cs="宋体"/>
                <w:bCs/>
                <w:kern w:val="0"/>
                <w:sz w:val="18"/>
                <w:szCs w:val="18"/>
              </w:rPr>
              <w:t>根据投标人针对本项目服务的承诺进行横向对比，差别赋分（</w:t>
            </w:r>
            <w:r>
              <w:rPr>
                <w:rFonts w:ascii="宋体" w:hAnsi="宋体" w:cs="宋体"/>
                <w:bCs/>
                <w:kern w:val="0"/>
                <w:sz w:val="18"/>
                <w:szCs w:val="18"/>
              </w:rPr>
              <w:t>0-4）</w:t>
            </w:r>
            <w:r>
              <w:rPr>
                <w:rFonts w:hint="eastAsia" w:ascii="宋体" w:hAnsi="宋体" w:cs="宋体"/>
                <w:bCs/>
                <w:kern w:val="0"/>
                <w:sz w:val="18"/>
                <w:szCs w:val="18"/>
              </w:rPr>
              <w:t>。</w:t>
            </w:r>
          </w:p>
        </w:tc>
      </w:tr>
      <w:tr>
        <w:tblPrEx>
          <w:tblCellMar>
            <w:top w:w="0" w:type="dxa"/>
            <w:left w:w="108" w:type="dxa"/>
            <w:bottom w:w="0" w:type="dxa"/>
            <w:right w:w="108" w:type="dxa"/>
          </w:tblCellMar>
        </w:tblPrEx>
        <w:trPr>
          <w:trHeight w:val="515" w:hRule="atLeast"/>
        </w:trPr>
        <w:tc>
          <w:tcPr>
            <w:tcW w:w="1809"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评委签字：</w:t>
            </w:r>
          </w:p>
        </w:tc>
        <w:tc>
          <w:tcPr>
            <w:tcW w:w="1091" w:type="pct"/>
            <w:gridSpan w:val="2"/>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383" w:type="pct"/>
            <w:gridSpan w:val="2"/>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17" w:type="pct"/>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年  月   </w:t>
            </w:r>
            <w:r>
              <w:rPr>
                <w:rFonts w:ascii="宋体" w:hAnsi="宋体" w:cs="宋体"/>
                <w:kern w:val="0"/>
                <w:szCs w:val="21"/>
              </w:rPr>
              <w:t>日</w:t>
            </w:r>
          </w:p>
        </w:tc>
      </w:tr>
    </w:tbl>
    <w:p/>
    <w:tbl>
      <w:tblPr>
        <w:tblStyle w:val="22"/>
        <w:tblW w:w="5000" w:type="pct"/>
        <w:tblInd w:w="0" w:type="dxa"/>
        <w:tblLayout w:type="autofit"/>
        <w:tblCellMar>
          <w:top w:w="0" w:type="dxa"/>
          <w:left w:w="108" w:type="dxa"/>
          <w:bottom w:w="0" w:type="dxa"/>
          <w:right w:w="108" w:type="dxa"/>
        </w:tblCellMar>
      </w:tblPr>
      <w:tblGrid>
        <w:gridCol w:w="709"/>
        <w:gridCol w:w="2944"/>
        <w:gridCol w:w="1429"/>
        <w:gridCol w:w="1380"/>
        <w:gridCol w:w="1254"/>
        <w:gridCol w:w="1456"/>
        <w:gridCol w:w="1343"/>
        <w:gridCol w:w="1292"/>
        <w:gridCol w:w="1647"/>
      </w:tblGrid>
      <w:tr>
        <w:tblPrEx>
          <w:tblCellMar>
            <w:top w:w="0" w:type="dxa"/>
            <w:left w:w="108" w:type="dxa"/>
            <w:bottom w:w="0" w:type="dxa"/>
            <w:right w:w="108" w:type="dxa"/>
          </w:tblCellMar>
        </w:tblPrEx>
        <w:trPr>
          <w:trHeight w:val="435" w:hRule="atLeast"/>
        </w:trPr>
        <w:tc>
          <w:tcPr>
            <w:tcW w:w="5000" w:type="pct"/>
            <w:gridSpan w:val="9"/>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附件3-8-（2）企业业绩、人员配置及服务承诺评审汇总表</w:t>
            </w:r>
          </w:p>
        </w:tc>
      </w:tr>
      <w:tr>
        <w:tblPrEx>
          <w:tblCellMar>
            <w:top w:w="0" w:type="dxa"/>
            <w:left w:w="108" w:type="dxa"/>
            <w:bottom w:w="0" w:type="dxa"/>
            <w:right w:w="108" w:type="dxa"/>
          </w:tblCellMar>
        </w:tblPrEx>
        <w:trPr>
          <w:trHeight w:val="495" w:hRule="atLeast"/>
        </w:trPr>
        <w:tc>
          <w:tcPr>
            <w:tcW w:w="5000" w:type="pct"/>
            <w:gridSpan w:val="9"/>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可行性研究报告编制－－企业业绩、人员配置及服务承诺评审汇总表</w:t>
            </w:r>
          </w:p>
        </w:tc>
      </w:tr>
      <w:tr>
        <w:tblPrEx>
          <w:tblCellMar>
            <w:top w:w="0" w:type="dxa"/>
            <w:left w:w="108" w:type="dxa"/>
            <w:bottom w:w="0" w:type="dxa"/>
            <w:right w:w="108" w:type="dxa"/>
          </w:tblCellMar>
        </w:tblPrEx>
        <w:trPr>
          <w:trHeight w:val="375"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75"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365" w:hRule="atLeast"/>
        </w:trPr>
        <w:tc>
          <w:tcPr>
            <w:tcW w:w="26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09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531"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评委1</w:t>
            </w:r>
          </w:p>
        </w:tc>
        <w:tc>
          <w:tcPr>
            <w:tcW w:w="513"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评委2</w:t>
            </w:r>
          </w:p>
        </w:tc>
        <w:tc>
          <w:tcPr>
            <w:tcW w:w="466"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评委3</w:t>
            </w:r>
          </w:p>
        </w:tc>
        <w:tc>
          <w:tcPr>
            <w:tcW w:w="541"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评委4</w:t>
            </w:r>
          </w:p>
        </w:tc>
        <w:tc>
          <w:tcPr>
            <w:tcW w:w="499"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评委5</w:t>
            </w:r>
          </w:p>
        </w:tc>
        <w:tc>
          <w:tcPr>
            <w:tcW w:w="480"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6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平均得分</w:t>
            </w:r>
          </w:p>
          <w:p>
            <w:pPr>
              <w:widowControl/>
              <w:jc w:val="center"/>
              <w:rPr>
                <w:rFonts w:ascii="宋体" w:hAnsi="宋体" w:cs="宋体"/>
                <w:kern w:val="0"/>
                <w:szCs w:val="21"/>
              </w:rPr>
            </w:pPr>
            <w:r>
              <w:rPr>
                <w:rFonts w:hint="eastAsia" w:ascii="宋体" w:hAnsi="宋体" w:cs="宋体"/>
                <w:kern w:val="0"/>
                <w:szCs w:val="21"/>
              </w:rPr>
              <w:t>（满分40分）</w:t>
            </w:r>
          </w:p>
        </w:tc>
      </w:tr>
      <w:tr>
        <w:tblPrEx>
          <w:tblCellMar>
            <w:top w:w="0" w:type="dxa"/>
            <w:left w:w="108" w:type="dxa"/>
            <w:bottom w:w="0" w:type="dxa"/>
            <w:right w:w="108" w:type="dxa"/>
          </w:tblCellMar>
        </w:tblPrEx>
        <w:trPr>
          <w:trHeight w:val="720" w:hRule="atLeast"/>
        </w:trPr>
        <w:tc>
          <w:tcPr>
            <w:tcW w:w="264"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093"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3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1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66"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0" w:hRule="atLeast"/>
        </w:trPr>
        <w:tc>
          <w:tcPr>
            <w:tcW w:w="264"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093"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6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0" w:hRule="atLeast"/>
        </w:trPr>
        <w:tc>
          <w:tcPr>
            <w:tcW w:w="264"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093"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6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0" w:hRule="atLeast"/>
        </w:trPr>
        <w:tc>
          <w:tcPr>
            <w:tcW w:w="264"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093"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6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0" w:hRule="atLeast"/>
        </w:trPr>
        <w:tc>
          <w:tcPr>
            <w:tcW w:w="264"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093"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6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25" w:hRule="atLeast"/>
        </w:trPr>
        <w:tc>
          <w:tcPr>
            <w:tcW w:w="1358"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531"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13"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466"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41"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588" w:type="pct"/>
            <w:gridSpan w:val="3"/>
            <w:tcBorders>
              <w:top w:val="nil"/>
              <w:left w:val="nil"/>
              <w:bottom w:val="nil"/>
              <w:right w:val="nil"/>
            </w:tcBorders>
            <w:noWrap/>
            <w:vAlign w:val="center"/>
          </w:tcPr>
          <w:p>
            <w:pPr>
              <w:widowControl/>
              <w:jc w:val="center"/>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年   月   </w:t>
            </w:r>
            <w:r>
              <w:rPr>
                <w:rFonts w:ascii="宋体" w:hAnsi="宋体" w:cs="宋体"/>
                <w:kern w:val="0"/>
                <w:szCs w:val="21"/>
              </w:rPr>
              <w:t>日</w:t>
            </w:r>
          </w:p>
        </w:tc>
      </w:tr>
    </w:tbl>
    <w:p>
      <w:r>
        <w:br w:type="page"/>
      </w:r>
    </w:p>
    <w:tbl>
      <w:tblPr>
        <w:tblStyle w:val="22"/>
        <w:tblW w:w="5000" w:type="pct"/>
        <w:tblInd w:w="0" w:type="dxa"/>
        <w:tblLayout w:type="autofit"/>
        <w:tblCellMar>
          <w:top w:w="0" w:type="dxa"/>
          <w:left w:w="108" w:type="dxa"/>
          <w:bottom w:w="0" w:type="dxa"/>
          <w:right w:w="108" w:type="dxa"/>
        </w:tblCellMar>
      </w:tblPr>
      <w:tblGrid>
        <w:gridCol w:w="828"/>
        <w:gridCol w:w="3774"/>
        <w:gridCol w:w="2333"/>
        <w:gridCol w:w="2215"/>
        <w:gridCol w:w="2303"/>
        <w:gridCol w:w="2001"/>
      </w:tblGrid>
      <w:tr>
        <w:tblPrEx>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附件3-8-（2）-B得分汇总表</w:t>
            </w:r>
          </w:p>
        </w:tc>
      </w:tr>
      <w:tr>
        <w:tblPrEx>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可行性研究报告编制－－得分汇总表</w:t>
            </w:r>
          </w:p>
        </w:tc>
      </w:tr>
      <w:tr>
        <w:tblPrEx>
          <w:tblCellMar>
            <w:top w:w="0" w:type="dxa"/>
            <w:left w:w="108" w:type="dxa"/>
            <w:bottom w:w="0" w:type="dxa"/>
            <w:right w:w="108" w:type="dxa"/>
          </w:tblCellMar>
        </w:tblPrEx>
        <w:trPr>
          <w:trHeight w:val="405"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405"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260" w:hRule="atLeast"/>
        </w:trPr>
        <w:tc>
          <w:tcPr>
            <w:tcW w:w="308" w:type="pct"/>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402"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86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投标报价                （满分30分）</w:t>
            </w:r>
          </w:p>
        </w:tc>
        <w:tc>
          <w:tcPr>
            <w:tcW w:w="823"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服务方案</w:t>
            </w:r>
          </w:p>
          <w:p>
            <w:pPr>
              <w:widowControl/>
              <w:jc w:val="center"/>
              <w:rPr>
                <w:rFonts w:ascii="宋体" w:hAnsi="宋体" w:cs="宋体"/>
                <w:kern w:val="0"/>
                <w:szCs w:val="21"/>
              </w:rPr>
            </w:pPr>
            <w:r>
              <w:rPr>
                <w:rFonts w:hint="eastAsia" w:ascii="宋体" w:hAnsi="宋体" w:cs="宋体"/>
                <w:kern w:val="0"/>
                <w:szCs w:val="21"/>
              </w:rPr>
              <w:t>（满分30分）</w:t>
            </w:r>
          </w:p>
        </w:tc>
        <w:tc>
          <w:tcPr>
            <w:tcW w:w="856" w:type="pct"/>
            <w:tcBorders>
              <w:top w:val="single" w:color="auto" w:sz="4" w:space="0"/>
              <w:left w:val="nil"/>
              <w:bottom w:val="nil"/>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企业业绩、人员配置及服务承诺</w:t>
            </w:r>
          </w:p>
          <w:p>
            <w:pPr>
              <w:widowControl/>
              <w:jc w:val="center"/>
              <w:rPr>
                <w:rFonts w:ascii="宋体" w:hAnsi="宋体" w:cs="宋体"/>
                <w:kern w:val="0"/>
                <w:szCs w:val="21"/>
              </w:rPr>
            </w:pPr>
            <w:r>
              <w:rPr>
                <w:rFonts w:hint="eastAsia" w:ascii="宋体" w:hAnsi="宋体" w:cs="宋体"/>
                <w:kern w:val="0"/>
                <w:szCs w:val="21"/>
              </w:rPr>
              <w:t>（满分40分）</w:t>
            </w:r>
          </w:p>
        </w:tc>
        <w:tc>
          <w:tcPr>
            <w:tcW w:w="741" w:type="pct"/>
            <w:tcBorders>
              <w:top w:val="single" w:color="auto" w:sz="4" w:space="0"/>
              <w:left w:val="nil"/>
              <w:bottom w:val="nil"/>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总得分</w:t>
            </w:r>
          </w:p>
          <w:p>
            <w:pPr>
              <w:widowControl/>
              <w:jc w:val="center"/>
              <w:rPr>
                <w:rFonts w:ascii="宋体" w:hAnsi="宋体" w:cs="宋体"/>
                <w:kern w:val="0"/>
                <w:szCs w:val="21"/>
              </w:rPr>
            </w:pPr>
            <w:r>
              <w:rPr>
                <w:rFonts w:hint="eastAsia" w:ascii="宋体" w:hAnsi="宋体" w:cs="宋体"/>
                <w:kern w:val="0"/>
                <w:szCs w:val="21"/>
              </w:rPr>
              <w:t>（满分100分）</w:t>
            </w:r>
          </w:p>
        </w:tc>
      </w:tr>
      <w:tr>
        <w:tblPrEx>
          <w:tblCellMar>
            <w:top w:w="0" w:type="dxa"/>
            <w:left w:w="108" w:type="dxa"/>
            <w:bottom w:w="0" w:type="dxa"/>
            <w:right w:w="108" w:type="dxa"/>
          </w:tblCellMar>
        </w:tblPrEx>
        <w:trPr>
          <w:trHeight w:val="798" w:hRule="atLeast"/>
        </w:trPr>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402"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6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2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56"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9"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402"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6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2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5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02"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402"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6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2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5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84"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402"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6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2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5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84"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402"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6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2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5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25" w:hRule="atLeast"/>
        </w:trPr>
        <w:tc>
          <w:tcPr>
            <w:tcW w:w="1711"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r>
              <w:rPr>
                <w:rFonts w:ascii="宋体" w:hAnsi="宋体" w:cs="宋体"/>
                <w:kern w:val="0"/>
                <w:szCs w:val="21"/>
              </w:rPr>
              <w:t xml:space="preserve">            </w:t>
            </w:r>
          </w:p>
        </w:tc>
        <w:tc>
          <w:tcPr>
            <w:tcW w:w="867"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823"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856"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41" w:type="pct"/>
            <w:tcBorders>
              <w:top w:val="nil"/>
              <w:left w:val="nil"/>
              <w:bottom w:val="nil"/>
              <w:right w:val="nil"/>
            </w:tcBorders>
            <w:noWrap/>
            <w:vAlign w:val="center"/>
          </w:tcPr>
          <w:p>
            <w:pPr>
              <w:widowControl/>
              <w:jc w:val="center"/>
              <w:rPr>
                <w:rFonts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年</w:t>
            </w:r>
            <w:r>
              <w:rPr>
                <w:rFonts w:ascii="宋体" w:hAnsi="宋体" w:cs="宋体"/>
                <w:kern w:val="0"/>
                <w:szCs w:val="21"/>
              </w:rPr>
              <w:t xml:space="preserve">   月   日</w:t>
            </w:r>
          </w:p>
        </w:tc>
      </w:tr>
    </w:tbl>
    <w:p>
      <w:r>
        <w:br w:type="page"/>
      </w:r>
    </w:p>
    <w:tbl>
      <w:tblPr>
        <w:tblStyle w:val="22"/>
        <w:tblW w:w="5000" w:type="pct"/>
        <w:tblInd w:w="0" w:type="dxa"/>
        <w:tblLayout w:type="autofit"/>
        <w:tblCellMar>
          <w:top w:w="0" w:type="dxa"/>
          <w:left w:w="108" w:type="dxa"/>
          <w:bottom w:w="0" w:type="dxa"/>
          <w:right w:w="108" w:type="dxa"/>
        </w:tblCellMar>
      </w:tblPr>
      <w:tblGrid>
        <w:gridCol w:w="707"/>
        <w:gridCol w:w="3980"/>
        <w:gridCol w:w="2204"/>
        <w:gridCol w:w="2500"/>
        <w:gridCol w:w="1881"/>
        <w:gridCol w:w="2182"/>
      </w:tblGrid>
      <w:tr>
        <w:tblPrEx>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附件3-8-（3）投标报价（下浮率）得分表</w:t>
            </w:r>
          </w:p>
        </w:tc>
      </w:tr>
      <w:tr>
        <w:tblPrEx>
          <w:tblCellMar>
            <w:top w:w="0" w:type="dxa"/>
            <w:left w:w="108" w:type="dxa"/>
            <w:bottom w:w="0" w:type="dxa"/>
            <w:right w:w="108" w:type="dxa"/>
          </w:tblCellMar>
        </w:tblPrEx>
        <w:trPr>
          <w:trHeight w:val="405" w:hRule="atLeast"/>
        </w:trPr>
        <w:tc>
          <w:tcPr>
            <w:tcW w:w="5000" w:type="pct"/>
            <w:gridSpan w:val="6"/>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勘察－－投标报价得分表</w:t>
            </w: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335" w:hRule="atLeast"/>
        </w:trPr>
        <w:tc>
          <w:tcPr>
            <w:tcW w:w="26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47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81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投标报价</w:t>
            </w:r>
          </w:p>
          <w:p>
            <w:pPr>
              <w:widowControl/>
              <w:jc w:val="center"/>
              <w:rPr>
                <w:rFonts w:ascii="宋体" w:hAnsi="宋体" w:cs="宋体"/>
                <w:kern w:val="0"/>
                <w:szCs w:val="21"/>
              </w:rPr>
            </w:pPr>
            <w:r>
              <w:rPr>
                <w:rFonts w:hint="eastAsia" w:ascii="宋体" w:hAnsi="宋体" w:cs="宋体"/>
                <w:kern w:val="0"/>
                <w:szCs w:val="21"/>
              </w:rPr>
              <w:t>（下浮率）              （%）</w:t>
            </w:r>
          </w:p>
        </w:tc>
        <w:tc>
          <w:tcPr>
            <w:tcW w:w="92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基准价</w:t>
            </w:r>
          </w:p>
          <w:p>
            <w:pPr>
              <w:widowControl/>
              <w:jc w:val="center"/>
              <w:rPr>
                <w:rFonts w:ascii="宋体" w:hAnsi="宋体" w:cs="宋体"/>
                <w:kern w:val="0"/>
                <w:szCs w:val="21"/>
              </w:rPr>
            </w:pPr>
            <w:r>
              <w:rPr>
                <w:rFonts w:hint="eastAsia" w:ascii="宋体" w:hAnsi="宋体" w:cs="宋体"/>
                <w:kern w:val="0"/>
                <w:szCs w:val="21"/>
              </w:rPr>
              <w:t>（下浮率）                    （%）</w:t>
            </w:r>
          </w:p>
        </w:tc>
        <w:tc>
          <w:tcPr>
            <w:tcW w:w="6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偏差率</w:t>
            </w:r>
          </w:p>
        </w:tc>
        <w:tc>
          <w:tcPr>
            <w:tcW w:w="8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765"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479"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1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929"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69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0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479"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1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9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69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0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479"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1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9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69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0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479"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1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9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69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0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479"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1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9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69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0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5000" w:type="pct"/>
            <w:gridSpan w:val="6"/>
            <w:tcBorders>
              <w:top w:val="nil"/>
              <w:left w:val="single" w:color="auto" w:sz="4" w:space="0"/>
              <w:bottom w:val="single" w:color="auto" w:sz="4" w:space="0"/>
              <w:right w:val="single" w:color="auto" w:sz="4" w:space="0"/>
            </w:tcBorders>
            <w:vAlign w:val="center"/>
          </w:tcPr>
          <w:p>
            <w:pPr>
              <w:jc w:val="left"/>
              <w:rPr>
                <w:szCs w:val="22"/>
              </w:rPr>
            </w:pPr>
            <w:r>
              <w:rPr>
                <w:rFonts w:hint="eastAsia"/>
                <w:szCs w:val="22"/>
              </w:rPr>
              <w:t>注：评标基准价（下浮率）=各有效投标报价（下浮率）之和</w:t>
            </w:r>
            <w:r>
              <w:rPr>
                <w:rFonts w:hint="eastAsia"/>
              </w:rPr>
              <w:t>/</w:t>
            </w:r>
            <w:r>
              <w:rPr>
                <w:rFonts w:hint="eastAsia"/>
                <w:szCs w:val="22"/>
              </w:rPr>
              <w:t>有效投标单位个数。</w:t>
            </w:r>
          </w:p>
          <w:p>
            <w:pPr>
              <w:widowControl/>
              <w:rPr>
                <w:rFonts w:ascii="宋体" w:hAnsi="宋体" w:cs="宋体"/>
                <w:b/>
                <w:bCs/>
                <w:kern w:val="0"/>
                <w:szCs w:val="21"/>
              </w:rPr>
            </w:pPr>
            <w:r>
              <w:rPr>
                <w:rFonts w:hint="eastAsia"/>
              </w:rPr>
              <w:t>投标人数量≤5时，评标基准价采用全部有效投标报价计算；5＜投标人数量≤20时，评标基准价采用去除有效报价最高、最低各1个计算；投标人数量＞20时，评标基准价采用去除有效报价最高、最低各2个计算。</w:t>
            </w:r>
          </w:p>
        </w:tc>
      </w:tr>
      <w:tr>
        <w:tblPrEx>
          <w:tblCellMar>
            <w:top w:w="0" w:type="dxa"/>
            <w:left w:w="108" w:type="dxa"/>
            <w:bottom w:w="0" w:type="dxa"/>
            <w:right w:w="108" w:type="dxa"/>
          </w:tblCellMar>
        </w:tblPrEx>
        <w:trPr>
          <w:trHeight w:val="525" w:hRule="atLeast"/>
        </w:trPr>
        <w:tc>
          <w:tcPr>
            <w:tcW w:w="1742"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819"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929"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508" w:type="pct"/>
            <w:gridSpan w:val="2"/>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年  月  日</w:t>
            </w:r>
          </w:p>
        </w:tc>
      </w:tr>
    </w:tbl>
    <w:p>
      <w:r>
        <w:br w:type="page"/>
      </w:r>
    </w:p>
    <w:tbl>
      <w:tblPr>
        <w:tblStyle w:val="22"/>
        <w:tblW w:w="5000" w:type="pct"/>
        <w:tblInd w:w="0" w:type="dxa"/>
        <w:tblLayout w:type="autofit"/>
        <w:tblCellMar>
          <w:top w:w="0" w:type="dxa"/>
          <w:left w:w="108" w:type="dxa"/>
          <w:bottom w:w="0" w:type="dxa"/>
          <w:right w:w="108" w:type="dxa"/>
        </w:tblCellMar>
      </w:tblPr>
      <w:tblGrid>
        <w:gridCol w:w="608"/>
        <w:gridCol w:w="1327"/>
        <w:gridCol w:w="1090"/>
        <w:gridCol w:w="1192"/>
        <w:gridCol w:w="1267"/>
        <w:gridCol w:w="1144"/>
        <w:gridCol w:w="1394"/>
        <w:gridCol w:w="1141"/>
        <w:gridCol w:w="1383"/>
        <w:gridCol w:w="1224"/>
        <w:gridCol w:w="1684"/>
      </w:tblGrid>
      <w:tr>
        <w:trPr>
          <w:trHeight w:val="345" w:hRule="atLeast"/>
        </w:trPr>
        <w:tc>
          <w:tcPr>
            <w:tcW w:w="5000" w:type="pct"/>
            <w:gridSpan w:val="11"/>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附件3-8-（3）勘察纲要评审得分表</w:t>
            </w:r>
          </w:p>
        </w:tc>
      </w:tr>
      <w:tr>
        <w:tblPrEx>
          <w:tblCellMar>
            <w:top w:w="0" w:type="dxa"/>
            <w:left w:w="108" w:type="dxa"/>
            <w:bottom w:w="0" w:type="dxa"/>
            <w:right w:w="108" w:type="dxa"/>
          </w:tblCellMar>
        </w:tblPrEx>
        <w:trPr>
          <w:trHeight w:val="375" w:hRule="atLeast"/>
        </w:trPr>
        <w:tc>
          <w:tcPr>
            <w:tcW w:w="5000" w:type="pct"/>
            <w:gridSpan w:val="11"/>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勘察－－勘察纲要评审得分表</w:t>
            </w:r>
          </w:p>
        </w:tc>
      </w:tr>
      <w:tr>
        <w:tblPrEx>
          <w:tblCellMar>
            <w:top w:w="0" w:type="dxa"/>
            <w:left w:w="108" w:type="dxa"/>
            <w:bottom w:w="0" w:type="dxa"/>
            <w:right w:w="108" w:type="dxa"/>
          </w:tblCellMar>
        </w:tblPrEx>
        <w:trPr>
          <w:trHeight w:val="405" w:hRule="atLeast"/>
        </w:trPr>
        <w:tc>
          <w:tcPr>
            <w:tcW w:w="5000" w:type="pct"/>
            <w:gridSpan w:val="11"/>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405" w:hRule="atLeast"/>
        </w:trPr>
        <w:tc>
          <w:tcPr>
            <w:tcW w:w="5000" w:type="pct"/>
            <w:gridSpan w:val="11"/>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600" w:hRule="atLeast"/>
        </w:trPr>
        <w:tc>
          <w:tcPr>
            <w:tcW w:w="22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49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3655" w:type="pct"/>
            <w:gridSpan w:val="8"/>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勘察纲要（满分30分）</w:t>
            </w:r>
          </w:p>
        </w:tc>
        <w:tc>
          <w:tcPr>
            <w:tcW w:w="62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1181" w:hRule="atLeast"/>
        </w:trPr>
        <w:tc>
          <w:tcPr>
            <w:tcW w:w="22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49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405" w:type="pct"/>
            <w:tcBorders>
              <w:top w:val="nil"/>
              <w:left w:val="nil"/>
              <w:bottom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1勘察范围、勘察内容：（0-3分）</w:t>
            </w:r>
          </w:p>
        </w:tc>
        <w:tc>
          <w:tcPr>
            <w:tcW w:w="443" w:type="pct"/>
            <w:tcBorders>
              <w:top w:val="nil"/>
              <w:left w:val="nil"/>
              <w:bottom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2勘察依据、勘察工作目标：</w:t>
            </w:r>
          </w:p>
          <w:p>
            <w:pPr>
              <w:widowControl/>
              <w:jc w:val="center"/>
              <w:rPr>
                <w:rFonts w:ascii="宋体" w:hAnsi="宋体" w:cs="宋体"/>
                <w:kern w:val="0"/>
                <w:sz w:val="18"/>
                <w:szCs w:val="18"/>
              </w:rPr>
            </w:pPr>
            <w:r>
              <w:rPr>
                <w:rFonts w:hint="eastAsia" w:ascii="宋体" w:hAnsi="宋体" w:cs="宋体"/>
                <w:kern w:val="0"/>
                <w:sz w:val="18"/>
                <w:szCs w:val="18"/>
              </w:rPr>
              <w:t>（0-3分）</w:t>
            </w:r>
          </w:p>
        </w:tc>
        <w:tc>
          <w:tcPr>
            <w:tcW w:w="471" w:type="pct"/>
            <w:tcBorders>
              <w:top w:val="nil"/>
              <w:left w:val="nil"/>
              <w:bottom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3勘察机构设置和岗位职责：</w:t>
            </w:r>
          </w:p>
          <w:p>
            <w:pPr>
              <w:widowControl/>
              <w:jc w:val="center"/>
              <w:rPr>
                <w:rFonts w:ascii="宋体" w:hAnsi="宋体" w:cs="宋体"/>
                <w:kern w:val="0"/>
                <w:sz w:val="18"/>
                <w:szCs w:val="18"/>
              </w:rPr>
            </w:pPr>
            <w:r>
              <w:rPr>
                <w:rFonts w:hint="eastAsia" w:ascii="宋体" w:hAnsi="宋体" w:cs="宋体"/>
                <w:kern w:val="0"/>
                <w:sz w:val="18"/>
                <w:szCs w:val="18"/>
              </w:rPr>
              <w:t>（0-3分）</w:t>
            </w:r>
          </w:p>
        </w:tc>
        <w:tc>
          <w:tcPr>
            <w:tcW w:w="425" w:type="pct"/>
            <w:tcBorders>
              <w:top w:val="nil"/>
              <w:left w:val="nil"/>
              <w:bottom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4勘察说明和勘察</w:t>
            </w:r>
          </w:p>
          <w:p>
            <w:pPr>
              <w:widowControl/>
              <w:jc w:val="center"/>
              <w:rPr>
                <w:rFonts w:ascii="宋体" w:hAnsi="宋体" w:cs="宋体"/>
                <w:kern w:val="0"/>
                <w:sz w:val="18"/>
                <w:szCs w:val="18"/>
              </w:rPr>
            </w:pPr>
            <w:r>
              <w:rPr>
                <w:rFonts w:hint="eastAsia" w:ascii="宋体" w:hAnsi="宋体" w:cs="宋体"/>
                <w:kern w:val="0"/>
                <w:sz w:val="18"/>
                <w:szCs w:val="18"/>
              </w:rPr>
              <w:t>方案：</w:t>
            </w:r>
          </w:p>
          <w:p>
            <w:pPr>
              <w:widowControl/>
              <w:jc w:val="center"/>
              <w:rPr>
                <w:rFonts w:ascii="宋体" w:hAnsi="宋体" w:cs="宋体"/>
                <w:kern w:val="0"/>
                <w:sz w:val="18"/>
                <w:szCs w:val="18"/>
              </w:rPr>
            </w:pPr>
            <w:r>
              <w:rPr>
                <w:rFonts w:hint="eastAsia" w:ascii="宋体" w:hAnsi="宋体" w:cs="宋体"/>
                <w:kern w:val="0"/>
                <w:sz w:val="18"/>
                <w:szCs w:val="18"/>
              </w:rPr>
              <w:t>（0-6分）</w:t>
            </w:r>
          </w:p>
        </w:tc>
        <w:tc>
          <w:tcPr>
            <w:tcW w:w="518" w:type="pct"/>
            <w:tcBorders>
              <w:top w:val="nil"/>
              <w:left w:val="nil"/>
              <w:bottom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5勘察质量、进度、保密等保证措施：</w:t>
            </w:r>
          </w:p>
          <w:p>
            <w:pPr>
              <w:widowControl/>
              <w:jc w:val="center"/>
              <w:rPr>
                <w:rFonts w:ascii="宋体" w:hAnsi="宋体" w:cs="宋体"/>
                <w:kern w:val="0"/>
                <w:sz w:val="18"/>
                <w:szCs w:val="18"/>
              </w:rPr>
            </w:pPr>
            <w:r>
              <w:rPr>
                <w:rFonts w:hint="eastAsia" w:ascii="宋体" w:hAnsi="宋体" w:cs="宋体"/>
                <w:kern w:val="0"/>
                <w:sz w:val="18"/>
                <w:szCs w:val="18"/>
              </w:rPr>
              <w:t>（0-6分）</w:t>
            </w:r>
          </w:p>
        </w:tc>
        <w:tc>
          <w:tcPr>
            <w:tcW w:w="424" w:type="pct"/>
            <w:tcBorders>
              <w:top w:val="nil"/>
              <w:left w:val="nil"/>
              <w:bottom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6勘察安全保证措施：（0-3分）</w:t>
            </w:r>
          </w:p>
        </w:tc>
        <w:tc>
          <w:tcPr>
            <w:tcW w:w="514" w:type="pct"/>
            <w:tcBorders>
              <w:top w:val="nil"/>
              <w:left w:val="nil"/>
              <w:bottom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7勘察工作重点、难点</w:t>
            </w:r>
          </w:p>
          <w:p>
            <w:pPr>
              <w:widowControl/>
              <w:jc w:val="center"/>
              <w:rPr>
                <w:rFonts w:ascii="宋体" w:hAnsi="宋体" w:cs="宋体"/>
                <w:kern w:val="0"/>
                <w:sz w:val="18"/>
                <w:szCs w:val="18"/>
              </w:rPr>
            </w:pPr>
            <w:r>
              <w:rPr>
                <w:rFonts w:hint="eastAsia" w:ascii="宋体" w:hAnsi="宋体" w:cs="宋体"/>
                <w:kern w:val="0"/>
                <w:sz w:val="18"/>
                <w:szCs w:val="18"/>
              </w:rPr>
              <w:t>分析：</w:t>
            </w:r>
          </w:p>
          <w:p>
            <w:pPr>
              <w:widowControl/>
              <w:jc w:val="center"/>
              <w:rPr>
                <w:rFonts w:ascii="宋体" w:hAnsi="宋体" w:cs="宋体"/>
                <w:kern w:val="0"/>
                <w:sz w:val="18"/>
                <w:szCs w:val="18"/>
              </w:rPr>
            </w:pPr>
            <w:r>
              <w:rPr>
                <w:rFonts w:hint="eastAsia" w:ascii="宋体" w:hAnsi="宋体" w:cs="宋体"/>
                <w:kern w:val="0"/>
                <w:sz w:val="18"/>
                <w:szCs w:val="18"/>
              </w:rPr>
              <w:t>（0-3分）</w:t>
            </w:r>
          </w:p>
        </w:tc>
        <w:tc>
          <w:tcPr>
            <w:tcW w:w="455" w:type="pct"/>
            <w:tcBorders>
              <w:top w:val="nil"/>
              <w:left w:val="nil"/>
              <w:bottom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8合理化</w:t>
            </w:r>
          </w:p>
          <w:p>
            <w:pPr>
              <w:widowControl/>
              <w:jc w:val="center"/>
              <w:rPr>
                <w:rFonts w:ascii="宋体" w:hAnsi="宋体" w:cs="宋体"/>
                <w:kern w:val="0"/>
                <w:sz w:val="18"/>
                <w:szCs w:val="18"/>
              </w:rPr>
            </w:pPr>
            <w:r>
              <w:rPr>
                <w:rFonts w:hint="eastAsia" w:ascii="宋体" w:hAnsi="宋体" w:cs="宋体"/>
                <w:kern w:val="0"/>
                <w:sz w:val="18"/>
                <w:szCs w:val="18"/>
              </w:rPr>
              <w:t>建议：</w:t>
            </w:r>
          </w:p>
          <w:p>
            <w:pPr>
              <w:widowControl/>
              <w:jc w:val="center"/>
              <w:rPr>
                <w:rFonts w:ascii="宋体" w:hAnsi="宋体" w:cs="宋体"/>
                <w:kern w:val="0"/>
                <w:sz w:val="18"/>
                <w:szCs w:val="18"/>
              </w:rPr>
            </w:pPr>
            <w:r>
              <w:rPr>
                <w:rFonts w:hint="eastAsia" w:ascii="宋体" w:hAnsi="宋体" w:cs="宋体"/>
                <w:kern w:val="0"/>
                <w:sz w:val="18"/>
                <w:szCs w:val="18"/>
              </w:rPr>
              <w:t>（0-3分）</w:t>
            </w:r>
          </w:p>
        </w:tc>
        <w:tc>
          <w:tcPr>
            <w:tcW w:w="62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716" w:hRule="atLeast"/>
        </w:trPr>
        <w:tc>
          <w:tcPr>
            <w:tcW w:w="226"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493"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05"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43"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71"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25"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18"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24"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14"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55"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2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39" w:hRule="atLeast"/>
        </w:trPr>
        <w:tc>
          <w:tcPr>
            <w:tcW w:w="226"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493"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0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43"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71"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2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1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2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1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5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2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25" w:hRule="atLeast"/>
        </w:trPr>
        <w:tc>
          <w:tcPr>
            <w:tcW w:w="226"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493"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0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43"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71"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2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1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2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1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5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2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76" w:hRule="atLeast"/>
        </w:trPr>
        <w:tc>
          <w:tcPr>
            <w:tcW w:w="226"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493"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0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43"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71"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2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1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2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1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5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2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23" w:hRule="atLeast"/>
        </w:trPr>
        <w:tc>
          <w:tcPr>
            <w:tcW w:w="226"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493"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0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43"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71"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2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1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2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1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5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2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bl>
    <w:p>
      <w:pPr>
        <w:rPr>
          <w:szCs w:val="21"/>
        </w:rPr>
      </w:pPr>
    </w:p>
    <w:p>
      <w:pPr>
        <w:rPr>
          <w:rFonts w:ascii="宋体" w:hAnsi="宋体" w:cs="宋体"/>
          <w:kern w:val="0"/>
          <w:szCs w:val="21"/>
        </w:rPr>
      </w:pPr>
      <w:r>
        <w:rPr>
          <w:rFonts w:hint="eastAsia"/>
          <w:szCs w:val="21"/>
        </w:rPr>
        <w:t xml:space="preserve">评委签字：                                                                                                        </w:t>
      </w:r>
      <w:r>
        <w:rPr>
          <w:rFonts w:hint="eastAsia" w:ascii="宋体" w:hAnsi="宋体" w:cs="宋体"/>
          <w:kern w:val="0"/>
          <w:szCs w:val="21"/>
        </w:rPr>
        <w:t xml:space="preserve">年  </w:t>
      </w:r>
      <w:r>
        <w:rPr>
          <w:rFonts w:hint="eastAsia" w:ascii="宋体" w:hAnsi="宋体" w:cs="宋体"/>
          <w:kern w:val="0"/>
          <w:szCs w:val="21"/>
          <w:lang w:val="en-US" w:eastAsia="zh-CN"/>
        </w:rPr>
        <w:t xml:space="preserve"> </w:t>
      </w:r>
      <w:r>
        <w:rPr>
          <w:rFonts w:hint="eastAsia" w:ascii="宋体" w:hAnsi="宋体" w:cs="宋体"/>
          <w:kern w:val="0"/>
          <w:szCs w:val="21"/>
        </w:rPr>
        <w:t xml:space="preserve">月   </w:t>
      </w:r>
      <w:r>
        <w:rPr>
          <w:rFonts w:ascii="宋体" w:hAnsi="宋体" w:cs="宋体"/>
          <w:kern w:val="0"/>
          <w:szCs w:val="21"/>
        </w:rPr>
        <w:t>日</w:t>
      </w:r>
    </w:p>
    <w:p>
      <w:pPr>
        <w:pStyle w:val="7"/>
        <w:rPr>
          <w:rFonts w:ascii="宋体" w:hAnsi="宋体" w:cs="宋体"/>
          <w:kern w:val="0"/>
        </w:rPr>
      </w:pPr>
      <w:r>
        <w:rPr>
          <w:rFonts w:ascii="宋体" w:hAnsi="宋体" w:cs="宋体"/>
          <w:kern w:val="0"/>
          <w:sz w:val="21"/>
          <w:szCs w:val="21"/>
        </w:rPr>
        <w:br w:type="page"/>
      </w:r>
    </w:p>
    <w:tbl>
      <w:tblPr>
        <w:tblStyle w:val="22"/>
        <w:tblW w:w="5000" w:type="pct"/>
        <w:tblInd w:w="0" w:type="dxa"/>
        <w:tblLayout w:type="autofit"/>
        <w:tblCellMar>
          <w:top w:w="0" w:type="dxa"/>
          <w:left w:w="108" w:type="dxa"/>
          <w:bottom w:w="0" w:type="dxa"/>
          <w:right w:w="108" w:type="dxa"/>
        </w:tblCellMar>
      </w:tblPr>
      <w:tblGrid>
        <w:gridCol w:w="860"/>
        <w:gridCol w:w="2185"/>
        <w:gridCol w:w="1558"/>
        <w:gridCol w:w="1456"/>
        <w:gridCol w:w="1429"/>
        <w:gridCol w:w="1507"/>
        <w:gridCol w:w="1456"/>
        <w:gridCol w:w="1316"/>
        <w:gridCol w:w="1687"/>
      </w:tblGrid>
      <w:tr>
        <w:tblPrEx>
          <w:tblCellMar>
            <w:top w:w="0" w:type="dxa"/>
            <w:left w:w="108" w:type="dxa"/>
            <w:bottom w:w="0" w:type="dxa"/>
            <w:right w:w="108" w:type="dxa"/>
          </w:tblCellMar>
        </w:tblPrEx>
        <w:trPr>
          <w:trHeight w:val="345" w:hRule="atLeast"/>
        </w:trPr>
        <w:tc>
          <w:tcPr>
            <w:tcW w:w="5000" w:type="pct"/>
            <w:gridSpan w:val="9"/>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附件3-8-（3）勘察纲要评审汇总表</w:t>
            </w:r>
          </w:p>
        </w:tc>
      </w:tr>
      <w:tr>
        <w:tblPrEx>
          <w:tblCellMar>
            <w:top w:w="0" w:type="dxa"/>
            <w:left w:w="108" w:type="dxa"/>
            <w:bottom w:w="0" w:type="dxa"/>
            <w:right w:w="108" w:type="dxa"/>
          </w:tblCellMar>
        </w:tblPrEx>
        <w:trPr>
          <w:trHeight w:val="315" w:hRule="atLeast"/>
        </w:trPr>
        <w:tc>
          <w:tcPr>
            <w:tcW w:w="5000" w:type="pct"/>
            <w:gridSpan w:val="9"/>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勘察－－勘察纲要评审汇总表</w:t>
            </w:r>
          </w:p>
        </w:tc>
      </w:tr>
      <w:tr>
        <w:tblPrEx>
          <w:tblCellMar>
            <w:top w:w="0" w:type="dxa"/>
            <w:left w:w="108" w:type="dxa"/>
            <w:bottom w:w="0" w:type="dxa"/>
            <w:right w:w="108" w:type="dxa"/>
          </w:tblCellMar>
        </w:tblPrEx>
        <w:trPr>
          <w:trHeight w:val="33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3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365" w:hRule="atLeast"/>
        </w:trPr>
        <w:tc>
          <w:tcPr>
            <w:tcW w:w="32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81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579"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评委1</w:t>
            </w:r>
          </w:p>
        </w:tc>
        <w:tc>
          <w:tcPr>
            <w:tcW w:w="541"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评委2</w:t>
            </w:r>
          </w:p>
        </w:tc>
        <w:tc>
          <w:tcPr>
            <w:tcW w:w="531"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评委3</w:t>
            </w:r>
          </w:p>
        </w:tc>
        <w:tc>
          <w:tcPr>
            <w:tcW w:w="560"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评委4</w:t>
            </w:r>
          </w:p>
        </w:tc>
        <w:tc>
          <w:tcPr>
            <w:tcW w:w="541"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评委5</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622"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平均得分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884" w:hRule="atLeast"/>
        </w:trPr>
        <w:tc>
          <w:tcPr>
            <w:tcW w:w="32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811"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7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6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9"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c>
          <w:tcPr>
            <w:tcW w:w="622"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802" w:hRule="atLeast"/>
        </w:trPr>
        <w:tc>
          <w:tcPr>
            <w:tcW w:w="32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811"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6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9"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c>
          <w:tcPr>
            <w:tcW w:w="622"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829" w:hRule="atLeast"/>
        </w:trPr>
        <w:tc>
          <w:tcPr>
            <w:tcW w:w="32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811"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6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9"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c>
          <w:tcPr>
            <w:tcW w:w="622"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830" w:hRule="atLeast"/>
        </w:trPr>
        <w:tc>
          <w:tcPr>
            <w:tcW w:w="32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811"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6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9"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c>
          <w:tcPr>
            <w:tcW w:w="622"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884" w:hRule="atLeast"/>
        </w:trPr>
        <w:tc>
          <w:tcPr>
            <w:tcW w:w="32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811"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6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9"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c>
          <w:tcPr>
            <w:tcW w:w="622"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525" w:hRule="atLeast"/>
        </w:trPr>
        <w:tc>
          <w:tcPr>
            <w:tcW w:w="1132"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579"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41"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31"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60"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41"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112" w:type="pct"/>
            <w:gridSpan w:val="2"/>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年   月   </w:t>
            </w:r>
            <w:r>
              <w:rPr>
                <w:rFonts w:ascii="宋体" w:hAnsi="宋体" w:cs="宋体"/>
                <w:kern w:val="0"/>
                <w:szCs w:val="21"/>
              </w:rPr>
              <w:t>日</w:t>
            </w:r>
          </w:p>
        </w:tc>
      </w:tr>
    </w:tbl>
    <w:p>
      <w:r>
        <w:br w:type="page"/>
      </w:r>
    </w:p>
    <w:tbl>
      <w:tblPr>
        <w:tblStyle w:val="22"/>
        <w:tblW w:w="5000" w:type="pct"/>
        <w:tblInd w:w="0" w:type="dxa"/>
        <w:tblLayout w:type="fixed"/>
        <w:tblCellMar>
          <w:top w:w="0" w:type="dxa"/>
          <w:left w:w="108" w:type="dxa"/>
          <w:bottom w:w="0" w:type="dxa"/>
          <w:right w:w="108" w:type="dxa"/>
        </w:tblCellMar>
      </w:tblPr>
      <w:tblGrid>
        <w:gridCol w:w="702"/>
        <w:gridCol w:w="2817"/>
        <w:gridCol w:w="1090"/>
        <w:gridCol w:w="1130"/>
        <w:gridCol w:w="1160"/>
        <w:gridCol w:w="1125"/>
        <w:gridCol w:w="62"/>
        <w:gridCol w:w="1111"/>
        <w:gridCol w:w="1609"/>
        <w:gridCol w:w="1211"/>
        <w:gridCol w:w="1437"/>
      </w:tblGrid>
      <w:tr>
        <w:trPr>
          <w:trHeight w:val="345" w:hRule="atLeast"/>
        </w:trPr>
        <w:tc>
          <w:tcPr>
            <w:tcW w:w="5000" w:type="pct"/>
            <w:gridSpan w:val="11"/>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附件3-8-（3）企业业绩、拟投入设备、人员配置及服务承诺评审得分表</w:t>
            </w:r>
          </w:p>
        </w:tc>
      </w:tr>
      <w:tr>
        <w:tblPrEx>
          <w:tblCellMar>
            <w:top w:w="0" w:type="dxa"/>
            <w:left w:w="108" w:type="dxa"/>
            <w:bottom w:w="0" w:type="dxa"/>
            <w:right w:w="108" w:type="dxa"/>
          </w:tblCellMar>
        </w:tblPrEx>
        <w:trPr>
          <w:trHeight w:val="405" w:hRule="atLeast"/>
        </w:trPr>
        <w:tc>
          <w:tcPr>
            <w:tcW w:w="5000" w:type="pct"/>
            <w:gridSpan w:val="11"/>
            <w:tcBorders>
              <w:top w:val="nil"/>
              <w:left w:val="nil"/>
              <w:bottom w:val="nil"/>
              <w:right w:val="nil"/>
            </w:tcBorders>
            <w:vAlign w:val="center"/>
          </w:tcPr>
          <w:p>
            <w:pPr>
              <w:widowControl/>
              <w:jc w:val="center"/>
              <w:rPr>
                <w:rFonts w:ascii="黑体" w:hAnsi="黑体" w:eastAsia="黑体" w:cs="宋体"/>
                <w:b/>
                <w:bCs/>
                <w:kern w:val="0"/>
                <w:sz w:val="32"/>
                <w:szCs w:val="32"/>
              </w:rPr>
            </w:pPr>
            <w:bookmarkStart w:id="460" w:name="RANGE!A2:G14"/>
            <w:r>
              <w:rPr>
                <w:rFonts w:hint="eastAsia" w:ascii="黑体" w:hAnsi="黑体" w:eastAsia="黑体" w:cs="宋体"/>
                <w:b/>
                <w:bCs/>
                <w:kern w:val="0"/>
                <w:sz w:val="32"/>
                <w:szCs w:val="32"/>
              </w:rPr>
              <w:t>勘察－－企业业绩、拟投入设备、人员配置及服务承诺评审得分表</w:t>
            </w:r>
            <w:bookmarkEnd w:id="460"/>
          </w:p>
        </w:tc>
      </w:tr>
      <w:tr>
        <w:tblPrEx>
          <w:tblCellMar>
            <w:top w:w="0" w:type="dxa"/>
            <w:left w:w="108" w:type="dxa"/>
            <w:bottom w:w="0" w:type="dxa"/>
            <w:right w:w="108" w:type="dxa"/>
          </w:tblCellMar>
        </w:tblPrEx>
        <w:trPr>
          <w:trHeight w:val="375" w:hRule="atLeast"/>
        </w:trPr>
        <w:tc>
          <w:tcPr>
            <w:tcW w:w="5000" w:type="pct"/>
            <w:gridSpan w:val="11"/>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75" w:hRule="atLeast"/>
        </w:trPr>
        <w:tc>
          <w:tcPr>
            <w:tcW w:w="5000" w:type="pct"/>
            <w:gridSpan w:val="11"/>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497" w:hRule="atLeast"/>
        </w:trPr>
        <w:tc>
          <w:tcPr>
            <w:tcW w:w="261"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047"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405" w:type="pct"/>
            <w:vMerge w:val="restart"/>
            <w:tcBorders>
              <w:top w:val="single" w:color="auto" w:sz="4" w:space="0"/>
              <w:left w:val="nil"/>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1、企业业绩（满分12分）</w:t>
            </w:r>
          </w:p>
        </w:tc>
        <w:tc>
          <w:tcPr>
            <w:tcW w:w="420" w:type="pct"/>
            <w:vMerge w:val="restart"/>
            <w:tcBorders>
              <w:top w:val="single" w:color="auto" w:sz="4" w:space="0"/>
              <w:left w:val="nil"/>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2、拟投入设备（满分8分）</w:t>
            </w:r>
          </w:p>
        </w:tc>
        <w:tc>
          <w:tcPr>
            <w:tcW w:w="1883" w:type="pct"/>
            <w:gridSpan w:val="5"/>
            <w:tcBorders>
              <w:top w:val="single" w:color="auto" w:sz="4" w:space="0"/>
              <w:left w:val="nil"/>
              <w:bottom w:val="single" w:color="auto"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3、人员配置（满分16分）</w:t>
            </w:r>
          </w:p>
        </w:tc>
        <w:tc>
          <w:tcPr>
            <w:tcW w:w="450" w:type="pct"/>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服务承诺</w:t>
            </w:r>
          </w:p>
          <w:p>
            <w:pPr>
              <w:widowControl/>
              <w:jc w:val="center"/>
              <w:rPr>
                <w:rFonts w:ascii="宋体" w:hAnsi="宋体" w:cs="宋体"/>
                <w:kern w:val="0"/>
                <w:szCs w:val="21"/>
              </w:rPr>
            </w:pPr>
            <w:r>
              <w:rPr>
                <w:rFonts w:hint="eastAsia" w:ascii="宋体" w:hAnsi="宋体" w:cs="宋体"/>
                <w:kern w:val="0"/>
                <w:szCs w:val="21"/>
              </w:rPr>
              <w:t>（满分4分）</w:t>
            </w:r>
          </w:p>
        </w:tc>
        <w:tc>
          <w:tcPr>
            <w:tcW w:w="534" w:type="pct"/>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（满分40分）</w:t>
            </w:r>
          </w:p>
        </w:tc>
      </w:tr>
      <w:tr>
        <w:tblPrEx>
          <w:tblCellMar>
            <w:top w:w="0" w:type="dxa"/>
            <w:left w:w="108" w:type="dxa"/>
            <w:bottom w:w="0" w:type="dxa"/>
            <w:right w:w="108" w:type="dxa"/>
          </w:tblCellMar>
        </w:tblPrEx>
        <w:trPr>
          <w:trHeight w:val="547" w:hRule="atLeast"/>
        </w:trPr>
        <w:tc>
          <w:tcPr>
            <w:tcW w:w="261" w:type="pct"/>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047" w:type="pct"/>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405" w:type="pct"/>
            <w:vMerge w:val="continue"/>
            <w:tcBorders>
              <w:left w:val="single" w:color="auto" w:sz="4" w:space="0"/>
              <w:right w:val="single" w:color="000000" w:sz="4" w:space="0"/>
            </w:tcBorders>
            <w:vAlign w:val="center"/>
          </w:tcPr>
          <w:p>
            <w:pPr>
              <w:widowControl/>
              <w:jc w:val="left"/>
              <w:rPr>
                <w:rFonts w:ascii="宋体" w:hAnsi="宋体" w:cs="宋体"/>
                <w:kern w:val="0"/>
                <w:szCs w:val="21"/>
              </w:rPr>
            </w:pPr>
          </w:p>
        </w:tc>
        <w:tc>
          <w:tcPr>
            <w:tcW w:w="420" w:type="pct"/>
            <w:vMerge w:val="continue"/>
            <w:tcBorders>
              <w:left w:val="single" w:color="auto" w:sz="4" w:space="0"/>
              <w:right w:val="single" w:color="000000" w:sz="4" w:space="0"/>
            </w:tcBorders>
            <w:vAlign w:val="center"/>
          </w:tcPr>
          <w:p>
            <w:pPr>
              <w:widowControl/>
              <w:jc w:val="left"/>
              <w:rPr>
                <w:rFonts w:ascii="宋体" w:hAnsi="宋体" w:cs="宋体"/>
                <w:kern w:val="0"/>
                <w:szCs w:val="21"/>
              </w:rPr>
            </w:pPr>
          </w:p>
        </w:tc>
        <w:tc>
          <w:tcPr>
            <w:tcW w:w="1285" w:type="pct"/>
            <w:gridSpan w:val="4"/>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①专业负责人资历</w:t>
            </w:r>
          </w:p>
          <w:p>
            <w:pPr>
              <w:widowControl/>
              <w:jc w:val="center"/>
              <w:rPr>
                <w:rFonts w:ascii="宋体" w:hAnsi="宋体" w:cs="宋体"/>
                <w:kern w:val="0"/>
                <w:szCs w:val="21"/>
              </w:rPr>
            </w:pPr>
            <w:r>
              <w:rPr>
                <w:rFonts w:hint="eastAsia" w:ascii="宋体" w:hAnsi="宋体" w:cs="宋体"/>
                <w:kern w:val="0"/>
                <w:szCs w:val="21"/>
              </w:rPr>
              <w:t>（满分8分）</w:t>
            </w:r>
          </w:p>
        </w:tc>
        <w:tc>
          <w:tcPr>
            <w:tcW w:w="598" w:type="pct"/>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②其他人员</w:t>
            </w:r>
          </w:p>
          <w:p>
            <w:pPr>
              <w:widowControl/>
              <w:jc w:val="center"/>
              <w:rPr>
                <w:rFonts w:ascii="宋体" w:hAnsi="宋体" w:cs="宋体"/>
                <w:kern w:val="0"/>
                <w:szCs w:val="21"/>
              </w:rPr>
            </w:pPr>
            <w:r>
              <w:rPr>
                <w:rFonts w:hint="eastAsia" w:ascii="宋体" w:hAnsi="宋体" w:cs="宋体"/>
                <w:kern w:val="0"/>
                <w:szCs w:val="21"/>
              </w:rPr>
              <w:t>配置</w:t>
            </w:r>
          </w:p>
          <w:p>
            <w:pPr>
              <w:widowControl/>
              <w:jc w:val="center"/>
              <w:rPr>
                <w:rFonts w:ascii="宋体" w:hAnsi="宋体" w:cs="宋体"/>
                <w:kern w:val="0"/>
                <w:szCs w:val="21"/>
              </w:rPr>
            </w:pPr>
            <w:r>
              <w:rPr>
                <w:rFonts w:hint="eastAsia" w:ascii="宋体" w:hAnsi="宋体" w:cs="宋体"/>
                <w:kern w:val="0"/>
                <w:szCs w:val="21"/>
              </w:rPr>
              <w:t>（满分8分）</w:t>
            </w:r>
          </w:p>
        </w:tc>
        <w:tc>
          <w:tcPr>
            <w:tcW w:w="450" w:type="pct"/>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534" w:type="pct"/>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413" w:hRule="atLeast"/>
        </w:trPr>
        <w:tc>
          <w:tcPr>
            <w:tcW w:w="261"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47"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405" w:type="pct"/>
            <w:vMerge w:val="continue"/>
            <w:tcBorders>
              <w:left w:val="single" w:color="auto" w:sz="4" w:space="0"/>
              <w:bottom w:val="single" w:color="auto" w:sz="4" w:space="0"/>
              <w:right w:val="single" w:color="000000" w:sz="4" w:space="0"/>
            </w:tcBorders>
            <w:vAlign w:val="center"/>
          </w:tcPr>
          <w:p>
            <w:pPr>
              <w:widowControl/>
              <w:jc w:val="left"/>
              <w:rPr>
                <w:rFonts w:ascii="宋体" w:hAnsi="宋体" w:cs="宋体"/>
                <w:kern w:val="0"/>
                <w:szCs w:val="21"/>
              </w:rPr>
            </w:pPr>
          </w:p>
        </w:tc>
        <w:tc>
          <w:tcPr>
            <w:tcW w:w="420" w:type="pct"/>
            <w:vMerge w:val="continue"/>
            <w:tcBorders>
              <w:left w:val="single" w:color="auto" w:sz="4" w:space="0"/>
              <w:bottom w:val="single" w:color="auto" w:sz="4" w:space="0"/>
              <w:right w:val="single" w:color="000000" w:sz="4" w:space="0"/>
            </w:tcBorders>
            <w:vAlign w:val="center"/>
          </w:tcPr>
          <w:p>
            <w:pPr>
              <w:widowControl/>
              <w:jc w:val="left"/>
              <w:rPr>
                <w:rFonts w:ascii="宋体" w:hAnsi="宋体" w:cs="宋体"/>
                <w:kern w:val="0"/>
                <w:szCs w:val="21"/>
              </w:rPr>
            </w:pPr>
          </w:p>
        </w:tc>
        <w:tc>
          <w:tcPr>
            <w:tcW w:w="431" w:type="pct"/>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学历</w:t>
            </w:r>
          </w:p>
          <w:p>
            <w:pPr>
              <w:widowControl/>
              <w:jc w:val="center"/>
              <w:rPr>
                <w:rFonts w:ascii="宋体" w:hAnsi="宋体" w:cs="宋体"/>
                <w:kern w:val="0"/>
                <w:sz w:val="18"/>
                <w:szCs w:val="18"/>
              </w:rPr>
            </w:pPr>
            <w:r>
              <w:rPr>
                <w:rFonts w:hint="eastAsia" w:ascii="宋体" w:hAnsi="宋体" w:cs="宋体"/>
                <w:kern w:val="0"/>
                <w:sz w:val="18"/>
                <w:szCs w:val="18"/>
              </w:rPr>
              <w:t>（2分）</w:t>
            </w:r>
          </w:p>
        </w:tc>
        <w:tc>
          <w:tcPr>
            <w:tcW w:w="418" w:type="pct"/>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职称</w:t>
            </w:r>
          </w:p>
          <w:p>
            <w:pPr>
              <w:widowControl/>
              <w:jc w:val="center"/>
              <w:rPr>
                <w:rFonts w:ascii="宋体" w:hAnsi="宋体" w:cs="宋体"/>
                <w:kern w:val="0"/>
                <w:sz w:val="18"/>
                <w:szCs w:val="18"/>
              </w:rPr>
            </w:pPr>
            <w:r>
              <w:rPr>
                <w:rFonts w:hint="eastAsia" w:ascii="宋体" w:hAnsi="宋体" w:cs="宋体"/>
                <w:kern w:val="0"/>
                <w:sz w:val="18"/>
                <w:szCs w:val="18"/>
              </w:rPr>
              <w:t>（2分）</w:t>
            </w:r>
          </w:p>
        </w:tc>
        <w:tc>
          <w:tcPr>
            <w:tcW w:w="436" w:type="pct"/>
            <w:gridSpan w:val="2"/>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业绩</w:t>
            </w:r>
          </w:p>
          <w:p>
            <w:pPr>
              <w:widowControl/>
              <w:jc w:val="center"/>
              <w:rPr>
                <w:rFonts w:ascii="宋体" w:hAnsi="宋体" w:cs="宋体"/>
                <w:kern w:val="0"/>
                <w:sz w:val="18"/>
                <w:szCs w:val="18"/>
              </w:rPr>
            </w:pPr>
            <w:r>
              <w:rPr>
                <w:rFonts w:hint="eastAsia" w:ascii="宋体" w:hAnsi="宋体" w:cs="宋体"/>
                <w:kern w:val="0"/>
                <w:sz w:val="18"/>
                <w:szCs w:val="18"/>
              </w:rPr>
              <w:t>（4分）</w:t>
            </w:r>
          </w:p>
        </w:tc>
        <w:tc>
          <w:tcPr>
            <w:tcW w:w="598" w:type="pct"/>
            <w:vMerge w:val="continue"/>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5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534"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615" w:hRule="atLeast"/>
        </w:trPr>
        <w:tc>
          <w:tcPr>
            <w:tcW w:w="261"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04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40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2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6"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9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15" w:hRule="atLeast"/>
        </w:trPr>
        <w:tc>
          <w:tcPr>
            <w:tcW w:w="261"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04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40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2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6"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9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15" w:hRule="atLeast"/>
        </w:trPr>
        <w:tc>
          <w:tcPr>
            <w:tcW w:w="261"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04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40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2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6"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9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15" w:hRule="atLeast"/>
        </w:trPr>
        <w:tc>
          <w:tcPr>
            <w:tcW w:w="261"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04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40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2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6"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9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15" w:hRule="atLeast"/>
        </w:trPr>
        <w:tc>
          <w:tcPr>
            <w:tcW w:w="261"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04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40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2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6"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9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5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3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1095" w:hRule="atLeast"/>
        </w:trPr>
        <w:tc>
          <w:tcPr>
            <w:tcW w:w="261"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备注</w:t>
            </w:r>
          </w:p>
        </w:tc>
        <w:tc>
          <w:tcPr>
            <w:tcW w:w="4739" w:type="pct"/>
            <w:gridSpan w:val="10"/>
            <w:tcBorders>
              <w:top w:val="single" w:color="auto" w:sz="4" w:space="0"/>
              <w:left w:val="nil"/>
              <w:bottom w:val="single" w:color="auto" w:sz="4" w:space="0"/>
              <w:right w:val="single" w:color="000000" w:sz="4" w:space="0"/>
            </w:tcBorders>
            <w:vAlign w:val="center"/>
          </w:tcPr>
          <w:p>
            <w:pPr>
              <w:snapToGrid w:val="0"/>
              <w:spacing w:line="260" w:lineRule="exact"/>
              <w:jc w:val="left"/>
              <w:rPr>
                <w:rFonts w:ascii="Times New Roman" w:hAnsi="Times New Roman"/>
                <w:sz w:val="18"/>
                <w:szCs w:val="18"/>
              </w:rPr>
            </w:pPr>
            <w:r>
              <w:rPr>
                <w:rFonts w:hint="eastAsia"/>
                <w:b/>
                <w:bCs/>
                <w:sz w:val="18"/>
                <w:szCs w:val="18"/>
              </w:rPr>
              <w:t>1、企业业绩（12分</w:t>
            </w:r>
            <w:r>
              <w:rPr>
                <w:rFonts w:hint="eastAsia"/>
                <w:sz w:val="18"/>
                <w:szCs w:val="18"/>
              </w:rPr>
              <w:t>）</w:t>
            </w:r>
            <w:r>
              <w:rPr>
                <w:rStyle w:val="36"/>
                <w:rFonts w:hint="default"/>
                <w:b w:val="0"/>
              </w:rPr>
              <w:t>近</w:t>
            </w:r>
            <w:r>
              <w:rPr>
                <w:rStyle w:val="36"/>
                <w:rFonts w:hint="default"/>
                <w:b w:val="0"/>
                <w:u w:val="single"/>
              </w:rPr>
              <w:t xml:space="preserve">   </w:t>
            </w:r>
            <w:r>
              <w:rPr>
                <w:rStyle w:val="36"/>
                <w:rFonts w:hint="default"/>
                <w:b w:val="0"/>
              </w:rPr>
              <w:t>年（20</w:t>
            </w:r>
            <w:r>
              <w:rPr>
                <w:rStyle w:val="36"/>
                <w:rFonts w:hint="default"/>
                <w:b w:val="0"/>
                <w:u w:val="single"/>
              </w:rPr>
              <w:t xml:space="preserve">  </w:t>
            </w:r>
            <w:r>
              <w:rPr>
                <w:rStyle w:val="36"/>
                <w:rFonts w:hint="default"/>
                <w:b w:val="0"/>
              </w:rPr>
              <w:t>年</w:t>
            </w:r>
            <w:r>
              <w:rPr>
                <w:rStyle w:val="36"/>
                <w:rFonts w:hint="default"/>
                <w:b w:val="0"/>
                <w:u w:val="single"/>
              </w:rPr>
              <w:t xml:space="preserve">   </w:t>
            </w:r>
            <w:r>
              <w:rPr>
                <w:rStyle w:val="36"/>
                <w:rFonts w:hint="default"/>
                <w:b w:val="0"/>
              </w:rPr>
              <w:t>月）</w:t>
            </w:r>
            <w:r>
              <w:rPr>
                <w:rFonts w:ascii="Times New Roman" w:hAnsi="Times New Roman"/>
                <w:sz w:val="18"/>
                <w:szCs w:val="18"/>
              </w:rPr>
              <w:t>，</w:t>
            </w:r>
            <w:r>
              <w:rPr>
                <w:rFonts w:hint="eastAsia" w:ascii="Times New Roman" w:hAnsi="Times New Roman"/>
                <w:sz w:val="18"/>
                <w:szCs w:val="18"/>
              </w:rPr>
              <w:t>提供</w:t>
            </w:r>
            <w:r>
              <w:rPr>
                <w:rFonts w:ascii="Times New Roman" w:hAnsi="Times New Roman"/>
                <w:sz w:val="18"/>
                <w:szCs w:val="18"/>
              </w:rPr>
              <w:t>类似项目业绩，每项得</w:t>
            </w:r>
            <w:r>
              <w:rPr>
                <w:rFonts w:hint="eastAsia" w:ascii="Times New Roman" w:hAnsi="Times New Roman"/>
                <w:sz w:val="18"/>
                <w:szCs w:val="18"/>
              </w:rPr>
              <w:t>3</w:t>
            </w:r>
            <w:r>
              <w:rPr>
                <w:rFonts w:ascii="Times New Roman" w:hAnsi="Times New Roman"/>
                <w:sz w:val="18"/>
                <w:szCs w:val="18"/>
              </w:rPr>
              <w:t>分</w:t>
            </w:r>
            <w:r>
              <w:rPr>
                <w:rFonts w:hint="eastAsia" w:ascii="Times New Roman" w:hAnsi="Times New Roman"/>
                <w:sz w:val="18"/>
                <w:szCs w:val="18"/>
              </w:rPr>
              <w:t>。</w:t>
            </w:r>
            <w:r>
              <w:rPr>
                <w:rStyle w:val="36"/>
                <w:rFonts w:hint="default"/>
                <w:b w:val="0"/>
              </w:rPr>
              <w:t>（注：类似业绩指</w:t>
            </w:r>
            <w:r>
              <w:rPr>
                <w:rStyle w:val="36"/>
                <w:rFonts w:hint="default"/>
                <w:b w:val="0"/>
                <w:i/>
                <w:u w:val="single"/>
              </w:rPr>
              <w:t>（类别、规模）</w:t>
            </w:r>
            <w:r>
              <w:rPr>
                <w:rStyle w:val="36"/>
                <w:rFonts w:hint="default"/>
                <w:b w:val="0"/>
              </w:rPr>
              <w:t>项目业绩，以合同内容为准；时间以合同签订日期为准。）</w:t>
            </w:r>
          </w:p>
          <w:p>
            <w:pPr>
              <w:snapToGrid w:val="0"/>
              <w:spacing w:line="260" w:lineRule="exact"/>
              <w:jc w:val="left"/>
              <w:rPr>
                <w:rFonts w:ascii="Times New Roman" w:hAnsi="Times New Roman"/>
                <w:sz w:val="18"/>
                <w:szCs w:val="18"/>
              </w:rPr>
            </w:pPr>
            <w:r>
              <w:rPr>
                <w:rFonts w:hint="eastAsia"/>
                <w:b/>
                <w:bCs/>
                <w:sz w:val="18"/>
                <w:szCs w:val="18"/>
              </w:rPr>
              <w:t>2、拟投入设备（8分）</w:t>
            </w:r>
            <w:r>
              <w:rPr>
                <w:rFonts w:hint="eastAsia" w:ascii="Times New Roman" w:hAnsi="Times New Roman"/>
                <w:sz w:val="18"/>
                <w:szCs w:val="18"/>
              </w:rPr>
              <w:t>现场勘察设备在基本满足工程要求的基础上，由评委根据各投标单位配备检测设备进行比较自主打分。（4-8分）</w:t>
            </w:r>
          </w:p>
          <w:p>
            <w:pPr>
              <w:pStyle w:val="7"/>
              <w:rPr>
                <w:rFonts w:ascii="宋体" w:hAnsi="宋体" w:cs="宋体"/>
                <w:bCs/>
                <w:kern w:val="0"/>
                <w:sz w:val="18"/>
                <w:szCs w:val="18"/>
              </w:rPr>
            </w:pPr>
            <w:r>
              <w:rPr>
                <w:rFonts w:hint="eastAsia"/>
                <w:b/>
                <w:bCs/>
                <w:sz w:val="18"/>
                <w:szCs w:val="18"/>
              </w:rPr>
              <w:t>3、人员配置（16分</w:t>
            </w:r>
            <w:r>
              <w:rPr>
                <w:rFonts w:hint="eastAsia"/>
                <w:sz w:val="18"/>
                <w:szCs w:val="18"/>
              </w:rPr>
              <w:t>）</w:t>
            </w:r>
            <w:r>
              <w:rPr>
                <w:rFonts w:hint="eastAsia" w:ascii="Times New Roman" w:hAnsi="Times New Roman"/>
                <w:b/>
                <w:bCs/>
                <w:sz w:val="18"/>
                <w:szCs w:val="18"/>
              </w:rPr>
              <w:t>①专业负责人资历（8分）</w:t>
            </w:r>
            <w:r>
              <w:rPr>
                <w:rFonts w:hint="eastAsia" w:ascii="Times New Roman" w:hAnsi="Times New Roman"/>
                <w:sz w:val="18"/>
                <w:szCs w:val="18"/>
              </w:rPr>
              <w:t>学历（2分）：工程类相关专业本科及以上学历者，得2分，其他不得分。职称（2分）：高级职称得2分，中级职称得1分，其他不得分。业绩（4分）：</w:t>
            </w:r>
            <w:r>
              <w:rPr>
                <w:rStyle w:val="36"/>
                <w:rFonts w:hint="default"/>
                <w:b w:val="0"/>
              </w:rPr>
              <w:t>近</w:t>
            </w:r>
            <w:r>
              <w:rPr>
                <w:rStyle w:val="36"/>
                <w:rFonts w:hint="default"/>
                <w:b w:val="0"/>
                <w:u w:val="single"/>
              </w:rPr>
              <w:t xml:space="preserve">   </w:t>
            </w:r>
            <w:r>
              <w:rPr>
                <w:rStyle w:val="36"/>
                <w:rFonts w:hint="default"/>
                <w:b w:val="0"/>
              </w:rPr>
              <w:t>年（20</w:t>
            </w:r>
            <w:r>
              <w:rPr>
                <w:rStyle w:val="36"/>
                <w:rFonts w:hint="default"/>
                <w:b w:val="0"/>
                <w:u w:val="single"/>
              </w:rPr>
              <w:t xml:space="preserve">  </w:t>
            </w:r>
            <w:r>
              <w:rPr>
                <w:rStyle w:val="36"/>
                <w:rFonts w:hint="default"/>
                <w:b w:val="0"/>
              </w:rPr>
              <w:t>年</w:t>
            </w:r>
            <w:r>
              <w:rPr>
                <w:rStyle w:val="36"/>
                <w:rFonts w:hint="default"/>
                <w:b w:val="0"/>
                <w:u w:val="single"/>
              </w:rPr>
              <w:t xml:space="preserve">   </w:t>
            </w:r>
            <w:r>
              <w:rPr>
                <w:rStyle w:val="36"/>
                <w:rFonts w:hint="default"/>
                <w:b w:val="0"/>
              </w:rPr>
              <w:t>月）</w:t>
            </w:r>
            <w:r>
              <w:rPr>
                <w:rFonts w:hint="eastAsia" w:ascii="Times New Roman" w:hAnsi="Times New Roman"/>
                <w:sz w:val="18"/>
                <w:szCs w:val="18"/>
              </w:rPr>
              <w:t>，担任过类似项目负责人业绩，每项得2分。</w:t>
            </w:r>
            <w:r>
              <w:rPr>
                <w:rStyle w:val="36"/>
                <w:rFonts w:hint="default"/>
                <w:b w:val="0"/>
              </w:rPr>
              <w:t>（注：类似业绩指</w:t>
            </w:r>
            <w:r>
              <w:rPr>
                <w:rStyle w:val="36"/>
                <w:rFonts w:hint="default"/>
                <w:b w:val="0"/>
                <w:i/>
                <w:u w:val="single"/>
              </w:rPr>
              <w:t>（类别、规模）</w:t>
            </w:r>
            <w:r>
              <w:rPr>
                <w:rStyle w:val="36"/>
                <w:rFonts w:hint="default"/>
                <w:b w:val="0"/>
              </w:rPr>
              <w:t>项目业绩，以合同内容为准；时间以合同签订日期为准。）</w:t>
            </w:r>
          </w:p>
          <w:p>
            <w:pPr>
              <w:pStyle w:val="7"/>
              <w:snapToGrid w:val="0"/>
              <w:spacing w:line="260" w:lineRule="exact"/>
              <w:rPr>
                <w:rFonts w:ascii="Times New Roman" w:hAnsi="Times New Roman"/>
                <w:sz w:val="18"/>
                <w:szCs w:val="18"/>
              </w:rPr>
            </w:pPr>
            <w:r>
              <w:rPr>
                <w:rFonts w:hint="eastAsia" w:ascii="Times New Roman" w:hAnsi="Times New Roman"/>
                <w:b/>
                <w:bCs/>
                <w:sz w:val="18"/>
                <w:szCs w:val="18"/>
              </w:rPr>
              <w:t>②项目组其他人员配置（8分</w:t>
            </w:r>
            <w:r>
              <w:rPr>
                <w:rFonts w:hint="eastAsia" w:ascii="Times New Roman" w:hAnsi="Times New Roman"/>
                <w:sz w:val="18"/>
                <w:szCs w:val="18"/>
              </w:rPr>
              <w:t>）在满足工程要求的基础上，根据测试、试验、审核、审定等主要勘察人员配置情况，横向对比差别赋分4-8分。</w:t>
            </w:r>
          </w:p>
          <w:p>
            <w:pPr>
              <w:pStyle w:val="7"/>
              <w:snapToGrid w:val="0"/>
              <w:spacing w:line="260" w:lineRule="exact"/>
              <w:rPr>
                <w:rFonts w:ascii="宋体" w:hAnsi="宋体" w:cs="宋体"/>
                <w:bCs/>
                <w:kern w:val="0"/>
                <w:sz w:val="18"/>
                <w:szCs w:val="15"/>
              </w:rPr>
            </w:pPr>
            <w:r>
              <w:rPr>
                <w:rFonts w:hint="eastAsia" w:ascii="Times New Roman" w:hAnsi="Times New Roman"/>
                <w:b/>
                <w:bCs/>
                <w:sz w:val="18"/>
                <w:szCs w:val="18"/>
              </w:rPr>
              <w:t>4、服务承诺（满分4分</w:t>
            </w:r>
            <w:r>
              <w:rPr>
                <w:rFonts w:hint="eastAsia" w:ascii="Times New Roman" w:hAnsi="Times New Roman"/>
                <w:sz w:val="18"/>
                <w:szCs w:val="18"/>
              </w:rPr>
              <w:t>）</w:t>
            </w:r>
            <w:r>
              <w:rPr>
                <w:rFonts w:hint="eastAsia"/>
                <w:sz w:val="18"/>
                <w:szCs w:val="18"/>
              </w:rPr>
              <w:t>根据投标人针对本项目服务的承诺进行横向对比，差别赋分（0-4）</w:t>
            </w:r>
          </w:p>
        </w:tc>
      </w:tr>
      <w:tr>
        <w:tblPrEx>
          <w:tblCellMar>
            <w:top w:w="0" w:type="dxa"/>
            <w:left w:w="108" w:type="dxa"/>
            <w:bottom w:w="0" w:type="dxa"/>
            <w:right w:w="108" w:type="dxa"/>
          </w:tblCellMar>
        </w:tblPrEx>
        <w:trPr>
          <w:trHeight w:val="394" w:hRule="atLeast"/>
        </w:trPr>
        <w:tc>
          <w:tcPr>
            <w:tcW w:w="1308" w:type="pct"/>
            <w:gridSpan w:val="2"/>
            <w:tcBorders>
              <w:top w:val="single" w:color="auto" w:sz="4" w:space="0"/>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Cs w:val="21"/>
              </w:rPr>
              <w:t>评委签字：</w:t>
            </w:r>
          </w:p>
        </w:tc>
        <w:tc>
          <w:tcPr>
            <w:tcW w:w="825" w:type="pct"/>
            <w:gridSpan w:val="2"/>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72" w:type="pct"/>
            <w:gridSpan w:val="3"/>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1011" w:type="pct"/>
            <w:gridSpan w:val="2"/>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450" w:type="pct"/>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534" w:type="pct"/>
            <w:tcBorders>
              <w:top w:val="nil"/>
              <w:left w:val="nil"/>
              <w:bottom w:val="nil"/>
              <w:right w:val="nil"/>
            </w:tcBorders>
            <w:noWrap/>
            <w:vAlign w:val="center"/>
          </w:tcPr>
          <w:p>
            <w:pPr>
              <w:widowControl/>
              <w:jc w:val="right"/>
              <w:rPr>
                <w:rFonts w:ascii="宋体" w:hAnsi="宋体" w:cs="宋体"/>
                <w:kern w:val="0"/>
                <w:sz w:val="24"/>
              </w:rPr>
            </w:pPr>
            <w:r>
              <w:rPr>
                <w:rFonts w:hint="eastAsia" w:ascii="宋体" w:hAnsi="宋体" w:cs="宋体"/>
                <w:kern w:val="0"/>
              </w:rPr>
              <w:t xml:space="preserve">年  月   </w:t>
            </w:r>
            <w:r>
              <w:rPr>
                <w:rFonts w:ascii="宋体" w:hAnsi="宋体" w:cs="宋体"/>
                <w:kern w:val="0"/>
              </w:rPr>
              <w:t>日</w:t>
            </w:r>
          </w:p>
        </w:tc>
      </w:tr>
    </w:tbl>
    <w:p>
      <w:r>
        <w:br w:type="page"/>
      </w:r>
    </w:p>
    <w:tbl>
      <w:tblPr>
        <w:tblStyle w:val="22"/>
        <w:tblW w:w="5000" w:type="pct"/>
        <w:tblInd w:w="0" w:type="dxa"/>
        <w:tblLayout w:type="autofit"/>
        <w:tblCellMar>
          <w:top w:w="0" w:type="dxa"/>
          <w:left w:w="108" w:type="dxa"/>
          <w:bottom w:w="0" w:type="dxa"/>
          <w:right w:w="108" w:type="dxa"/>
        </w:tblCellMar>
      </w:tblPr>
      <w:tblGrid>
        <w:gridCol w:w="998"/>
        <w:gridCol w:w="2145"/>
        <w:gridCol w:w="1426"/>
        <w:gridCol w:w="1480"/>
        <w:gridCol w:w="1453"/>
        <w:gridCol w:w="1466"/>
        <w:gridCol w:w="1440"/>
        <w:gridCol w:w="1327"/>
        <w:gridCol w:w="1719"/>
      </w:tblGrid>
      <w:tr>
        <w:tblPrEx>
          <w:tblCellMar>
            <w:top w:w="0" w:type="dxa"/>
            <w:left w:w="108" w:type="dxa"/>
            <w:bottom w:w="0" w:type="dxa"/>
            <w:right w:w="108" w:type="dxa"/>
          </w:tblCellMar>
        </w:tblPrEx>
        <w:trPr>
          <w:trHeight w:val="345" w:hRule="atLeast"/>
        </w:trPr>
        <w:tc>
          <w:tcPr>
            <w:tcW w:w="5000" w:type="pct"/>
            <w:gridSpan w:val="9"/>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附件3-8-（3）企业业绩、拟投入设备、人员配置及服务承诺评审汇总表</w:t>
            </w:r>
          </w:p>
        </w:tc>
      </w:tr>
      <w:tr>
        <w:tblPrEx>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勘察－－企业业绩、拟投入设备、人员配置及服务承诺评审汇总表</w:t>
            </w:r>
          </w:p>
        </w:tc>
      </w:tr>
      <w:tr>
        <w:tblPrEx>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365" w:hRule="atLeast"/>
        </w:trPr>
        <w:tc>
          <w:tcPr>
            <w:tcW w:w="3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796"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530"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评委1</w:t>
            </w:r>
          </w:p>
        </w:tc>
        <w:tc>
          <w:tcPr>
            <w:tcW w:w="550"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评委2</w:t>
            </w:r>
          </w:p>
        </w:tc>
        <w:tc>
          <w:tcPr>
            <w:tcW w:w="540"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评委3</w:t>
            </w:r>
          </w:p>
        </w:tc>
        <w:tc>
          <w:tcPr>
            <w:tcW w:w="545"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评委4</w:t>
            </w:r>
          </w:p>
        </w:tc>
        <w:tc>
          <w:tcPr>
            <w:tcW w:w="535"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评委5</w:t>
            </w:r>
          </w:p>
        </w:tc>
        <w:tc>
          <w:tcPr>
            <w:tcW w:w="49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636"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平均得分</w:t>
            </w:r>
          </w:p>
          <w:p>
            <w:pPr>
              <w:widowControl/>
              <w:jc w:val="center"/>
              <w:rPr>
                <w:rFonts w:ascii="宋体" w:hAnsi="宋体" w:cs="宋体"/>
                <w:kern w:val="0"/>
                <w:szCs w:val="21"/>
              </w:rPr>
            </w:pPr>
            <w:r>
              <w:rPr>
                <w:rFonts w:hint="eastAsia" w:ascii="宋体" w:hAnsi="宋体" w:cs="宋体"/>
                <w:kern w:val="0"/>
                <w:szCs w:val="21"/>
              </w:rPr>
              <w:t>（满分40分）</w:t>
            </w:r>
          </w:p>
        </w:tc>
      </w:tr>
      <w:tr>
        <w:tblPrEx>
          <w:tblCellMar>
            <w:top w:w="0" w:type="dxa"/>
            <w:left w:w="108" w:type="dxa"/>
            <w:bottom w:w="0" w:type="dxa"/>
            <w:right w:w="108" w:type="dxa"/>
          </w:tblCellMar>
        </w:tblPrEx>
        <w:trPr>
          <w:trHeight w:val="720" w:hRule="atLeast"/>
        </w:trPr>
        <w:tc>
          <w:tcPr>
            <w:tcW w:w="371"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79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3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5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3"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6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0" w:hRule="atLeast"/>
        </w:trPr>
        <w:tc>
          <w:tcPr>
            <w:tcW w:w="371"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79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3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5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3"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6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0" w:hRule="atLeast"/>
        </w:trPr>
        <w:tc>
          <w:tcPr>
            <w:tcW w:w="371"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79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3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5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3"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6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0" w:hRule="atLeast"/>
        </w:trPr>
        <w:tc>
          <w:tcPr>
            <w:tcW w:w="371"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79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3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5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3"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6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0" w:hRule="atLeast"/>
        </w:trPr>
        <w:tc>
          <w:tcPr>
            <w:tcW w:w="371"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79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3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5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3"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6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25" w:hRule="atLeast"/>
        </w:trPr>
        <w:tc>
          <w:tcPr>
            <w:tcW w:w="1168"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530"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50"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40"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45"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35"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129" w:type="pct"/>
            <w:gridSpan w:val="2"/>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年  月  </w:t>
            </w:r>
            <w:r>
              <w:rPr>
                <w:rFonts w:ascii="宋体" w:hAnsi="宋体" w:cs="宋体"/>
                <w:kern w:val="0"/>
                <w:szCs w:val="21"/>
              </w:rPr>
              <w:t>日</w:t>
            </w:r>
          </w:p>
        </w:tc>
      </w:tr>
    </w:tbl>
    <w:p>
      <w:r>
        <w:rPr>
          <w:szCs w:val="21"/>
        </w:rPr>
        <w:br w:type="page"/>
      </w:r>
    </w:p>
    <w:tbl>
      <w:tblPr>
        <w:tblStyle w:val="22"/>
        <w:tblW w:w="5000" w:type="pct"/>
        <w:tblInd w:w="0" w:type="dxa"/>
        <w:tblLayout w:type="autofit"/>
        <w:tblCellMar>
          <w:top w:w="0" w:type="dxa"/>
          <w:left w:w="108" w:type="dxa"/>
          <w:bottom w:w="0" w:type="dxa"/>
          <w:right w:w="108" w:type="dxa"/>
        </w:tblCellMar>
      </w:tblPr>
      <w:tblGrid>
        <w:gridCol w:w="829"/>
        <w:gridCol w:w="4106"/>
        <w:gridCol w:w="1819"/>
        <w:gridCol w:w="1954"/>
        <w:gridCol w:w="2992"/>
        <w:gridCol w:w="1754"/>
      </w:tblGrid>
      <w:tr>
        <w:tblPrEx>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附件3-8-（3）-C得分汇总表</w:t>
            </w:r>
          </w:p>
        </w:tc>
      </w:tr>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勘察－－得分汇总表</w:t>
            </w:r>
          </w:p>
        </w:tc>
      </w:tr>
      <w:tr>
        <w:tblPrEx>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260" w:hRule="atLeast"/>
        </w:trPr>
        <w:tc>
          <w:tcPr>
            <w:tcW w:w="308" w:type="pct"/>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526"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676"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投标报价                （满分30分）</w:t>
            </w:r>
          </w:p>
        </w:tc>
        <w:tc>
          <w:tcPr>
            <w:tcW w:w="726"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勘察纲要</w:t>
            </w:r>
          </w:p>
          <w:p>
            <w:pPr>
              <w:widowControl/>
              <w:jc w:val="center"/>
              <w:rPr>
                <w:rFonts w:ascii="宋体" w:hAnsi="宋体" w:cs="宋体"/>
                <w:kern w:val="0"/>
                <w:szCs w:val="21"/>
              </w:rPr>
            </w:pPr>
            <w:r>
              <w:rPr>
                <w:rFonts w:hint="eastAsia" w:ascii="宋体" w:hAnsi="宋体" w:cs="宋体"/>
                <w:kern w:val="0"/>
                <w:szCs w:val="21"/>
              </w:rPr>
              <w:t>（满分30分）</w:t>
            </w:r>
          </w:p>
        </w:tc>
        <w:tc>
          <w:tcPr>
            <w:tcW w:w="1112"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企业业绩、拟投入设备、人员配置及服务承诺</w:t>
            </w:r>
          </w:p>
          <w:p>
            <w:pPr>
              <w:widowControl/>
              <w:jc w:val="center"/>
              <w:rPr>
                <w:rFonts w:ascii="宋体" w:hAnsi="宋体" w:cs="宋体"/>
                <w:kern w:val="0"/>
                <w:szCs w:val="21"/>
              </w:rPr>
            </w:pPr>
            <w:r>
              <w:rPr>
                <w:rFonts w:hint="eastAsia" w:ascii="宋体" w:hAnsi="宋体" w:cs="宋体"/>
                <w:kern w:val="0"/>
                <w:szCs w:val="21"/>
              </w:rPr>
              <w:t>（满分40分）</w:t>
            </w:r>
          </w:p>
        </w:tc>
        <w:tc>
          <w:tcPr>
            <w:tcW w:w="649" w:type="pct"/>
            <w:tcBorders>
              <w:top w:val="single" w:color="auto" w:sz="4" w:space="0"/>
              <w:left w:val="nil"/>
              <w:bottom w:val="nil"/>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总得分</w:t>
            </w:r>
          </w:p>
          <w:p>
            <w:pPr>
              <w:widowControl/>
              <w:jc w:val="center"/>
              <w:rPr>
                <w:rFonts w:ascii="宋体" w:hAnsi="宋体" w:cs="宋体"/>
                <w:kern w:val="0"/>
                <w:szCs w:val="21"/>
              </w:rPr>
            </w:pPr>
            <w:r>
              <w:rPr>
                <w:rFonts w:hint="eastAsia" w:ascii="宋体" w:hAnsi="宋体" w:cs="宋体"/>
                <w:kern w:val="0"/>
                <w:szCs w:val="21"/>
              </w:rPr>
              <w:t>（满分100分）</w:t>
            </w:r>
          </w:p>
        </w:tc>
      </w:tr>
      <w:tr>
        <w:tblPrEx>
          <w:tblCellMar>
            <w:top w:w="0" w:type="dxa"/>
            <w:left w:w="108" w:type="dxa"/>
            <w:bottom w:w="0" w:type="dxa"/>
            <w:right w:w="108" w:type="dxa"/>
          </w:tblCellMar>
        </w:tblPrEx>
        <w:trPr>
          <w:trHeight w:val="945" w:hRule="atLeast"/>
        </w:trPr>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526"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7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2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1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4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45"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52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7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2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1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45"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52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7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2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1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45"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52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7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2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1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45"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52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7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2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1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25" w:hRule="atLeast"/>
        </w:trPr>
        <w:tc>
          <w:tcPr>
            <w:tcW w:w="1834"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r>
              <w:rPr>
                <w:rFonts w:ascii="宋体" w:hAnsi="宋体" w:cs="宋体"/>
                <w:kern w:val="0"/>
                <w:szCs w:val="21"/>
              </w:rPr>
              <w:t xml:space="preserve">            </w:t>
            </w:r>
          </w:p>
        </w:tc>
        <w:tc>
          <w:tcPr>
            <w:tcW w:w="676"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26"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112"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649" w:type="pct"/>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年  月  </w:t>
            </w:r>
            <w:r>
              <w:rPr>
                <w:rFonts w:ascii="宋体" w:hAnsi="宋体" w:cs="宋体"/>
                <w:kern w:val="0"/>
                <w:szCs w:val="21"/>
              </w:rPr>
              <w:t>日</w:t>
            </w:r>
          </w:p>
        </w:tc>
      </w:tr>
    </w:tbl>
    <w:p>
      <w:pPr>
        <w:pStyle w:val="33"/>
      </w:pPr>
      <w:r>
        <w:rPr>
          <w:rFonts w:hint="eastAsia"/>
        </w:rPr>
        <w:br w:type="page"/>
      </w:r>
    </w:p>
    <w:tbl>
      <w:tblPr>
        <w:tblStyle w:val="22"/>
        <w:tblW w:w="5000" w:type="pct"/>
        <w:tblInd w:w="0" w:type="dxa"/>
        <w:tblLayout w:type="autofit"/>
        <w:tblCellMar>
          <w:top w:w="0" w:type="dxa"/>
          <w:left w:w="108" w:type="dxa"/>
          <w:bottom w:w="0" w:type="dxa"/>
          <w:right w:w="108" w:type="dxa"/>
        </w:tblCellMar>
      </w:tblPr>
      <w:tblGrid>
        <w:gridCol w:w="705"/>
        <w:gridCol w:w="3732"/>
        <w:gridCol w:w="2422"/>
        <w:gridCol w:w="2346"/>
        <w:gridCol w:w="1779"/>
        <w:gridCol w:w="2470"/>
      </w:tblGrid>
      <w:tr>
        <w:tblPrEx>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附件3-8-（4）投标报价（下浮率）得分表</w:t>
            </w:r>
          </w:p>
        </w:tc>
      </w:tr>
      <w:tr>
        <w:tblPrEx>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造价咨询－－投标报价得分表</w:t>
            </w:r>
          </w:p>
        </w:tc>
      </w:tr>
      <w:tr>
        <w:tblPrEx>
          <w:tblCellMar>
            <w:top w:w="0" w:type="dxa"/>
            <w:left w:w="108" w:type="dxa"/>
            <w:bottom w:w="0" w:type="dxa"/>
            <w:right w:w="108" w:type="dxa"/>
          </w:tblCellMar>
        </w:tblPrEx>
        <w:trPr>
          <w:trHeight w:val="33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3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335" w:hRule="atLeast"/>
        </w:trPr>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38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9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投标报价</w:t>
            </w:r>
          </w:p>
          <w:p>
            <w:pPr>
              <w:widowControl/>
              <w:jc w:val="center"/>
              <w:rPr>
                <w:rFonts w:ascii="宋体" w:hAnsi="宋体" w:cs="宋体"/>
                <w:kern w:val="0"/>
                <w:szCs w:val="21"/>
              </w:rPr>
            </w:pPr>
            <w:r>
              <w:rPr>
                <w:rFonts w:hint="eastAsia" w:ascii="宋体" w:hAnsi="宋体" w:cs="宋体"/>
                <w:kern w:val="0"/>
                <w:szCs w:val="21"/>
              </w:rPr>
              <w:t>（下浮率）              （%）</w:t>
            </w:r>
          </w:p>
        </w:tc>
        <w:tc>
          <w:tcPr>
            <w:tcW w:w="8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基准价</w:t>
            </w:r>
          </w:p>
          <w:p>
            <w:pPr>
              <w:widowControl/>
              <w:jc w:val="center"/>
              <w:rPr>
                <w:rFonts w:ascii="宋体" w:hAnsi="宋体" w:cs="宋体"/>
                <w:kern w:val="0"/>
                <w:szCs w:val="21"/>
              </w:rPr>
            </w:pPr>
            <w:r>
              <w:rPr>
                <w:rFonts w:hint="eastAsia" w:ascii="宋体" w:hAnsi="宋体" w:cs="宋体"/>
                <w:kern w:val="0"/>
                <w:szCs w:val="21"/>
              </w:rPr>
              <w:t>（下浮率）</w:t>
            </w:r>
          </w:p>
          <w:p>
            <w:pPr>
              <w:widowControl/>
              <w:jc w:val="center"/>
              <w:rPr>
                <w:rFonts w:ascii="宋体" w:hAnsi="宋体" w:cs="宋体"/>
                <w:kern w:val="0"/>
                <w:szCs w:val="21"/>
              </w:rPr>
            </w:pPr>
            <w:r>
              <w:rPr>
                <w:rFonts w:hint="eastAsia" w:ascii="宋体" w:hAnsi="宋体" w:cs="宋体"/>
                <w:kern w:val="0"/>
                <w:szCs w:val="21"/>
              </w:rPr>
              <w:t>（%）</w:t>
            </w:r>
          </w:p>
        </w:tc>
        <w:tc>
          <w:tcPr>
            <w:tcW w:w="6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偏差率</w:t>
            </w:r>
          </w:p>
        </w:tc>
        <w:tc>
          <w:tcPr>
            <w:tcW w:w="91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38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00"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72"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661"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91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38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00"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661"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916"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38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00"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661"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91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38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00"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661"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91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38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00"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661"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91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5000" w:type="pct"/>
            <w:gridSpan w:val="6"/>
            <w:tcBorders>
              <w:top w:val="nil"/>
              <w:left w:val="single" w:color="auto" w:sz="4" w:space="0"/>
              <w:bottom w:val="single" w:color="auto" w:sz="4" w:space="0"/>
              <w:right w:val="single" w:color="auto" w:sz="4" w:space="0"/>
            </w:tcBorders>
            <w:vAlign w:val="center"/>
          </w:tcPr>
          <w:p>
            <w:pPr>
              <w:jc w:val="left"/>
              <w:rPr>
                <w:szCs w:val="22"/>
              </w:rPr>
            </w:pPr>
            <w:r>
              <w:rPr>
                <w:rFonts w:hint="eastAsia"/>
                <w:szCs w:val="22"/>
              </w:rPr>
              <w:t>注：评标基准价（下浮率）=各有效投标报价（下浮率）之和</w:t>
            </w:r>
            <w:r>
              <w:rPr>
                <w:rFonts w:hint="eastAsia"/>
              </w:rPr>
              <w:t>/</w:t>
            </w:r>
            <w:r>
              <w:rPr>
                <w:rFonts w:hint="eastAsia"/>
                <w:szCs w:val="22"/>
              </w:rPr>
              <w:t>有效投标单位个数。</w:t>
            </w:r>
          </w:p>
          <w:p>
            <w:pPr>
              <w:widowControl/>
              <w:jc w:val="left"/>
              <w:rPr>
                <w:rFonts w:ascii="宋体" w:hAnsi="宋体" w:cs="宋体"/>
                <w:b/>
                <w:bCs/>
                <w:kern w:val="0"/>
                <w:szCs w:val="21"/>
              </w:rPr>
            </w:pPr>
            <w:r>
              <w:rPr>
                <w:rFonts w:hint="eastAsia"/>
              </w:rPr>
              <w:t>投标人数量≤5时，评标基准价采用全部有效投标报价计算；5＜投标人数量≤20时，评标基准价采用去除有效报价最高、最低各1个计算；投标人数量＞20时，评标基准价采用去除有效报价最高、最低各2个计算。</w:t>
            </w:r>
          </w:p>
        </w:tc>
      </w:tr>
      <w:tr>
        <w:tblPrEx>
          <w:tblCellMar>
            <w:top w:w="0" w:type="dxa"/>
            <w:left w:w="108" w:type="dxa"/>
            <w:bottom w:w="0" w:type="dxa"/>
            <w:right w:w="108" w:type="dxa"/>
          </w:tblCellMar>
        </w:tblPrEx>
        <w:trPr>
          <w:trHeight w:val="525" w:hRule="atLeast"/>
        </w:trPr>
        <w:tc>
          <w:tcPr>
            <w:tcW w:w="1649"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900"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872"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577" w:type="pct"/>
            <w:gridSpan w:val="2"/>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年  月  日</w:t>
            </w:r>
          </w:p>
        </w:tc>
      </w:tr>
    </w:tbl>
    <w:p/>
    <w:p>
      <w:pPr>
        <w:pStyle w:val="10"/>
      </w:pPr>
    </w:p>
    <w:tbl>
      <w:tblPr>
        <w:tblStyle w:val="22"/>
        <w:tblW w:w="5000" w:type="pct"/>
        <w:tblInd w:w="0" w:type="dxa"/>
        <w:tblLayout w:type="autofit"/>
        <w:tblCellMar>
          <w:top w:w="0" w:type="dxa"/>
          <w:left w:w="108" w:type="dxa"/>
          <w:bottom w:w="0" w:type="dxa"/>
          <w:right w:w="108" w:type="dxa"/>
        </w:tblCellMar>
      </w:tblPr>
      <w:tblGrid>
        <w:gridCol w:w="604"/>
        <w:gridCol w:w="1986"/>
        <w:gridCol w:w="1297"/>
        <w:gridCol w:w="552"/>
        <w:gridCol w:w="681"/>
        <w:gridCol w:w="1822"/>
        <w:gridCol w:w="1741"/>
        <w:gridCol w:w="455"/>
        <w:gridCol w:w="996"/>
        <w:gridCol w:w="1867"/>
        <w:gridCol w:w="1453"/>
      </w:tblGrid>
      <w:tr>
        <w:tblPrEx>
          <w:tblCellMar>
            <w:top w:w="0" w:type="dxa"/>
            <w:left w:w="108" w:type="dxa"/>
            <w:bottom w:w="0" w:type="dxa"/>
            <w:right w:w="108" w:type="dxa"/>
          </w:tblCellMar>
        </w:tblPrEx>
        <w:trPr>
          <w:trHeight w:val="480" w:hRule="atLeast"/>
        </w:trPr>
        <w:tc>
          <w:tcPr>
            <w:tcW w:w="5000" w:type="pct"/>
            <w:gridSpan w:val="11"/>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附件3-8-（4）实施方案评审得分表</w:t>
            </w:r>
          </w:p>
        </w:tc>
      </w:tr>
      <w:tr>
        <w:tblPrEx>
          <w:tblCellMar>
            <w:top w:w="0" w:type="dxa"/>
            <w:left w:w="108" w:type="dxa"/>
            <w:bottom w:w="0" w:type="dxa"/>
            <w:right w:w="108" w:type="dxa"/>
          </w:tblCellMar>
        </w:tblPrEx>
        <w:trPr>
          <w:trHeight w:val="420" w:hRule="atLeast"/>
        </w:trPr>
        <w:tc>
          <w:tcPr>
            <w:tcW w:w="5000" w:type="pct"/>
            <w:gridSpan w:val="11"/>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造价咨询－－实施方案评审得分表</w:t>
            </w:r>
          </w:p>
        </w:tc>
      </w:tr>
      <w:tr>
        <w:tblPrEx>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600" w:hRule="atLeast"/>
        </w:trPr>
        <w:tc>
          <w:tcPr>
            <w:tcW w:w="225"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73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3497" w:type="pct"/>
            <w:gridSpan w:val="8"/>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实施方案（满分30分）</w:t>
            </w:r>
          </w:p>
        </w:tc>
        <w:tc>
          <w:tcPr>
            <w:tcW w:w="53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1307" w:hRule="atLeast"/>
        </w:trPr>
        <w:tc>
          <w:tcPr>
            <w:tcW w:w="2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82" w:type="pct"/>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1造价咨询服务的质量保证措施：（0-4分）</w:t>
            </w:r>
          </w:p>
        </w:tc>
        <w:tc>
          <w:tcPr>
            <w:tcW w:w="458" w:type="pct"/>
            <w:gridSpan w:val="2"/>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2造价咨询服务的时限保证</w:t>
            </w:r>
          </w:p>
          <w:p>
            <w:pPr>
              <w:widowControl/>
              <w:jc w:val="center"/>
              <w:rPr>
                <w:rFonts w:ascii="宋体" w:hAnsi="宋体" w:cs="宋体"/>
                <w:kern w:val="0"/>
                <w:sz w:val="20"/>
                <w:szCs w:val="20"/>
              </w:rPr>
            </w:pPr>
            <w:r>
              <w:rPr>
                <w:rFonts w:hint="eastAsia" w:ascii="宋体" w:hAnsi="宋体" w:cs="宋体"/>
                <w:kern w:val="0"/>
                <w:sz w:val="20"/>
                <w:szCs w:val="20"/>
              </w:rPr>
              <w:t>措施：</w:t>
            </w:r>
          </w:p>
          <w:p>
            <w:pPr>
              <w:widowControl/>
              <w:jc w:val="center"/>
              <w:rPr>
                <w:rFonts w:ascii="宋体" w:hAnsi="宋体" w:cs="宋体"/>
                <w:kern w:val="0"/>
                <w:sz w:val="20"/>
                <w:szCs w:val="20"/>
              </w:rPr>
            </w:pPr>
            <w:r>
              <w:rPr>
                <w:rFonts w:hint="eastAsia" w:ascii="宋体" w:hAnsi="宋体" w:cs="宋体"/>
                <w:kern w:val="0"/>
                <w:sz w:val="20"/>
                <w:szCs w:val="20"/>
              </w:rPr>
              <w:t>（0-4分）</w:t>
            </w:r>
          </w:p>
        </w:tc>
        <w:tc>
          <w:tcPr>
            <w:tcW w:w="676" w:type="pct"/>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3造价咨询服务工作流程及工作要点：（0-4分）</w:t>
            </w:r>
          </w:p>
        </w:tc>
        <w:tc>
          <w:tcPr>
            <w:tcW w:w="647" w:type="pct"/>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4造价咨询服务制度及岗位职责：（0-4分）</w:t>
            </w:r>
          </w:p>
        </w:tc>
        <w:tc>
          <w:tcPr>
            <w:tcW w:w="539" w:type="pct"/>
            <w:gridSpan w:val="2"/>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5廉洁从业及保密措施：（0-4分）</w:t>
            </w:r>
          </w:p>
        </w:tc>
        <w:tc>
          <w:tcPr>
            <w:tcW w:w="694" w:type="pct"/>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6造价咨询服务过程中重点难点的分析及解决办法：（0-10分）</w:t>
            </w:r>
          </w:p>
        </w:tc>
        <w:tc>
          <w:tcPr>
            <w:tcW w:w="5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75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73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82"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58" w:type="pct"/>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76"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47"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39" w:type="pct"/>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94"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37"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5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73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82"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58"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7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47"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39"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9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37"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5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73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82"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58"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7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47"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39"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9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37"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5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73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82"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58"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7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47"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39"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9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37"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5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73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82"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58"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7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47"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39"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9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37"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80" w:hRule="atLeast"/>
        </w:trPr>
        <w:tc>
          <w:tcPr>
            <w:tcW w:w="1650" w:type="pct"/>
            <w:gridSpan w:val="4"/>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评委签字：</w:t>
            </w:r>
          </w:p>
        </w:tc>
        <w:tc>
          <w:tcPr>
            <w:tcW w:w="930" w:type="pct"/>
            <w:gridSpan w:val="2"/>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816" w:type="pct"/>
            <w:gridSpan w:val="2"/>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602" w:type="pct"/>
            <w:gridSpan w:val="3"/>
            <w:tcBorders>
              <w:top w:val="nil"/>
              <w:left w:val="nil"/>
              <w:bottom w:val="nil"/>
              <w:right w:val="nil"/>
            </w:tcBorders>
            <w:noWrap/>
            <w:vAlign w:val="center"/>
          </w:tcPr>
          <w:p>
            <w:pPr>
              <w:widowControl/>
              <w:jc w:val="center"/>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年  月  日</w:t>
            </w:r>
          </w:p>
        </w:tc>
      </w:tr>
    </w:tbl>
    <w:p>
      <w:pPr>
        <w:widowControl/>
        <w:jc w:val="left"/>
        <w:rPr>
          <w:rFonts w:ascii="宋体" w:hAnsi="宋体" w:cs="宋体"/>
          <w:kern w:val="0"/>
          <w:sz w:val="28"/>
          <w:szCs w:val="28"/>
        </w:rPr>
      </w:pPr>
      <w:r>
        <w:rPr>
          <w:rFonts w:hint="eastAsia" w:ascii="宋体" w:hAnsi="宋体" w:cs="宋体"/>
          <w:kern w:val="0"/>
          <w:sz w:val="28"/>
          <w:szCs w:val="28"/>
        </w:rPr>
        <w:br w:type="page"/>
      </w:r>
    </w:p>
    <w:tbl>
      <w:tblPr>
        <w:tblStyle w:val="22"/>
        <w:tblW w:w="5000" w:type="pct"/>
        <w:tblInd w:w="0" w:type="dxa"/>
        <w:tblLayout w:type="autofit"/>
        <w:tblCellMar>
          <w:top w:w="0" w:type="dxa"/>
          <w:left w:w="108" w:type="dxa"/>
          <w:bottom w:w="0" w:type="dxa"/>
          <w:right w:w="108" w:type="dxa"/>
        </w:tblCellMar>
      </w:tblPr>
      <w:tblGrid>
        <w:gridCol w:w="584"/>
        <w:gridCol w:w="3131"/>
        <w:gridCol w:w="1347"/>
        <w:gridCol w:w="1323"/>
        <w:gridCol w:w="1323"/>
        <w:gridCol w:w="1323"/>
        <w:gridCol w:w="1282"/>
        <w:gridCol w:w="1245"/>
        <w:gridCol w:w="1896"/>
      </w:tblGrid>
      <w:tr>
        <w:tblPrEx>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附件3-8-（4）实施方案评审汇总表</w:t>
            </w:r>
          </w:p>
        </w:tc>
      </w:tr>
      <w:tr>
        <w:tblPrEx>
          <w:tblCellMar>
            <w:top w:w="0" w:type="dxa"/>
            <w:left w:w="108" w:type="dxa"/>
            <w:bottom w:w="0" w:type="dxa"/>
            <w:right w:w="108" w:type="dxa"/>
          </w:tblCellMar>
        </w:tblPrEx>
        <w:trPr>
          <w:trHeight w:val="480" w:hRule="atLeast"/>
        </w:trPr>
        <w:tc>
          <w:tcPr>
            <w:tcW w:w="5000" w:type="pct"/>
            <w:gridSpan w:val="9"/>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造价咨询－－实施方案评审汇总表</w:t>
            </w:r>
          </w:p>
        </w:tc>
      </w:tr>
      <w:tr>
        <w:tblPrEx>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365" w:hRule="atLeast"/>
        </w:trPr>
        <w:tc>
          <w:tcPr>
            <w:tcW w:w="2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17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508"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评委1</w:t>
            </w:r>
          </w:p>
        </w:tc>
        <w:tc>
          <w:tcPr>
            <w:tcW w:w="499"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评委2</w:t>
            </w:r>
          </w:p>
        </w:tc>
        <w:tc>
          <w:tcPr>
            <w:tcW w:w="499"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评委3</w:t>
            </w:r>
          </w:p>
        </w:tc>
        <w:tc>
          <w:tcPr>
            <w:tcW w:w="499"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评委4</w:t>
            </w:r>
          </w:p>
        </w:tc>
        <w:tc>
          <w:tcPr>
            <w:tcW w:w="484"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评委5</w:t>
            </w:r>
          </w:p>
        </w:tc>
        <w:tc>
          <w:tcPr>
            <w:tcW w:w="470"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642"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平均得分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72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17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9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42"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72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17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0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42"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72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17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0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42"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72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17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0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42"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72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17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0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42"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525" w:hRule="atLeast"/>
        </w:trPr>
        <w:tc>
          <w:tcPr>
            <w:tcW w:w="1396"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508"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998" w:type="pct"/>
            <w:gridSpan w:val="2"/>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499"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484"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470"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642" w:type="pct"/>
            <w:tcBorders>
              <w:top w:val="nil"/>
              <w:left w:val="nil"/>
              <w:bottom w:val="nil"/>
              <w:right w:val="nil"/>
            </w:tcBorders>
            <w:noWrap/>
            <w:vAlign w:val="center"/>
          </w:tcPr>
          <w:p>
            <w:pPr>
              <w:widowControl/>
              <w:ind w:firstLine="630" w:firstLineChars="300"/>
              <w:jc w:val="left"/>
              <w:rPr>
                <w:rFonts w:ascii="宋体" w:hAnsi="宋体" w:cs="宋体"/>
                <w:kern w:val="0"/>
                <w:szCs w:val="21"/>
              </w:rPr>
            </w:pPr>
            <w:r>
              <w:rPr>
                <w:rFonts w:hint="eastAsia" w:ascii="宋体" w:hAnsi="宋体" w:cs="宋体"/>
                <w:kern w:val="0"/>
                <w:szCs w:val="21"/>
              </w:rPr>
              <w:t>年</w:t>
            </w:r>
            <w:r>
              <w:rPr>
                <w:rFonts w:ascii="宋体" w:hAnsi="宋体" w:cs="宋体"/>
                <w:kern w:val="0"/>
                <w:szCs w:val="21"/>
              </w:rPr>
              <w:t xml:space="preserve">  </w:t>
            </w:r>
            <w:r>
              <w:rPr>
                <w:rFonts w:hint="eastAsia" w:ascii="宋体" w:hAnsi="宋体" w:cs="宋体"/>
                <w:kern w:val="0"/>
                <w:szCs w:val="21"/>
              </w:rPr>
              <w:t>月</w:t>
            </w:r>
            <w:r>
              <w:rPr>
                <w:rFonts w:ascii="宋体" w:hAnsi="宋体" w:cs="宋体"/>
                <w:kern w:val="0"/>
                <w:szCs w:val="21"/>
              </w:rPr>
              <w:t xml:space="preserve">  </w:t>
            </w:r>
            <w:r>
              <w:rPr>
                <w:rFonts w:hint="eastAsia" w:ascii="宋体" w:hAnsi="宋体" w:cs="宋体"/>
                <w:kern w:val="0"/>
                <w:szCs w:val="21"/>
              </w:rPr>
              <w:t>日</w:t>
            </w:r>
          </w:p>
        </w:tc>
      </w:tr>
    </w:tbl>
    <w:p/>
    <w:p>
      <w:r>
        <w:rPr>
          <w:rFonts w:hint="eastAsia"/>
        </w:rPr>
        <w:br w:type="page"/>
      </w:r>
    </w:p>
    <w:tbl>
      <w:tblPr>
        <w:tblStyle w:val="22"/>
        <w:tblW w:w="5000" w:type="pct"/>
        <w:tblInd w:w="0" w:type="dxa"/>
        <w:tblLayout w:type="autofit"/>
        <w:tblCellMar>
          <w:top w:w="0" w:type="dxa"/>
          <w:left w:w="108" w:type="dxa"/>
          <w:bottom w:w="0" w:type="dxa"/>
          <w:right w:w="108" w:type="dxa"/>
        </w:tblCellMar>
      </w:tblPr>
      <w:tblGrid>
        <w:gridCol w:w="708"/>
        <w:gridCol w:w="4383"/>
        <w:gridCol w:w="1878"/>
        <w:gridCol w:w="2282"/>
        <w:gridCol w:w="2093"/>
        <w:gridCol w:w="2110"/>
      </w:tblGrid>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附件3-8-（4）企业业绩及人员配置评审得分表</w:t>
            </w:r>
          </w:p>
        </w:tc>
      </w:tr>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造价咨询－－企业业绩及人员配置评审得分表</w:t>
            </w:r>
          </w:p>
        </w:tc>
      </w:tr>
      <w:tr>
        <w:tblPrEx>
          <w:tblCellMar>
            <w:top w:w="0" w:type="dxa"/>
            <w:left w:w="108" w:type="dxa"/>
            <w:bottom w:w="0" w:type="dxa"/>
            <w:right w:w="108" w:type="dxa"/>
          </w:tblCellMar>
        </w:tblPrEx>
        <w:trPr>
          <w:trHeight w:val="42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42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525" w:hRule="atLeast"/>
        </w:trPr>
        <w:tc>
          <w:tcPr>
            <w:tcW w:w="263"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628"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698" w:type="pct"/>
            <w:vMerge w:val="restart"/>
            <w:tcBorders>
              <w:top w:val="single" w:color="auto" w:sz="4" w:space="0"/>
              <w:left w:val="single" w:color="auto" w:sz="4" w:space="0"/>
              <w:right w:val="single" w:color="auto" w:sz="4" w:space="0"/>
            </w:tcBorders>
            <w:vAlign w:val="center"/>
          </w:tcPr>
          <w:p>
            <w:pPr>
              <w:widowControl/>
              <w:numPr>
                <w:ilvl w:val="0"/>
                <w:numId w:val="10"/>
              </w:numPr>
              <w:jc w:val="center"/>
              <w:rPr>
                <w:rFonts w:ascii="宋体" w:hAnsi="宋体" w:cs="宋体"/>
                <w:kern w:val="0"/>
                <w:szCs w:val="21"/>
              </w:rPr>
            </w:pPr>
            <w:r>
              <w:rPr>
                <w:rFonts w:hint="eastAsia" w:ascii="宋体" w:hAnsi="宋体" w:cs="宋体"/>
                <w:kern w:val="0"/>
                <w:szCs w:val="21"/>
              </w:rPr>
              <w:t xml:space="preserve">企业业绩       </w:t>
            </w:r>
          </w:p>
          <w:p>
            <w:pPr>
              <w:widowControl/>
              <w:jc w:val="center"/>
              <w:rPr>
                <w:rFonts w:ascii="宋体" w:hAnsi="宋体" w:cs="宋体"/>
                <w:kern w:val="0"/>
                <w:szCs w:val="21"/>
              </w:rPr>
            </w:pPr>
            <w:r>
              <w:rPr>
                <w:rFonts w:hint="eastAsia" w:ascii="宋体" w:hAnsi="宋体" w:cs="宋体"/>
                <w:kern w:val="0"/>
                <w:szCs w:val="21"/>
              </w:rPr>
              <w:t>（满分20分）</w:t>
            </w:r>
          </w:p>
        </w:tc>
        <w:tc>
          <w:tcPr>
            <w:tcW w:w="162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2、人员配置             </w:t>
            </w:r>
          </w:p>
          <w:p>
            <w:pPr>
              <w:widowControl/>
              <w:jc w:val="center"/>
              <w:rPr>
                <w:rFonts w:ascii="宋体" w:hAnsi="宋体" w:cs="宋体"/>
                <w:kern w:val="0"/>
                <w:szCs w:val="21"/>
              </w:rPr>
            </w:pPr>
            <w:r>
              <w:rPr>
                <w:rFonts w:hint="eastAsia" w:ascii="宋体" w:hAnsi="宋体" w:cs="宋体"/>
                <w:kern w:val="0"/>
                <w:szCs w:val="21"/>
              </w:rPr>
              <w:t>（满分20分）</w:t>
            </w:r>
          </w:p>
        </w:tc>
        <w:tc>
          <w:tcPr>
            <w:tcW w:w="783"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（满分40分）</w:t>
            </w:r>
          </w:p>
        </w:tc>
      </w:tr>
      <w:tr>
        <w:tblPrEx>
          <w:tblCellMar>
            <w:top w:w="0" w:type="dxa"/>
            <w:left w:w="108" w:type="dxa"/>
            <w:bottom w:w="0" w:type="dxa"/>
            <w:right w:w="108" w:type="dxa"/>
          </w:tblCellMar>
        </w:tblPrEx>
        <w:trPr>
          <w:trHeight w:val="525" w:hRule="atLeast"/>
        </w:trPr>
        <w:tc>
          <w:tcPr>
            <w:tcW w:w="26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628"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698"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Calibri" w:cs="宋体"/>
                <w:kern w:val="0"/>
                <w:szCs w:val="21"/>
              </w:rPr>
            </w:pPr>
          </w:p>
        </w:tc>
        <w:tc>
          <w:tcPr>
            <w:tcW w:w="84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①专业负责人</w:t>
            </w:r>
          </w:p>
          <w:p>
            <w:pPr>
              <w:widowControl/>
              <w:jc w:val="center"/>
              <w:rPr>
                <w:rFonts w:ascii="宋体" w:hAnsi="宋体" w:cs="宋体"/>
                <w:kern w:val="0"/>
                <w:szCs w:val="21"/>
              </w:rPr>
            </w:pPr>
            <w:r>
              <w:rPr>
                <w:rFonts w:hint="eastAsia" w:ascii="宋体" w:hAnsi="宋体" w:cs="宋体"/>
                <w:kern w:val="0"/>
                <w:szCs w:val="21"/>
              </w:rPr>
              <w:t>（11分）</w:t>
            </w:r>
          </w:p>
        </w:tc>
        <w:tc>
          <w:tcPr>
            <w:tcW w:w="77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②其他人员配置</w:t>
            </w:r>
          </w:p>
          <w:p>
            <w:pPr>
              <w:widowControl/>
              <w:jc w:val="center"/>
              <w:rPr>
                <w:rFonts w:ascii="宋体" w:hAnsi="宋体" w:cs="宋体"/>
                <w:kern w:val="0"/>
                <w:szCs w:val="21"/>
              </w:rPr>
            </w:pPr>
            <w:r>
              <w:rPr>
                <w:rFonts w:hint="eastAsia" w:ascii="宋体" w:hAnsi="宋体" w:cs="宋体"/>
                <w:kern w:val="0"/>
                <w:szCs w:val="21"/>
              </w:rPr>
              <w:t>（9分）</w:t>
            </w:r>
          </w:p>
        </w:tc>
        <w:tc>
          <w:tcPr>
            <w:tcW w:w="78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708"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628"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9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4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7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8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04"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628"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9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4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7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8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87"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628"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9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4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7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8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11"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628"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9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4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7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8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93"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628"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9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4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7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8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0"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Cs w:val="21"/>
              </w:rPr>
              <w:t>备注</w:t>
            </w:r>
          </w:p>
        </w:tc>
        <w:tc>
          <w:tcPr>
            <w:tcW w:w="4736" w:type="pct"/>
            <w:gridSpan w:val="5"/>
            <w:tcBorders>
              <w:top w:val="single" w:color="auto" w:sz="4" w:space="0"/>
              <w:left w:val="nil"/>
              <w:bottom w:val="single" w:color="auto" w:sz="4" w:space="0"/>
              <w:right w:val="single" w:color="000000" w:sz="4" w:space="0"/>
            </w:tcBorders>
            <w:vAlign w:val="center"/>
          </w:tcPr>
          <w:p>
            <w:pPr>
              <w:pStyle w:val="7"/>
              <w:rPr>
                <w:rFonts w:ascii="宋体" w:hAnsi="宋体" w:cs="宋体"/>
                <w:bCs/>
                <w:kern w:val="0"/>
                <w:sz w:val="18"/>
                <w:szCs w:val="20"/>
              </w:rPr>
            </w:pPr>
            <w:r>
              <w:rPr>
                <w:rFonts w:hint="eastAsia" w:ascii="宋体" w:hAnsi="宋体" w:cs="宋体"/>
                <w:b/>
                <w:bCs/>
                <w:kern w:val="0"/>
                <w:sz w:val="18"/>
                <w:szCs w:val="20"/>
              </w:rPr>
              <w:t>1、企业业绩（20分）</w:t>
            </w:r>
            <w:r>
              <w:rPr>
                <w:rStyle w:val="36"/>
                <w:rFonts w:hint="default"/>
                <w:b w:val="0"/>
              </w:rPr>
              <w:t>近</w:t>
            </w:r>
            <w:r>
              <w:rPr>
                <w:rStyle w:val="36"/>
                <w:rFonts w:hint="default"/>
                <w:b w:val="0"/>
                <w:u w:val="single"/>
              </w:rPr>
              <w:t xml:space="preserve">   </w:t>
            </w:r>
            <w:r>
              <w:rPr>
                <w:rStyle w:val="36"/>
                <w:rFonts w:hint="default"/>
                <w:b w:val="0"/>
              </w:rPr>
              <w:t>年（20</w:t>
            </w:r>
            <w:r>
              <w:rPr>
                <w:rStyle w:val="36"/>
                <w:rFonts w:hint="default"/>
                <w:b w:val="0"/>
                <w:u w:val="single"/>
              </w:rPr>
              <w:t xml:space="preserve">  </w:t>
            </w:r>
            <w:r>
              <w:rPr>
                <w:rStyle w:val="36"/>
                <w:rFonts w:hint="default"/>
                <w:b w:val="0"/>
              </w:rPr>
              <w:t>年</w:t>
            </w:r>
            <w:r>
              <w:rPr>
                <w:rStyle w:val="36"/>
                <w:rFonts w:hint="default"/>
                <w:b w:val="0"/>
                <w:u w:val="single"/>
              </w:rPr>
              <w:t xml:space="preserve">   </w:t>
            </w:r>
            <w:r>
              <w:rPr>
                <w:rStyle w:val="36"/>
                <w:rFonts w:hint="default"/>
                <w:b w:val="0"/>
              </w:rPr>
              <w:t>月）</w:t>
            </w:r>
            <w:r>
              <w:rPr>
                <w:rFonts w:hint="eastAsia" w:ascii="宋体" w:hAnsi="宋体" w:cs="宋体"/>
                <w:bCs/>
                <w:kern w:val="0"/>
                <w:sz w:val="18"/>
                <w:szCs w:val="20"/>
              </w:rPr>
              <w:t>，提供企业类似项目业绩：单项合同金额≥</w:t>
            </w:r>
            <w:r>
              <w:rPr>
                <w:rFonts w:hint="eastAsia" w:ascii="宋体" w:hAnsi="宋体" w:cs="宋体"/>
                <w:bCs/>
                <w:kern w:val="0"/>
                <w:sz w:val="18"/>
                <w:szCs w:val="20"/>
                <w:u w:val="single"/>
              </w:rPr>
              <w:t xml:space="preserve">   </w:t>
            </w:r>
            <w:r>
              <w:rPr>
                <w:rFonts w:hint="eastAsia" w:ascii="宋体" w:hAnsi="宋体" w:cs="宋体"/>
                <w:bCs/>
                <w:kern w:val="0"/>
                <w:sz w:val="18"/>
                <w:szCs w:val="20"/>
              </w:rPr>
              <w:t>万元的类似项目业绩，每项得4分；单项合同金额≥</w:t>
            </w:r>
            <w:r>
              <w:rPr>
                <w:rFonts w:hint="eastAsia" w:ascii="宋体" w:hAnsi="宋体" w:cs="宋体"/>
                <w:bCs/>
                <w:kern w:val="0"/>
                <w:sz w:val="18"/>
                <w:szCs w:val="20"/>
                <w:u w:val="single"/>
              </w:rPr>
              <w:t xml:space="preserve">    </w:t>
            </w:r>
            <w:r>
              <w:rPr>
                <w:rFonts w:hint="eastAsia" w:ascii="宋体" w:hAnsi="宋体" w:cs="宋体"/>
                <w:bCs/>
                <w:kern w:val="0"/>
                <w:sz w:val="18"/>
                <w:szCs w:val="20"/>
              </w:rPr>
              <w:t xml:space="preserve">万元但＜ </w:t>
            </w:r>
            <w:r>
              <w:rPr>
                <w:rFonts w:hint="eastAsia" w:ascii="宋体" w:hAnsi="宋体" w:cs="宋体"/>
                <w:bCs/>
                <w:kern w:val="0"/>
                <w:sz w:val="18"/>
                <w:szCs w:val="20"/>
                <w:u w:val="single"/>
              </w:rPr>
              <w:t xml:space="preserve">    </w:t>
            </w:r>
            <w:r>
              <w:rPr>
                <w:rFonts w:hint="eastAsia" w:ascii="宋体" w:hAnsi="宋体" w:cs="宋体"/>
                <w:bCs/>
                <w:kern w:val="0"/>
                <w:sz w:val="18"/>
                <w:szCs w:val="20"/>
              </w:rPr>
              <w:t>万元的类似项目业绩，每项得2分。</w:t>
            </w:r>
            <w:r>
              <w:rPr>
                <w:rStyle w:val="36"/>
                <w:rFonts w:hint="default"/>
                <w:b w:val="0"/>
              </w:rPr>
              <w:t>（注：类似业绩指</w:t>
            </w:r>
            <w:r>
              <w:rPr>
                <w:rStyle w:val="36"/>
                <w:rFonts w:hint="default"/>
                <w:b w:val="0"/>
                <w:i/>
                <w:u w:val="single"/>
              </w:rPr>
              <w:t>（类别、规模）</w:t>
            </w:r>
            <w:r>
              <w:rPr>
                <w:rStyle w:val="36"/>
                <w:rFonts w:hint="default"/>
                <w:b w:val="0"/>
              </w:rPr>
              <w:t>项目业绩，以合同内容为准；时间以合同签订日期为准。）</w:t>
            </w:r>
          </w:p>
          <w:p>
            <w:pPr>
              <w:pStyle w:val="7"/>
              <w:spacing w:line="200" w:lineRule="exact"/>
              <w:rPr>
                <w:rFonts w:ascii="宋体" w:hAnsi="宋体" w:cs="宋体"/>
                <w:b/>
                <w:bCs/>
                <w:kern w:val="0"/>
                <w:sz w:val="18"/>
                <w:szCs w:val="20"/>
              </w:rPr>
            </w:pPr>
            <w:r>
              <w:rPr>
                <w:rFonts w:hint="eastAsia" w:ascii="宋体" w:hAnsi="宋体" w:cs="宋体"/>
                <w:b/>
                <w:bCs/>
                <w:kern w:val="0"/>
                <w:sz w:val="18"/>
                <w:szCs w:val="20"/>
              </w:rPr>
              <w:t>2、人员配置（20分）</w:t>
            </w:r>
          </w:p>
          <w:p>
            <w:pPr>
              <w:pStyle w:val="7"/>
              <w:spacing w:line="200" w:lineRule="exact"/>
              <w:rPr>
                <w:rFonts w:ascii="宋体" w:hAnsi="宋体" w:cs="宋体"/>
                <w:bCs/>
                <w:kern w:val="0"/>
                <w:sz w:val="18"/>
                <w:szCs w:val="20"/>
              </w:rPr>
            </w:pPr>
            <w:r>
              <w:rPr>
                <w:rFonts w:hint="eastAsia" w:ascii="宋体" w:hAnsi="宋体" w:cs="宋体"/>
                <w:b/>
                <w:bCs/>
                <w:kern w:val="0"/>
                <w:sz w:val="18"/>
                <w:szCs w:val="20"/>
              </w:rPr>
              <w:t>①专业负责人（11分）</w:t>
            </w:r>
            <w:r>
              <w:rPr>
                <w:rFonts w:hint="eastAsia" w:ascii="宋体" w:hAnsi="宋体" w:cs="宋体"/>
                <w:b/>
                <w:kern w:val="0"/>
                <w:sz w:val="18"/>
                <w:szCs w:val="20"/>
              </w:rPr>
              <w:t>资格及职称（5分）</w:t>
            </w:r>
            <w:r>
              <w:rPr>
                <w:rFonts w:hint="eastAsia" w:ascii="宋体" w:hAnsi="宋体" w:cs="宋体"/>
                <w:bCs/>
                <w:kern w:val="0"/>
                <w:sz w:val="18"/>
                <w:szCs w:val="20"/>
              </w:rPr>
              <w:t>：拟派专业负责人为一级造价工程师且具备高级职称得5分；专业负责人为一级造价工程师且具备中级职称得3分，其他不得分。</w:t>
            </w:r>
            <w:r>
              <w:rPr>
                <w:rFonts w:hint="eastAsia" w:ascii="宋体" w:hAnsi="宋体" w:cs="宋体"/>
                <w:b/>
                <w:kern w:val="0"/>
                <w:sz w:val="18"/>
                <w:szCs w:val="20"/>
              </w:rPr>
              <w:t>业绩（6分）</w:t>
            </w:r>
            <w:r>
              <w:rPr>
                <w:rFonts w:hint="eastAsia" w:ascii="宋体" w:hAnsi="宋体" w:cs="宋体"/>
                <w:bCs/>
                <w:kern w:val="0"/>
                <w:sz w:val="18"/>
                <w:szCs w:val="20"/>
              </w:rPr>
              <w:t>：</w:t>
            </w:r>
            <w:r>
              <w:rPr>
                <w:rStyle w:val="36"/>
                <w:rFonts w:hint="default"/>
                <w:b w:val="0"/>
              </w:rPr>
              <w:t>近</w:t>
            </w:r>
            <w:r>
              <w:rPr>
                <w:rStyle w:val="36"/>
                <w:rFonts w:hint="default"/>
                <w:b w:val="0"/>
                <w:u w:val="single"/>
              </w:rPr>
              <w:t xml:space="preserve">   </w:t>
            </w:r>
            <w:r>
              <w:rPr>
                <w:rStyle w:val="36"/>
                <w:rFonts w:hint="default"/>
                <w:b w:val="0"/>
              </w:rPr>
              <w:t>年（20</w:t>
            </w:r>
            <w:r>
              <w:rPr>
                <w:rStyle w:val="36"/>
                <w:rFonts w:hint="default"/>
                <w:b w:val="0"/>
                <w:u w:val="single"/>
              </w:rPr>
              <w:t xml:space="preserve">  </w:t>
            </w:r>
            <w:r>
              <w:rPr>
                <w:rStyle w:val="36"/>
                <w:rFonts w:hint="default"/>
                <w:b w:val="0"/>
              </w:rPr>
              <w:t>年</w:t>
            </w:r>
            <w:r>
              <w:rPr>
                <w:rStyle w:val="36"/>
                <w:rFonts w:hint="default"/>
                <w:b w:val="0"/>
                <w:u w:val="single"/>
              </w:rPr>
              <w:t xml:space="preserve">   </w:t>
            </w:r>
            <w:r>
              <w:rPr>
                <w:rStyle w:val="36"/>
                <w:rFonts w:hint="default"/>
                <w:b w:val="0"/>
              </w:rPr>
              <w:t>月）</w:t>
            </w:r>
            <w:r>
              <w:rPr>
                <w:rFonts w:hint="eastAsia" w:ascii="宋体" w:hAnsi="宋体" w:cs="宋体"/>
                <w:bCs/>
                <w:kern w:val="0"/>
                <w:sz w:val="18"/>
                <w:szCs w:val="20"/>
              </w:rPr>
              <w:t>，担任过类似项目负责人业绩，每项得2分。</w:t>
            </w:r>
            <w:r>
              <w:rPr>
                <w:rStyle w:val="36"/>
                <w:rFonts w:hint="default"/>
                <w:b w:val="0"/>
              </w:rPr>
              <w:t>（注：类似业绩指</w:t>
            </w:r>
            <w:r>
              <w:rPr>
                <w:rStyle w:val="36"/>
                <w:rFonts w:hint="default"/>
                <w:b w:val="0"/>
                <w:i/>
                <w:u w:val="single"/>
              </w:rPr>
              <w:t>（类别、规模）</w:t>
            </w:r>
            <w:r>
              <w:rPr>
                <w:rStyle w:val="36"/>
                <w:rFonts w:hint="default"/>
                <w:b w:val="0"/>
              </w:rPr>
              <w:t>项目业绩，以合同内容为准；时间以合同签订日期为准。）</w:t>
            </w:r>
          </w:p>
          <w:p>
            <w:pPr>
              <w:pStyle w:val="7"/>
              <w:spacing w:line="200" w:lineRule="exact"/>
              <w:rPr>
                <w:rFonts w:ascii="宋体" w:hAnsi="宋体" w:cs="宋体"/>
                <w:b/>
                <w:bCs/>
                <w:kern w:val="0"/>
                <w:sz w:val="18"/>
                <w:szCs w:val="20"/>
              </w:rPr>
            </w:pPr>
            <w:r>
              <w:rPr>
                <w:rFonts w:hint="eastAsia" w:ascii="宋体" w:hAnsi="宋体" w:cs="宋体"/>
                <w:b/>
                <w:kern w:val="0"/>
                <w:sz w:val="18"/>
                <w:szCs w:val="20"/>
              </w:rPr>
              <w:t>②其他人员配置（9分）</w:t>
            </w:r>
            <w:r>
              <w:rPr>
                <w:rFonts w:hint="eastAsia" w:ascii="宋体" w:hAnsi="宋体" w:cs="宋体"/>
                <w:kern w:val="0"/>
                <w:sz w:val="18"/>
                <w:szCs w:val="20"/>
              </w:rPr>
              <w:t>拟派本项目人员中，每提供一名一级造价工程师或高级职称得</w:t>
            </w:r>
            <w:r>
              <w:rPr>
                <w:rFonts w:ascii="宋体" w:hAnsi="宋体" w:cs="宋体"/>
                <w:kern w:val="0"/>
                <w:sz w:val="18"/>
                <w:szCs w:val="20"/>
              </w:rPr>
              <w:t>4分，中级职称或二级造价工程师得3分，初级职称得2分；同一人提供多个证书的只计其中最高分；最高得9分。</w:t>
            </w:r>
          </w:p>
        </w:tc>
      </w:tr>
      <w:tr>
        <w:tblPrEx>
          <w:tblCellMar>
            <w:top w:w="0" w:type="dxa"/>
            <w:left w:w="108" w:type="dxa"/>
            <w:bottom w:w="0" w:type="dxa"/>
            <w:right w:w="108" w:type="dxa"/>
          </w:tblCellMar>
        </w:tblPrEx>
        <w:trPr>
          <w:trHeight w:val="359" w:hRule="atLeast"/>
        </w:trPr>
        <w:tc>
          <w:tcPr>
            <w:tcW w:w="1892"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698" w:type="pct"/>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48" w:type="pct"/>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8" w:type="pct"/>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83" w:type="pct"/>
            <w:tcBorders>
              <w:top w:val="nil"/>
              <w:left w:val="nil"/>
              <w:bottom w:val="nil"/>
              <w:right w:val="nil"/>
            </w:tcBorders>
            <w:noWrap/>
            <w:vAlign w:val="center"/>
          </w:tcPr>
          <w:p>
            <w:pPr>
              <w:widowControl/>
              <w:ind w:firstLine="840" w:firstLineChars="400"/>
              <w:jc w:val="left"/>
              <w:rPr>
                <w:rFonts w:ascii="宋体" w:hAnsi="宋体" w:cs="宋体"/>
                <w:kern w:val="0"/>
                <w:sz w:val="24"/>
              </w:rPr>
            </w:pPr>
            <w:r>
              <w:rPr>
                <w:rFonts w:hint="eastAsia" w:ascii="宋体" w:hAnsi="宋体" w:cs="宋体"/>
                <w:kern w:val="0"/>
                <w:szCs w:val="21"/>
              </w:rPr>
              <w:t>年  月  日</w:t>
            </w:r>
          </w:p>
        </w:tc>
      </w:tr>
    </w:tbl>
    <w:p>
      <w:r>
        <w:rPr>
          <w:rFonts w:hint="eastAsia"/>
        </w:rPr>
        <w:br w:type="page"/>
      </w:r>
    </w:p>
    <w:tbl>
      <w:tblPr>
        <w:tblStyle w:val="22"/>
        <w:tblW w:w="5000" w:type="pct"/>
        <w:tblInd w:w="0" w:type="dxa"/>
        <w:tblLayout w:type="autofit"/>
        <w:tblCellMar>
          <w:top w:w="0" w:type="dxa"/>
          <w:left w:w="108" w:type="dxa"/>
          <w:bottom w:w="0" w:type="dxa"/>
          <w:right w:w="108" w:type="dxa"/>
        </w:tblCellMar>
      </w:tblPr>
      <w:tblGrid>
        <w:gridCol w:w="829"/>
        <w:gridCol w:w="4117"/>
        <w:gridCol w:w="2344"/>
        <w:gridCol w:w="2015"/>
        <w:gridCol w:w="2225"/>
        <w:gridCol w:w="1924"/>
      </w:tblGrid>
      <w:tr>
        <w:tblPrEx>
          <w:tblCellMar>
            <w:top w:w="0" w:type="dxa"/>
            <w:left w:w="108" w:type="dxa"/>
            <w:bottom w:w="0" w:type="dxa"/>
            <w:right w:w="108" w:type="dxa"/>
          </w:tblCellMar>
        </w:tblPrEx>
        <w:trPr>
          <w:trHeight w:val="525"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附件3-8-（4）-D得分汇总表</w:t>
            </w:r>
          </w:p>
        </w:tc>
      </w:tr>
      <w:tr>
        <w:tblPrEx>
          <w:tblCellMar>
            <w:top w:w="0" w:type="dxa"/>
            <w:left w:w="108" w:type="dxa"/>
            <w:bottom w:w="0" w:type="dxa"/>
            <w:right w:w="108" w:type="dxa"/>
          </w:tblCellMar>
        </w:tblPrEx>
        <w:trPr>
          <w:trHeight w:val="375" w:hRule="atLeast"/>
        </w:trPr>
        <w:tc>
          <w:tcPr>
            <w:tcW w:w="5000" w:type="pct"/>
            <w:gridSpan w:val="6"/>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造价咨询－－得分汇总表</w:t>
            </w:r>
          </w:p>
        </w:tc>
      </w:tr>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096" w:hRule="atLeast"/>
        </w:trPr>
        <w:tc>
          <w:tcPr>
            <w:tcW w:w="308" w:type="pct"/>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529"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投标报价                （满分30分）</w:t>
            </w:r>
          </w:p>
        </w:tc>
        <w:tc>
          <w:tcPr>
            <w:tcW w:w="74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实施方案</w:t>
            </w:r>
          </w:p>
          <w:p>
            <w:pPr>
              <w:widowControl/>
              <w:jc w:val="center"/>
              <w:rPr>
                <w:rFonts w:ascii="宋体" w:hAnsi="宋体" w:cs="宋体"/>
                <w:kern w:val="0"/>
                <w:szCs w:val="21"/>
              </w:rPr>
            </w:pPr>
            <w:r>
              <w:rPr>
                <w:rFonts w:hint="eastAsia" w:ascii="宋体" w:hAnsi="宋体" w:cs="宋体"/>
                <w:kern w:val="0"/>
                <w:szCs w:val="21"/>
              </w:rPr>
              <w:t>（满分30分）</w:t>
            </w:r>
          </w:p>
        </w:tc>
        <w:tc>
          <w:tcPr>
            <w:tcW w:w="827" w:type="pct"/>
            <w:tcBorders>
              <w:top w:val="single" w:color="auto" w:sz="4" w:space="0"/>
              <w:left w:val="nil"/>
              <w:bottom w:val="nil"/>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企业业绩及人员配置</w:t>
            </w:r>
          </w:p>
          <w:p>
            <w:pPr>
              <w:widowControl/>
              <w:jc w:val="center"/>
              <w:rPr>
                <w:rFonts w:ascii="宋体" w:hAnsi="宋体" w:cs="宋体"/>
                <w:kern w:val="0"/>
                <w:szCs w:val="21"/>
              </w:rPr>
            </w:pPr>
            <w:r>
              <w:rPr>
                <w:rFonts w:hint="eastAsia" w:ascii="宋体" w:hAnsi="宋体" w:cs="宋体"/>
                <w:kern w:val="0"/>
                <w:szCs w:val="21"/>
              </w:rPr>
              <w:t>（满分40分）</w:t>
            </w:r>
          </w:p>
        </w:tc>
        <w:tc>
          <w:tcPr>
            <w:tcW w:w="713" w:type="pct"/>
            <w:tcBorders>
              <w:top w:val="single" w:color="auto" w:sz="4" w:space="0"/>
              <w:left w:val="nil"/>
              <w:bottom w:val="nil"/>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总得分</w:t>
            </w:r>
          </w:p>
          <w:p>
            <w:pPr>
              <w:widowControl/>
              <w:jc w:val="center"/>
              <w:rPr>
                <w:rFonts w:ascii="宋体" w:hAnsi="宋体" w:cs="宋体"/>
                <w:kern w:val="0"/>
                <w:szCs w:val="21"/>
              </w:rPr>
            </w:pPr>
            <w:r>
              <w:rPr>
                <w:rFonts w:hint="eastAsia" w:ascii="宋体" w:hAnsi="宋体" w:cs="宋体"/>
                <w:kern w:val="0"/>
                <w:szCs w:val="21"/>
              </w:rPr>
              <w:t>（满分100分）</w:t>
            </w:r>
          </w:p>
        </w:tc>
      </w:tr>
      <w:tr>
        <w:tblPrEx>
          <w:tblCellMar>
            <w:top w:w="0" w:type="dxa"/>
            <w:left w:w="108" w:type="dxa"/>
            <w:bottom w:w="0" w:type="dxa"/>
            <w:right w:w="108" w:type="dxa"/>
          </w:tblCellMar>
        </w:tblPrEx>
        <w:trPr>
          <w:trHeight w:val="945" w:hRule="atLeast"/>
        </w:trPr>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529"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7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2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1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45"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529"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7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2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45"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529"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7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2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45"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529"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7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2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13"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529"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7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2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25" w:hRule="atLeast"/>
        </w:trPr>
        <w:tc>
          <w:tcPr>
            <w:tcW w:w="1838"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xml:space="preserve">评标委员会全体成员签字：            </w:t>
            </w:r>
          </w:p>
        </w:tc>
        <w:tc>
          <w:tcPr>
            <w:tcW w:w="871"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49"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827"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13" w:type="pct"/>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年  月  日</w:t>
            </w:r>
          </w:p>
        </w:tc>
      </w:tr>
    </w:tbl>
    <w:p>
      <w:pPr>
        <w:widowControl/>
        <w:jc w:val="left"/>
        <w:rPr>
          <w:rFonts w:ascii="宋体" w:hAnsi="宋体" w:cs="宋体"/>
          <w:kern w:val="0"/>
          <w:sz w:val="28"/>
          <w:szCs w:val="28"/>
        </w:rPr>
      </w:pPr>
      <w:r>
        <w:rPr>
          <w:rFonts w:hint="eastAsia" w:ascii="宋体" w:hAnsi="宋体" w:cs="宋体"/>
          <w:kern w:val="0"/>
          <w:sz w:val="28"/>
          <w:szCs w:val="28"/>
        </w:rPr>
        <w:br w:type="page"/>
      </w:r>
    </w:p>
    <w:tbl>
      <w:tblPr>
        <w:tblStyle w:val="22"/>
        <w:tblW w:w="5000" w:type="pct"/>
        <w:tblInd w:w="0" w:type="dxa"/>
        <w:tblLayout w:type="autofit"/>
        <w:tblCellMar>
          <w:top w:w="0" w:type="dxa"/>
          <w:left w:w="108" w:type="dxa"/>
          <w:bottom w:w="0" w:type="dxa"/>
          <w:right w:w="108" w:type="dxa"/>
        </w:tblCellMar>
      </w:tblPr>
      <w:tblGrid>
        <w:gridCol w:w="707"/>
        <w:gridCol w:w="3283"/>
        <w:gridCol w:w="2519"/>
        <w:gridCol w:w="2223"/>
        <w:gridCol w:w="2551"/>
        <w:gridCol w:w="2171"/>
      </w:tblGrid>
      <w:tr>
        <w:tblPrEx>
          <w:tblCellMar>
            <w:top w:w="0" w:type="dxa"/>
            <w:left w:w="108" w:type="dxa"/>
            <w:bottom w:w="0" w:type="dxa"/>
            <w:right w:w="108" w:type="dxa"/>
          </w:tblCellMar>
        </w:tblPrEx>
        <w:trPr>
          <w:trHeight w:val="330"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附件3-8-（5）投标报价（下浮率）得分表</w:t>
            </w:r>
          </w:p>
        </w:tc>
      </w:tr>
      <w:tr>
        <w:tblPrEx>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招标代理－－投标报价（下浮率）得分表</w:t>
            </w:r>
          </w:p>
        </w:tc>
      </w:tr>
      <w:tr>
        <w:tblPrEx>
          <w:tblCellMar>
            <w:top w:w="0" w:type="dxa"/>
            <w:left w:w="108" w:type="dxa"/>
            <w:bottom w:w="0" w:type="dxa"/>
            <w:right w:w="108" w:type="dxa"/>
          </w:tblCellMar>
        </w:tblPrEx>
        <w:trPr>
          <w:trHeight w:val="33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3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335" w:hRule="atLeast"/>
        </w:trPr>
        <w:tc>
          <w:tcPr>
            <w:tcW w:w="26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22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93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投标报价</w:t>
            </w:r>
          </w:p>
          <w:p>
            <w:pPr>
              <w:widowControl/>
              <w:jc w:val="center"/>
              <w:rPr>
                <w:rFonts w:ascii="宋体" w:hAnsi="宋体" w:cs="宋体"/>
                <w:kern w:val="0"/>
                <w:szCs w:val="21"/>
              </w:rPr>
            </w:pPr>
            <w:r>
              <w:rPr>
                <w:rFonts w:hint="eastAsia" w:ascii="宋体" w:hAnsi="宋体" w:cs="宋体"/>
                <w:kern w:val="0"/>
                <w:szCs w:val="21"/>
              </w:rPr>
              <w:t>（下浮率）</w:t>
            </w:r>
          </w:p>
          <w:p>
            <w:pPr>
              <w:widowControl/>
              <w:jc w:val="center"/>
              <w:rPr>
                <w:rFonts w:ascii="宋体" w:hAnsi="宋体" w:cs="宋体"/>
                <w:kern w:val="0"/>
                <w:szCs w:val="21"/>
              </w:rPr>
            </w:pPr>
            <w:r>
              <w:rPr>
                <w:rFonts w:hint="eastAsia" w:ascii="宋体" w:hAnsi="宋体" w:cs="宋体"/>
                <w:kern w:val="0"/>
                <w:szCs w:val="21"/>
              </w:rPr>
              <w:t>（%）</w:t>
            </w:r>
          </w:p>
        </w:tc>
        <w:tc>
          <w:tcPr>
            <w:tcW w:w="82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基准价</w:t>
            </w:r>
          </w:p>
          <w:p>
            <w:pPr>
              <w:widowControl/>
              <w:jc w:val="center"/>
              <w:rPr>
                <w:rFonts w:ascii="宋体" w:hAnsi="宋体" w:cs="宋体"/>
                <w:kern w:val="0"/>
                <w:szCs w:val="21"/>
              </w:rPr>
            </w:pPr>
            <w:r>
              <w:rPr>
                <w:rFonts w:hint="eastAsia" w:ascii="宋体" w:hAnsi="宋体" w:cs="宋体"/>
                <w:kern w:val="0"/>
                <w:szCs w:val="21"/>
              </w:rPr>
              <w:t>（下浮率）                  （%）</w:t>
            </w:r>
          </w:p>
        </w:tc>
        <w:tc>
          <w:tcPr>
            <w:tcW w:w="9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偏差率</w:t>
            </w:r>
          </w:p>
        </w:tc>
        <w:tc>
          <w:tcPr>
            <w:tcW w:w="80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765"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22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3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26"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94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0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22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3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2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94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22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3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2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94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04"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22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3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2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94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04"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22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3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2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94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04"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1095" w:hRule="atLeast"/>
        </w:trPr>
        <w:tc>
          <w:tcPr>
            <w:tcW w:w="5000" w:type="pct"/>
            <w:gridSpan w:val="6"/>
            <w:tcBorders>
              <w:top w:val="nil"/>
              <w:left w:val="single" w:color="auto" w:sz="4" w:space="0"/>
              <w:bottom w:val="single" w:color="auto" w:sz="4" w:space="0"/>
              <w:right w:val="single" w:color="auto" w:sz="4" w:space="0"/>
            </w:tcBorders>
            <w:vAlign w:val="center"/>
          </w:tcPr>
          <w:p>
            <w:pPr>
              <w:jc w:val="left"/>
              <w:rPr>
                <w:szCs w:val="22"/>
              </w:rPr>
            </w:pPr>
            <w:r>
              <w:rPr>
                <w:rFonts w:hint="eastAsia"/>
                <w:szCs w:val="22"/>
              </w:rPr>
              <w:t>注：评标基准价（下浮率）=各有效投标报价（下浮率）之和</w:t>
            </w:r>
            <w:r>
              <w:rPr>
                <w:rFonts w:hint="eastAsia"/>
              </w:rPr>
              <w:t>/</w:t>
            </w:r>
            <w:r>
              <w:rPr>
                <w:rFonts w:hint="eastAsia"/>
                <w:szCs w:val="22"/>
              </w:rPr>
              <w:t>有效投标单位个数。</w:t>
            </w:r>
          </w:p>
          <w:p>
            <w:pPr>
              <w:widowControl/>
              <w:jc w:val="left"/>
              <w:rPr>
                <w:rFonts w:ascii="宋体" w:hAnsi="宋体" w:cs="宋体"/>
                <w:b/>
                <w:bCs/>
                <w:kern w:val="0"/>
                <w:szCs w:val="21"/>
              </w:rPr>
            </w:pPr>
            <w:r>
              <w:rPr>
                <w:rFonts w:hint="eastAsia"/>
              </w:rPr>
              <w:t>投标人数量≤5时，评标基准价采用全部有效投标报价计算；5＜投标人数量≤20时，评标基准价采用去除有效报价最高、最低各1个计算；投标人数量＞20时，评标基准价采用去除有效报价最高、最低各2个计算。</w:t>
            </w:r>
          </w:p>
        </w:tc>
      </w:tr>
      <w:tr>
        <w:tblPrEx>
          <w:tblCellMar>
            <w:top w:w="0" w:type="dxa"/>
            <w:left w:w="108" w:type="dxa"/>
            <w:bottom w:w="0" w:type="dxa"/>
            <w:right w:w="108" w:type="dxa"/>
          </w:tblCellMar>
        </w:tblPrEx>
        <w:trPr>
          <w:trHeight w:val="692" w:hRule="atLeast"/>
        </w:trPr>
        <w:tc>
          <w:tcPr>
            <w:tcW w:w="1483"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936"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826"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753" w:type="pct"/>
            <w:gridSpan w:val="2"/>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年  月  </w:t>
            </w:r>
            <w:r>
              <w:rPr>
                <w:rFonts w:ascii="宋体" w:hAnsi="宋体" w:cs="宋体"/>
                <w:kern w:val="0"/>
                <w:szCs w:val="21"/>
              </w:rPr>
              <w:t>日</w:t>
            </w:r>
          </w:p>
        </w:tc>
      </w:tr>
    </w:tbl>
    <w:p>
      <w:pPr>
        <w:pStyle w:val="2"/>
        <w:outlineLvl w:val="9"/>
      </w:pPr>
    </w:p>
    <w:tbl>
      <w:tblPr>
        <w:tblStyle w:val="22"/>
        <w:tblW w:w="5000" w:type="pct"/>
        <w:tblInd w:w="0" w:type="dxa"/>
        <w:tblLayout w:type="autofit"/>
        <w:tblCellMar>
          <w:top w:w="0" w:type="dxa"/>
          <w:left w:w="108" w:type="dxa"/>
          <w:bottom w:w="0" w:type="dxa"/>
          <w:right w:w="108" w:type="dxa"/>
        </w:tblCellMar>
      </w:tblPr>
      <w:tblGrid>
        <w:gridCol w:w="599"/>
        <w:gridCol w:w="1974"/>
        <w:gridCol w:w="1284"/>
        <w:gridCol w:w="1362"/>
        <w:gridCol w:w="1160"/>
        <w:gridCol w:w="444"/>
        <w:gridCol w:w="1604"/>
        <w:gridCol w:w="358"/>
        <w:gridCol w:w="1136"/>
        <w:gridCol w:w="2056"/>
        <w:gridCol w:w="1477"/>
      </w:tblGrid>
      <w:tr>
        <w:tblPrEx>
          <w:tblCellMar>
            <w:top w:w="0" w:type="dxa"/>
            <w:left w:w="108" w:type="dxa"/>
            <w:bottom w:w="0" w:type="dxa"/>
            <w:right w:w="108" w:type="dxa"/>
          </w:tblCellMar>
        </w:tblPrEx>
        <w:trPr>
          <w:trHeight w:val="405" w:hRule="atLeast"/>
        </w:trPr>
        <w:tc>
          <w:tcPr>
            <w:tcW w:w="5000" w:type="pct"/>
            <w:gridSpan w:val="11"/>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附件3-8-（5）实施方案评审得分表</w:t>
            </w:r>
          </w:p>
        </w:tc>
      </w:tr>
      <w:tr>
        <w:tblPrEx>
          <w:tblCellMar>
            <w:top w:w="0" w:type="dxa"/>
            <w:left w:w="108" w:type="dxa"/>
            <w:bottom w:w="0" w:type="dxa"/>
            <w:right w:w="108" w:type="dxa"/>
          </w:tblCellMar>
        </w:tblPrEx>
        <w:trPr>
          <w:trHeight w:val="405" w:hRule="atLeast"/>
        </w:trPr>
        <w:tc>
          <w:tcPr>
            <w:tcW w:w="5000" w:type="pct"/>
            <w:gridSpan w:val="11"/>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招标代理－－实施方案评审得分表</w:t>
            </w:r>
          </w:p>
        </w:tc>
      </w:tr>
      <w:tr>
        <w:tblPrEx>
          <w:tblCellMar>
            <w:top w:w="0" w:type="dxa"/>
            <w:left w:w="108" w:type="dxa"/>
            <w:bottom w:w="0" w:type="dxa"/>
            <w:right w:w="108" w:type="dxa"/>
          </w:tblCellMar>
        </w:tblPrEx>
        <w:trPr>
          <w:trHeight w:val="405" w:hRule="atLeast"/>
        </w:trPr>
        <w:tc>
          <w:tcPr>
            <w:tcW w:w="5000" w:type="pct"/>
            <w:gridSpan w:val="11"/>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405" w:hRule="atLeast"/>
        </w:trPr>
        <w:tc>
          <w:tcPr>
            <w:tcW w:w="5000" w:type="pct"/>
            <w:gridSpan w:val="11"/>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600" w:hRule="atLeast"/>
        </w:trPr>
        <w:tc>
          <w:tcPr>
            <w:tcW w:w="22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73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3493" w:type="pct"/>
            <w:gridSpan w:val="8"/>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实施方案（满分30分）</w:t>
            </w:r>
          </w:p>
        </w:tc>
        <w:tc>
          <w:tcPr>
            <w:tcW w:w="54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1225" w:hRule="atLeast"/>
        </w:trPr>
        <w:tc>
          <w:tcPr>
            <w:tcW w:w="22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475" w:type="pct"/>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1服务质量保证措施：</w:t>
            </w:r>
          </w:p>
          <w:p>
            <w:pPr>
              <w:widowControl/>
              <w:jc w:val="center"/>
              <w:rPr>
                <w:rFonts w:ascii="宋体" w:hAnsi="宋体" w:cs="宋体"/>
                <w:kern w:val="0"/>
                <w:szCs w:val="21"/>
              </w:rPr>
            </w:pPr>
            <w:r>
              <w:rPr>
                <w:rFonts w:hint="eastAsia" w:ascii="宋体" w:hAnsi="宋体" w:cs="宋体"/>
                <w:kern w:val="0"/>
                <w:szCs w:val="21"/>
              </w:rPr>
              <w:t>（0-4分）</w:t>
            </w:r>
          </w:p>
        </w:tc>
        <w:tc>
          <w:tcPr>
            <w:tcW w:w="506" w:type="pct"/>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2招标代理工作的时限保证措施：（0-4分）</w:t>
            </w:r>
          </w:p>
        </w:tc>
        <w:tc>
          <w:tcPr>
            <w:tcW w:w="596" w:type="pct"/>
            <w:gridSpan w:val="2"/>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3招标代理工作流程及工作要点：</w:t>
            </w:r>
          </w:p>
          <w:p>
            <w:pPr>
              <w:widowControl/>
              <w:jc w:val="center"/>
              <w:rPr>
                <w:rFonts w:ascii="宋体" w:hAnsi="宋体" w:cs="宋体"/>
                <w:kern w:val="0"/>
                <w:szCs w:val="21"/>
              </w:rPr>
            </w:pPr>
            <w:r>
              <w:rPr>
                <w:rFonts w:hint="eastAsia" w:ascii="宋体" w:hAnsi="宋体" w:cs="宋体"/>
                <w:kern w:val="0"/>
                <w:szCs w:val="21"/>
              </w:rPr>
              <w:t>（0-4分）</w:t>
            </w:r>
          </w:p>
        </w:tc>
        <w:tc>
          <w:tcPr>
            <w:tcW w:w="596" w:type="pct"/>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4招标代理工作制度及岗位职责：</w:t>
            </w:r>
          </w:p>
          <w:p>
            <w:pPr>
              <w:widowControl/>
              <w:jc w:val="center"/>
              <w:rPr>
                <w:rFonts w:ascii="宋体" w:hAnsi="宋体" w:cs="宋体"/>
                <w:kern w:val="0"/>
                <w:szCs w:val="21"/>
              </w:rPr>
            </w:pPr>
            <w:r>
              <w:rPr>
                <w:rFonts w:hint="eastAsia" w:ascii="宋体" w:hAnsi="宋体" w:cs="宋体"/>
                <w:kern w:val="0"/>
                <w:szCs w:val="21"/>
              </w:rPr>
              <w:t>（0-4分）</w:t>
            </w:r>
          </w:p>
        </w:tc>
        <w:tc>
          <w:tcPr>
            <w:tcW w:w="555" w:type="pct"/>
            <w:gridSpan w:val="2"/>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5廉洁从业及保密措施：（0-4分）</w:t>
            </w:r>
          </w:p>
        </w:tc>
        <w:tc>
          <w:tcPr>
            <w:tcW w:w="764" w:type="pct"/>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6招标代理过程中重点难点的分析及解决办法：（0-10分）</w:t>
            </w:r>
          </w:p>
        </w:tc>
        <w:tc>
          <w:tcPr>
            <w:tcW w:w="5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750" w:hRule="atLeast"/>
        </w:trPr>
        <w:tc>
          <w:tcPr>
            <w:tcW w:w="22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734"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75"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06"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96" w:type="pct"/>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96"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55" w:type="pct"/>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764"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4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50" w:hRule="atLeast"/>
        </w:trPr>
        <w:tc>
          <w:tcPr>
            <w:tcW w:w="22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734"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7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0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96"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9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55"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76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4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50" w:hRule="atLeast"/>
        </w:trPr>
        <w:tc>
          <w:tcPr>
            <w:tcW w:w="22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734"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7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0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96"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9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55"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76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4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50" w:hRule="atLeast"/>
        </w:trPr>
        <w:tc>
          <w:tcPr>
            <w:tcW w:w="22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734"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7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0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96"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9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55"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76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4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50" w:hRule="atLeast"/>
        </w:trPr>
        <w:tc>
          <w:tcPr>
            <w:tcW w:w="22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734"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7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0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96"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9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55"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76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4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25" w:hRule="atLeast"/>
        </w:trPr>
        <w:tc>
          <w:tcPr>
            <w:tcW w:w="1434" w:type="pct"/>
            <w:gridSpan w:val="3"/>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评委签字：</w:t>
            </w:r>
          </w:p>
        </w:tc>
        <w:tc>
          <w:tcPr>
            <w:tcW w:w="937" w:type="pct"/>
            <w:gridSpan w:val="2"/>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894" w:type="pct"/>
            <w:gridSpan w:val="3"/>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734" w:type="pct"/>
            <w:gridSpan w:val="3"/>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年  月  </w:t>
            </w:r>
            <w:r>
              <w:rPr>
                <w:rFonts w:ascii="宋体" w:hAnsi="宋体" w:cs="宋体"/>
                <w:kern w:val="0"/>
                <w:szCs w:val="21"/>
              </w:rPr>
              <w:t>日</w:t>
            </w:r>
          </w:p>
        </w:tc>
      </w:tr>
    </w:tbl>
    <w:p>
      <w:r>
        <w:rPr>
          <w:rFonts w:hint="eastAsia"/>
        </w:rPr>
        <w:br w:type="page"/>
      </w:r>
    </w:p>
    <w:tbl>
      <w:tblPr>
        <w:tblStyle w:val="22"/>
        <w:tblW w:w="5000" w:type="pct"/>
        <w:tblInd w:w="0" w:type="dxa"/>
        <w:tblLayout w:type="autofit"/>
        <w:tblCellMar>
          <w:top w:w="0" w:type="dxa"/>
          <w:left w:w="108" w:type="dxa"/>
          <w:bottom w:w="0" w:type="dxa"/>
          <w:right w:w="108" w:type="dxa"/>
        </w:tblCellMar>
      </w:tblPr>
      <w:tblGrid>
        <w:gridCol w:w="605"/>
        <w:gridCol w:w="3221"/>
        <w:gridCol w:w="1394"/>
        <w:gridCol w:w="1316"/>
        <w:gridCol w:w="1289"/>
        <w:gridCol w:w="1289"/>
        <w:gridCol w:w="1353"/>
        <w:gridCol w:w="1265"/>
        <w:gridCol w:w="1722"/>
      </w:tblGrid>
      <w:tr>
        <w:tblPrEx>
          <w:tblCellMar>
            <w:top w:w="0" w:type="dxa"/>
            <w:left w:w="108" w:type="dxa"/>
            <w:bottom w:w="0" w:type="dxa"/>
            <w:right w:w="108" w:type="dxa"/>
          </w:tblCellMar>
        </w:tblPrEx>
        <w:trPr>
          <w:trHeight w:val="480" w:hRule="atLeast"/>
        </w:trPr>
        <w:tc>
          <w:tcPr>
            <w:tcW w:w="5000" w:type="pct"/>
            <w:gridSpan w:val="9"/>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附件3-8-（5）实施方案评审汇总表</w:t>
            </w:r>
          </w:p>
        </w:tc>
      </w:tr>
      <w:tr>
        <w:tblPrEx>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招标代理－－实施方案评审汇总表</w:t>
            </w:r>
          </w:p>
        </w:tc>
      </w:tr>
      <w:tr>
        <w:tblPrEx>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352" w:hRule="atLeast"/>
        </w:trPr>
        <w:tc>
          <w:tcPr>
            <w:tcW w:w="2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19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51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评委1</w:t>
            </w:r>
          </w:p>
        </w:tc>
        <w:tc>
          <w:tcPr>
            <w:tcW w:w="489"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评委2</w:t>
            </w:r>
          </w:p>
        </w:tc>
        <w:tc>
          <w:tcPr>
            <w:tcW w:w="479"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评委3</w:t>
            </w:r>
          </w:p>
        </w:tc>
        <w:tc>
          <w:tcPr>
            <w:tcW w:w="479"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评委4</w:t>
            </w:r>
          </w:p>
        </w:tc>
        <w:tc>
          <w:tcPr>
            <w:tcW w:w="503"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评委5</w:t>
            </w:r>
          </w:p>
        </w:tc>
        <w:tc>
          <w:tcPr>
            <w:tcW w:w="470"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636"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平均得分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883"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19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0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36"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898"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19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48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0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36"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883"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19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48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0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36"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856"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19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48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0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36"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884"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19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48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0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36"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525" w:hRule="atLeast"/>
        </w:trPr>
        <w:tc>
          <w:tcPr>
            <w:tcW w:w="1940" w:type="pct"/>
            <w:gridSpan w:val="3"/>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489"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479"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479"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03"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470"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636" w:type="pct"/>
            <w:tcBorders>
              <w:top w:val="nil"/>
              <w:left w:val="nil"/>
              <w:bottom w:val="nil"/>
              <w:right w:val="nil"/>
            </w:tcBorders>
            <w:noWrap/>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年  月  日</w:t>
            </w:r>
          </w:p>
        </w:tc>
      </w:tr>
    </w:tbl>
    <w:p>
      <w:r>
        <w:rPr>
          <w:rFonts w:hint="eastAsia"/>
        </w:rPr>
        <w:br w:type="page"/>
      </w:r>
    </w:p>
    <w:tbl>
      <w:tblPr>
        <w:tblStyle w:val="22"/>
        <w:tblW w:w="5000" w:type="pct"/>
        <w:tblInd w:w="0" w:type="dxa"/>
        <w:tblLayout w:type="autofit"/>
        <w:tblCellMar>
          <w:top w:w="0" w:type="dxa"/>
          <w:left w:w="108" w:type="dxa"/>
          <w:bottom w:w="0" w:type="dxa"/>
          <w:right w:w="108" w:type="dxa"/>
        </w:tblCellMar>
      </w:tblPr>
      <w:tblGrid>
        <w:gridCol w:w="707"/>
        <w:gridCol w:w="4278"/>
        <w:gridCol w:w="2379"/>
        <w:gridCol w:w="2215"/>
        <w:gridCol w:w="2220"/>
        <w:gridCol w:w="1655"/>
      </w:tblGrid>
      <w:tr>
        <w:tblPrEx>
          <w:tblCellMar>
            <w:top w:w="0" w:type="dxa"/>
            <w:left w:w="108" w:type="dxa"/>
            <w:bottom w:w="0" w:type="dxa"/>
            <w:right w:w="108" w:type="dxa"/>
          </w:tblCellMar>
        </w:tblPrEx>
        <w:trPr>
          <w:trHeight w:val="480"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附件3-8-（5）企业业绩及人员配置评审得分表</w:t>
            </w:r>
          </w:p>
        </w:tc>
      </w:tr>
      <w:tr>
        <w:tblPrEx>
          <w:tblCellMar>
            <w:top w:w="0" w:type="dxa"/>
            <w:left w:w="108" w:type="dxa"/>
            <w:bottom w:w="0" w:type="dxa"/>
            <w:right w:w="108" w:type="dxa"/>
          </w:tblCellMar>
        </w:tblPrEx>
        <w:trPr>
          <w:trHeight w:val="465" w:hRule="atLeast"/>
        </w:trPr>
        <w:tc>
          <w:tcPr>
            <w:tcW w:w="5000" w:type="pct"/>
            <w:gridSpan w:val="6"/>
            <w:tcBorders>
              <w:top w:val="nil"/>
              <w:left w:val="nil"/>
              <w:bottom w:val="nil"/>
              <w:right w:val="nil"/>
            </w:tcBorders>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招标代理－－企业业绩及人员配置评审得分表</w:t>
            </w:r>
          </w:p>
        </w:tc>
      </w:tr>
      <w:tr>
        <w:tblPrEx>
          <w:tblCellMar>
            <w:top w:w="0" w:type="dxa"/>
            <w:left w:w="108" w:type="dxa"/>
            <w:bottom w:w="0" w:type="dxa"/>
            <w:right w:w="108" w:type="dxa"/>
          </w:tblCellMar>
        </w:tblPrEx>
        <w:trPr>
          <w:trHeight w:val="345"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45"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429" w:hRule="atLeast"/>
        </w:trPr>
        <w:tc>
          <w:tcPr>
            <w:tcW w:w="263"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590"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884"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1、企业业绩              （满分20分）</w:t>
            </w:r>
          </w:p>
        </w:tc>
        <w:tc>
          <w:tcPr>
            <w:tcW w:w="1648"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2、人员配置（满分20分）</w:t>
            </w:r>
          </w:p>
        </w:tc>
        <w:tc>
          <w:tcPr>
            <w:tcW w:w="613"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（满分40分）</w:t>
            </w:r>
          </w:p>
        </w:tc>
      </w:tr>
      <w:tr>
        <w:tblPrEx>
          <w:tblCellMar>
            <w:top w:w="0" w:type="dxa"/>
            <w:left w:w="108" w:type="dxa"/>
            <w:bottom w:w="0" w:type="dxa"/>
            <w:right w:w="108" w:type="dxa"/>
          </w:tblCellMar>
        </w:tblPrEx>
        <w:trPr>
          <w:trHeight w:val="630" w:hRule="atLeast"/>
        </w:trPr>
        <w:tc>
          <w:tcPr>
            <w:tcW w:w="26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59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84"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82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①专业负责人       （8分）</w:t>
            </w:r>
          </w:p>
        </w:tc>
        <w:tc>
          <w:tcPr>
            <w:tcW w:w="82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②其他人员配置（12分）</w:t>
            </w:r>
          </w:p>
        </w:tc>
        <w:tc>
          <w:tcPr>
            <w:tcW w:w="61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705"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59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8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2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2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806"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59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8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2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2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30"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59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8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2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2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71"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59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8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2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2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3"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59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8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2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2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850"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Cs w:val="21"/>
              </w:rPr>
              <w:t>备注</w:t>
            </w:r>
          </w:p>
        </w:tc>
        <w:tc>
          <w:tcPr>
            <w:tcW w:w="4736" w:type="pct"/>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bCs/>
                <w:kern w:val="0"/>
                <w:sz w:val="18"/>
                <w:szCs w:val="15"/>
              </w:rPr>
            </w:pPr>
            <w:r>
              <w:rPr>
                <w:rFonts w:hint="eastAsia" w:ascii="宋体" w:hAnsi="宋体" w:cs="宋体"/>
                <w:b/>
                <w:bCs/>
                <w:kern w:val="0"/>
                <w:sz w:val="18"/>
                <w:szCs w:val="15"/>
              </w:rPr>
              <w:t>1、企业业绩（20分）</w:t>
            </w:r>
            <w:r>
              <w:rPr>
                <w:rStyle w:val="36"/>
                <w:rFonts w:hint="default"/>
                <w:b w:val="0"/>
              </w:rPr>
              <w:t>近</w:t>
            </w:r>
            <w:r>
              <w:rPr>
                <w:rStyle w:val="36"/>
                <w:rFonts w:hint="default"/>
                <w:b w:val="0"/>
                <w:u w:val="single"/>
              </w:rPr>
              <w:t xml:space="preserve">   </w:t>
            </w:r>
            <w:r>
              <w:rPr>
                <w:rStyle w:val="36"/>
                <w:rFonts w:hint="default"/>
                <w:b w:val="0"/>
              </w:rPr>
              <w:t>年（20</w:t>
            </w:r>
            <w:r>
              <w:rPr>
                <w:rStyle w:val="36"/>
                <w:rFonts w:hint="default"/>
                <w:b w:val="0"/>
                <w:u w:val="single"/>
              </w:rPr>
              <w:t xml:space="preserve">  </w:t>
            </w:r>
            <w:r>
              <w:rPr>
                <w:rStyle w:val="36"/>
                <w:rFonts w:hint="default"/>
                <w:b w:val="0"/>
              </w:rPr>
              <w:t>年</w:t>
            </w:r>
            <w:r>
              <w:rPr>
                <w:rStyle w:val="36"/>
                <w:rFonts w:hint="default"/>
                <w:b w:val="0"/>
                <w:u w:val="single"/>
              </w:rPr>
              <w:t xml:space="preserve">   </w:t>
            </w:r>
            <w:r>
              <w:rPr>
                <w:rStyle w:val="36"/>
                <w:rFonts w:hint="default"/>
                <w:b w:val="0"/>
              </w:rPr>
              <w:t>月）</w:t>
            </w:r>
            <w:r>
              <w:rPr>
                <w:rFonts w:hint="eastAsia" w:ascii="宋体" w:hAnsi="宋体" w:cs="宋体"/>
                <w:bCs/>
                <w:kern w:val="0"/>
                <w:sz w:val="18"/>
                <w:szCs w:val="15"/>
              </w:rPr>
              <w:t>，提供企业类似项目业绩：单项合同金额≥</w:t>
            </w:r>
            <w:r>
              <w:rPr>
                <w:rFonts w:hint="eastAsia" w:ascii="宋体" w:hAnsi="宋体" w:cs="宋体"/>
                <w:bCs/>
                <w:kern w:val="0"/>
                <w:sz w:val="18"/>
                <w:szCs w:val="15"/>
                <w:u w:val="single"/>
              </w:rPr>
              <w:t xml:space="preserve">   </w:t>
            </w:r>
            <w:r>
              <w:rPr>
                <w:rFonts w:hint="eastAsia" w:ascii="宋体" w:hAnsi="宋体" w:cs="宋体"/>
                <w:bCs/>
                <w:kern w:val="0"/>
                <w:sz w:val="18"/>
                <w:szCs w:val="15"/>
              </w:rPr>
              <w:t>万元的类似项目业绩，每项得5分；单项合同金额≥</w:t>
            </w:r>
            <w:r>
              <w:rPr>
                <w:rFonts w:hint="eastAsia" w:ascii="宋体" w:hAnsi="宋体" w:cs="宋体"/>
                <w:bCs/>
                <w:kern w:val="0"/>
                <w:sz w:val="18"/>
                <w:szCs w:val="15"/>
                <w:u w:val="single"/>
              </w:rPr>
              <w:t xml:space="preserve">    </w:t>
            </w:r>
            <w:r>
              <w:rPr>
                <w:rFonts w:hint="eastAsia" w:ascii="宋体" w:hAnsi="宋体" w:cs="宋体"/>
                <w:bCs/>
                <w:kern w:val="0"/>
                <w:sz w:val="18"/>
                <w:szCs w:val="15"/>
              </w:rPr>
              <w:t>万元但＜</w:t>
            </w:r>
            <w:r>
              <w:rPr>
                <w:rFonts w:hint="eastAsia" w:ascii="宋体" w:hAnsi="宋体" w:cs="宋体"/>
                <w:bCs/>
                <w:kern w:val="0"/>
                <w:sz w:val="18"/>
                <w:szCs w:val="15"/>
                <w:u w:val="single"/>
              </w:rPr>
              <w:t xml:space="preserve">     </w:t>
            </w:r>
            <w:r>
              <w:rPr>
                <w:rFonts w:hint="eastAsia" w:ascii="宋体" w:hAnsi="宋体" w:cs="宋体"/>
                <w:bCs/>
                <w:kern w:val="0"/>
                <w:sz w:val="18"/>
                <w:szCs w:val="15"/>
              </w:rPr>
              <w:t>万元的类似项目业绩，每项得2分。</w:t>
            </w:r>
            <w:r>
              <w:rPr>
                <w:rStyle w:val="36"/>
                <w:rFonts w:hint="default"/>
                <w:b w:val="0"/>
              </w:rPr>
              <w:t>（注：类似业绩指</w:t>
            </w:r>
            <w:r>
              <w:rPr>
                <w:rStyle w:val="36"/>
                <w:rFonts w:hint="default"/>
                <w:b w:val="0"/>
                <w:i/>
                <w:u w:val="single"/>
              </w:rPr>
              <w:t>（类别、规模）</w:t>
            </w:r>
            <w:r>
              <w:rPr>
                <w:rStyle w:val="36"/>
                <w:rFonts w:hint="default"/>
                <w:b w:val="0"/>
              </w:rPr>
              <w:t>项目业绩，以合同内容为准；时间以合同签订日期为准。）</w:t>
            </w:r>
          </w:p>
          <w:p>
            <w:pPr>
              <w:widowControl/>
              <w:jc w:val="left"/>
              <w:rPr>
                <w:rFonts w:ascii="宋体" w:hAnsi="宋体" w:cs="宋体"/>
                <w:b/>
                <w:bCs/>
                <w:kern w:val="0"/>
                <w:sz w:val="18"/>
                <w:szCs w:val="15"/>
              </w:rPr>
            </w:pPr>
            <w:r>
              <w:rPr>
                <w:rFonts w:hint="eastAsia" w:ascii="宋体" w:hAnsi="宋体" w:cs="宋体"/>
                <w:b/>
                <w:bCs/>
                <w:kern w:val="0"/>
                <w:sz w:val="18"/>
                <w:szCs w:val="15"/>
              </w:rPr>
              <w:t>2、人员配置（20分）</w:t>
            </w:r>
          </w:p>
          <w:p>
            <w:pPr>
              <w:widowControl/>
              <w:jc w:val="left"/>
              <w:rPr>
                <w:rFonts w:ascii="宋体" w:hAnsi="宋体" w:cs="宋体"/>
                <w:bCs/>
                <w:kern w:val="0"/>
                <w:sz w:val="18"/>
                <w:szCs w:val="15"/>
              </w:rPr>
            </w:pPr>
            <w:r>
              <w:rPr>
                <w:rFonts w:hint="eastAsia" w:ascii="宋体" w:hAnsi="宋体" w:cs="宋体"/>
                <w:b/>
                <w:bCs/>
                <w:kern w:val="0"/>
                <w:sz w:val="18"/>
                <w:szCs w:val="15"/>
              </w:rPr>
              <w:t>①专业负责人（8分）职称（4分）：</w:t>
            </w:r>
            <w:r>
              <w:rPr>
                <w:rFonts w:hint="eastAsia" w:ascii="宋体" w:hAnsi="宋体" w:cs="宋体"/>
                <w:bCs/>
                <w:kern w:val="0"/>
                <w:sz w:val="18"/>
                <w:szCs w:val="15"/>
              </w:rPr>
              <w:t>拟派专业负责人为高级职称得4分，中级职称得2分。</w:t>
            </w:r>
            <w:r>
              <w:rPr>
                <w:rFonts w:hint="eastAsia" w:ascii="宋体" w:hAnsi="宋体" w:cs="宋体"/>
                <w:b/>
                <w:bCs/>
                <w:kern w:val="0"/>
                <w:sz w:val="18"/>
                <w:szCs w:val="15"/>
              </w:rPr>
              <w:t>业绩（4分）：</w:t>
            </w:r>
            <w:r>
              <w:rPr>
                <w:rStyle w:val="36"/>
                <w:rFonts w:hint="default"/>
                <w:b w:val="0"/>
              </w:rPr>
              <w:t>近</w:t>
            </w:r>
            <w:r>
              <w:rPr>
                <w:rStyle w:val="36"/>
                <w:rFonts w:hint="default"/>
                <w:b w:val="0"/>
                <w:u w:val="single"/>
              </w:rPr>
              <w:t xml:space="preserve">   </w:t>
            </w:r>
            <w:r>
              <w:rPr>
                <w:rStyle w:val="36"/>
                <w:rFonts w:hint="default"/>
                <w:b w:val="0"/>
              </w:rPr>
              <w:t>年（20</w:t>
            </w:r>
            <w:r>
              <w:rPr>
                <w:rStyle w:val="36"/>
                <w:rFonts w:hint="default"/>
                <w:b w:val="0"/>
                <w:u w:val="single"/>
              </w:rPr>
              <w:t xml:space="preserve">  </w:t>
            </w:r>
            <w:r>
              <w:rPr>
                <w:rStyle w:val="36"/>
                <w:rFonts w:hint="default"/>
                <w:b w:val="0"/>
              </w:rPr>
              <w:t>年</w:t>
            </w:r>
            <w:r>
              <w:rPr>
                <w:rStyle w:val="36"/>
                <w:rFonts w:hint="default"/>
                <w:b w:val="0"/>
                <w:u w:val="single"/>
              </w:rPr>
              <w:t xml:space="preserve">   </w:t>
            </w:r>
            <w:r>
              <w:rPr>
                <w:rStyle w:val="36"/>
                <w:rFonts w:hint="default"/>
                <w:b w:val="0"/>
              </w:rPr>
              <w:t>月）</w:t>
            </w:r>
            <w:r>
              <w:rPr>
                <w:rFonts w:hint="eastAsia" w:ascii="宋体" w:hAnsi="宋体" w:cs="宋体"/>
                <w:bCs/>
                <w:kern w:val="0"/>
                <w:sz w:val="18"/>
                <w:szCs w:val="15"/>
              </w:rPr>
              <w:t>，担任过类似项目业绩，每项得2分。</w:t>
            </w:r>
            <w:r>
              <w:rPr>
                <w:rStyle w:val="36"/>
                <w:rFonts w:hint="default"/>
                <w:b w:val="0"/>
              </w:rPr>
              <w:t>（注：类似业绩指</w:t>
            </w:r>
            <w:r>
              <w:rPr>
                <w:rStyle w:val="36"/>
                <w:rFonts w:hint="default"/>
                <w:b w:val="0"/>
                <w:i/>
                <w:u w:val="single"/>
              </w:rPr>
              <w:t>（类别、规模）</w:t>
            </w:r>
            <w:r>
              <w:rPr>
                <w:rStyle w:val="36"/>
                <w:rFonts w:hint="default"/>
                <w:b w:val="0"/>
              </w:rPr>
              <w:t>项目业绩，以合同内容为准；时间以合同签订日期为准。）</w:t>
            </w:r>
          </w:p>
          <w:p>
            <w:pPr>
              <w:widowControl/>
              <w:jc w:val="left"/>
              <w:rPr>
                <w:rFonts w:ascii="宋体" w:hAnsi="宋体" w:cs="宋体"/>
                <w:bCs/>
                <w:kern w:val="0"/>
                <w:sz w:val="18"/>
                <w:szCs w:val="15"/>
              </w:rPr>
            </w:pPr>
            <w:r>
              <w:rPr>
                <w:rFonts w:hint="eastAsia" w:ascii="宋体" w:hAnsi="宋体" w:cs="宋体"/>
                <w:b/>
                <w:bCs/>
                <w:kern w:val="0"/>
                <w:sz w:val="18"/>
                <w:szCs w:val="15"/>
              </w:rPr>
              <w:t>②其他人员配置（12分）</w:t>
            </w:r>
            <w:r>
              <w:rPr>
                <w:rFonts w:hint="eastAsia" w:ascii="宋体" w:hAnsi="宋体" w:cs="宋体"/>
                <w:bCs/>
                <w:kern w:val="0"/>
                <w:sz w:val="18"/>
                <w:szCs w:val="15"/>
              </w:rPr>
              <w:t>拟派本项目人员中，每提供一名高级职称得</w:t>
            </w:r>
            <w:r>
              <w:rPr>
                <w:rFonts w:ascii="宋体" w:hAnsi="宋体" w:cs="宋体"/>
                <w:bCs/>
                <w:kern w:val="0"/>
                <w:sz w:val="18"/>
                <w:szCs w:val="15"/>
              </w:rPr>
              <w:t>4分，中级职称得3分，初级职称得2分；同一人提供多个证书的只计其中最高分；最高得12分。</w:t>
            </w:r>
          </w:p>
        </w:tc>
      </w:tr>
      <w:tr>
        <w:tblPrEx>
          <w:tblCellMar>
            <w:top w:w="0" w:type="dxa"/>
            <w:left w:w="108" w:type="dxa"/>
            <w:bottom w:w="0" w:type="dxa"/>
            <w:right w:w="108" w:type="dxa"/>
          </w:tblCellMar>
        </w:tblPrEx>
        <w:trPr>
          <w:trHeight w:val="502" w:hRule="atLeast"/>
        </w:trPr>
        <w:tc>
          <w:tcPr>
            <w:tcW w:w="1853"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884" w:type="pct"/>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23" w:type="pct"/>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25" w:type="pct"/>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13" w:type="pct"/>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年  月  </w:t>
            </w:r>
            <w:r>
              <w:rPr>
                <w:rFonts w:ascii="宋体" w:hAnsi="宋体" w:cs="宋体"/>
                <w:kern w:val="0"/>
                <w:szCs w:val="21"/>
              </w:rPr>
              <w:t>日</w:t>
            </w:r>
          </w:p>
        </w:tc>
      </w:tr>
    </w:tbl>
    <w:p>
      <w:r>
        <w:rPr>
          <w:rFonts w:hint="eastAsia"/>
        </w:rPr>
        <w:br w:type="page"/>
      </w:r>
    </w:p>
    <w:tbl>
      <w:tblPr>
        <w:tblStyle w:val="22"/>
        <w:tblW w:w="5000" w:type="pct"/>
        <w:tblInd w:w="0" w:type="dxa"/>
        <w:tblLayout w:type="autofit"/>
        <w:tblCellMar>
          <w:top w:w="0" w:type="dxa"/>
          <w:left w:w="108" w:type="dxa"/>
          <w:bottom w:w="0" w:type="dxa"/>
          <w:right w:w="108" w:type="dxa"/>
        </w:tblCellMar>
      </w:tblPr>
      <w:tblGrid>
        <w:gridCol w:w="829"/>
        <w:gridCol w:w="3958"/>
        <w:gridCol w:w="2564"/>
        <w:gridCol w:w="1857"/>
        <w:gridCol w:w="2346"/>
        <w:gridCol w:w="1900"/>
      </w:tblGrid>
      <w:tr>
        <w:tblPrEx>
          <w:tblCellMar>
            <w:top w:w="0" w:type="dxa"/>
            <w:left w:w="108" w:type="dxa"/>
            <w:bottom w:w="0" w:type="dxa"/>
            <w:right w:w="108" w:type="dxa"/>
          </w:tblCellMar>
        </w:tblPrEx>
        <w:trPr>
          <w:trHeight w:val="330"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附件3-8-（6）-E得分汇总表</w:t>
            </w:r>
          </w:p>
        </w:tc>
      </w:tr>
      <w:tr>
        <w:tblPrEx>
          <w:tblCellMar>
            <w:top w:w="0" w:type="dxa"/>
            <w:left w:w="108" w:type="dxa"/>
            <w:bottom w:w="0" w:type="dxa"/>
            <w:right w:w="108" w:type="dxa"/>
          </w:tblCellMar>
        </w:tblPrEx>
        <w:trPr>
          <w:trHeight w:val="375" w:hRule="atLeast"/>
        </w:trPr>
        <w:tc>
          <w:tcPr>
            <w:tcW w:w="5000" w:type="pct"/>
            <w:gridSpan w:val="6"/>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招标代理－－得分汇总表</w:t>
            </w:r>
          </w:p>
        </w:tc>
      </w:tr>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260" w:hRule="atLeast"/>
        </w:trPr>
        <w:tc>
          <w:tcPr>
            <w:tcW w:w="308" w:type="pct"/>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470"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95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投标报价（下浮率）   </w:t>
            </w:r>
          </w:p>
          <w:p>
            <w:pPr>
              <w:widowControl/>
              <w:jc w:val="center"/>
              <w:rPr>
                <w:rFonts w:ascii="宋体" w:hAnsi="宋体" w:cs="宋体"/>
                <w:kern w:val="0"/>
                <w:szCs w:val="21"/>
              </w:rPr>
            </w:pPr>
            <w:r>
              <w:rPr>
                <w:rFonts w:hint="eastAsia" w:ascii="宋体" w:hAnsi="宋体" w:cs="宋体"/>
                <w:kern w:val="0"/>
                <w:szCs w:val="21"/>
              </w:rPr>
              <w:t>（满分30分）</w:t>
            </w:r>
          </w:p>
        </w:tc>
        <w:tc>
          <w:tcPr>
            <w:tcW w:w="6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实施方案</w:t>
            </w:r>
          </w:p>
          <w:p>
            <w:pPr>
              <w:widowControl/>
              <w:jc w:val="center"/>
              <w:rPr>
                <w:rFonts w:ascii="宋体" w:hAnsi="宋体" w:cs="宋体"/>
                <w:kern w:val="0"/>
                <w:szCs w:val="21"/>
              </w:rPr>
            </w:pPr>
            <w:r>
              <w:rPr>
                <w:rFonts w:hint="eastAsia" w:ascii="宋体" w:hAnsi="宋体" w:cs="宋体"/>
                <w:kern w:val="0"/>
                <w:szCs w:val="21"/>
              </w:rPr>
              <w:t>（满分30分）</w:t>
            </w:r>
          </w:p>
        </w:tc>
        <w:tc>
          <w:tcPr>
            <w:tcW w:w="872" w:type="pct"/>
            <w:tcBorders>
              <w:top w:val="single" w:color="auto" w:sz="4" w:space="0"/>
              <w:left w:val="nil"/>
              <w:bottom w:val="nil"/>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企业业绩及人员配置</w:t>
            </w:r>
          </w:p>
          <w:p>
            <w:pPr>
              <w:widowControl/>
              <w:jc w:val="center"/>
              <w:rPr>
                <w:rFonts w:ascii="宋体" w:hAnsi="宋体" w:cs="宋体"/>
                <w:kern w:val="0"/>
                <w:szCs w:val="21"/>
              </w:rPr>
            </w:pPr>
            <w:r>
              <w:rPr>
                <w:rFonts w:hint="eastAsia" w:ascii="宋体" w:hAnsi="宋体" w:cs="宋体"/>
                <w:kern w:val="0"/>
                <w:szCs w:val="21"/>
              </w:rPr>
              <w:t>（满分40分）</w:t>
            </w:r>
          </w:p>
        </w:tc>
        <w:tc>
          <w:tcPr>
            <w:tcW w:w="703" w:type="pct"/>
            <w:tcBorders>
              <w:top w:val="single" w:color="auto" w:sz="4" w:space="0"/>
              <w:left w:val="nil"/>
              <w:bottom w:val="nil"/>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总得分</w:t>
            </w:r>
          </w:p>
          <w:p>
            <w:pPr>
              <w:widowControl/>
              <w:jc w:val="center"/>
              <w:rPr>
                <w:rFonts w:ascii="宋体" w:hAnsi="宋体" w:cs="宋体"/>
                <w:kern w:val="0"/>
                <w:szCs w:val="21"/>
              </w:rPr>
            </w:pPr>
            <w:r>
              <w:rPr>
                <w:rFonts w:hint="eastAsia" w:ascii="宋体" w:hAnsi="宋体" w:cs="宋体"/>
                <w:kern w:val="0"/>
                <w:szCs w:val="21"/>
              </w:rPr>
              <w:t>（满分100分）</w:t>
            </w:r>
          </w:p>
        </w:tc>
      </w:tr>
      <w:tr>
        <w:tblPrEx>
          <w:tblCellMar>
            <w:top w:w="0" w:type="dxa"/>
            <w:left w:w="108" w:type="dxa"/>
            <w:bottom w:w="0" w:type="dxa"/>
            <w:right w:w="108" w:type="dxa"/>
          </w:tblCellMar>
        </w:tblPrEx>
        <w:trPr>
          <w:trHeight w:val="794" w:hRule="atLeast"/>
        </w:trPr>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470"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5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9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7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94"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47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5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9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7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94"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47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5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9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7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94"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47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5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9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7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94"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47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5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9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7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22" w:hRule="atLeast"/>
        </w:trPr>
        <w:tc>
          <w:tcPr>
            <w:tcW w:w="1779"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r>
              <w:rPr>
                <w:rFonts w:ascii="宋体" w:hAnsi="宋体" w:cs="宋体"/>
                <w:kern w:val="0"/>
                <w:szCs w:val="21"/>
              </w:rPr>
              <w:t xml:space="preserve">            </w:t>
            </w:r>
          </w:p>
        </w:tc>
        <w:tc>
          <w:tcPr>
            <w:tcW w:w="953"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690"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872"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03" w:type="pct"/>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年  月  </w:t>
            </w:r>
            <w:r>
              <w:rPr>
                <w:rFonts w:ascii="宋体" w:hAnsi="宋体" w:cs="宋体"/>
                <w:kern w:val="0"/>
                <w:szCs w:val="21"/>
              </w:rPr>
              <w:t>日</w:t>
            </w:r>
          </w:p>
        </w:tc>
      </w:tr>
    </w:tbl>
    <w:p/>
    <w:p>
      <w:r>
        <w:rPr>
          <w:rFonts w:hint="eastAsia"/>
        </w:rPr>
        <w:br w:type="page"/>
      </w:r>
    </w:p>
    <w:tbl>
      <w:tblPr>
        <w:tblStyle w:val="22"/>
        <w:tblW w:w="13221" w:type="dxa"/>
        <w:tblInd w:w="91" w:type="dxa"/>
        <w:tblLayout w:type="fixed"/>
        <w:tblCellMar>
          <w:top w:w="0" w:type="dxa"/>
          <w:left w:w="108" w:type="dxa"/>
          <w:bottom w:w="0" w:type="dxa"/>
          <w:right w:w="108" w:type="dxa"/>
        </w:tblCellMar>
      </w:tblPr>
      <w:tblGrid>
        <w:gridCol w:w="820"/>
        <w:gridCol w:w="3889"/>
        <w:gridCol w:w="2524"/>
        <w:gridCol w:w="2740"/>
        <w:gridCol w:w="1398"/>
        <w:gridCol w:w="1850"/>
      </w:tblGrid>
      <w:tr>
        <w:tblPrEx>
          <w:tblCellMar>
            <w:top w:w="0" w:type="dxa"/>
            <w:left w:w="108" w:type="dxa"/>
            <w:bottom w:w="0" w:type="dxa"/>
            <w:right w:w="108" w:type="dxa"/>
          </w:tblCellMar>
        </w:tblPrEx>
        <w:trPr>
          <w:trHeight w:val="330" w:hRule="atLeast"/>
        </w:trPr>
        <w:tc>
          <w:tcPr>
            <w:tcW w:w="13221" w:type="dxa"/>
            <w:gridSpan w:val="6"/>
            <w:tcBorders>
              <w:top w:val="nil"/>
              <w:left w:val="nil"/>
              <w:bottom w:val="nil"/>
              <w:right w:val="nil"/>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附件3-9：监管评价等级得分汇总表</w:t>
            </w:r>
          </w:p>
        </w:tc>
      </w:tr>
      <w:tr>
        <w:tblPrEx>
          <w:tblCellMar>
            <w:top w:w="0" w:type="dxa"/>
            <w:left w:w="108" w:type="dxa"/>
            <w:bottom w:w="0" w:type="dxa"/>
            <w:right w:w="108" w:type="dxa"/>
          </w:tblCellMar>
        </w:tblPrEx>
        <w:trPr>
          <w:trHeight w:val="375" w:hRule="atLeast"/>
        </w:trPr>
        <w:tc>
          <w:tcPr>
            <w:tcW w:w="13221" w:type="dxa"/>
            <w:gridSpan w:val="6"/>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监管评价等级得分汇总表</w:t>
            </w:r>
          </w:p>
        </w:tc>
      </w:tr>
      <w:tr>
        <w:tblPrEx>
          <w:tblCellMar>
            <w:top w:w="0" w:type="dxa"/>
            <w:left w:w="108" w:type="dxa"/>
            <w:bottom w:w="0" w:type="dxa"/>
            <w:right w:w="108" w:type="dxa"/>
          </w:tblCellMar>
        </w:tblPrEx>
        <w:trPr>
          <w:trHeight w:val="360" w:hRule="atLeast"/>
        </w:trPr>
        <w:tc>
          <w:tcPr>
            <w:tcW w:w="13221" w:type="dxa"/>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60" w:hRule="atLeast"/>
        </w:trPr>
        <w:tc>
          <w:tcPr>
            <w:tcW w:w="13221" w:type="dxa"/>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260" w:hRule="atLeast"/>
        </w:trPr>
        <w:tc>
          <w:tcPr>
            <w:tcW w:w="820"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3889" w:type="dxa"/>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526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监管评价等级</w:t>
            </w:r>
          </w:p>
        </w:tc>
        <w:tc>
          <w:tcPr>
            <w:tcW w:w="3248" w:type="dxa"/>
            <w:gridSpan w:val="2"/>
            <w:tcBorders>
              <w:top w:val="single" w:color="auto" w:sz="4" w:space="0"/>
              <w:left w:val="nil"/>
              <w:bottom w:val="nil"/>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（满分2分）</w:t>
            </w:r>
          </w:p>
        </w:tc>
      </w:tr>
      <w:tr>
        <w:tblPrEx>
          <w:tblCellMar>
            <w:top w:w="0" w:type="dxa"/>
            <w:left w:w="108" w:type="dxa"/>
            <w:bottom w:w="0" w:type="dxa"/>
            <w:right w:w="108" w:type="dxa"/>
          </w:tblCellMar>
        </w:tblPrEx>
        <w:trPr>
          <w:trHeight w:val="794"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388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2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324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94"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388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2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324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94"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388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2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324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94"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388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2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324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94"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388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2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324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22" w:hRule="atLeast"/>
        </w:trPr>
        <w:tc>
          <w:tcPr>
            <w:tcW w:w="13221" w:type="dxa"/>
            <w:gridSpan w:val="6"/>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注：监管评价等级为A级，得2分；监管评价等级为B级，得1分；监管评价等级为C级，得0分。</w:t>
            </w:r>
          </w:p>
        </w:tc>
      </w:tr>
      <w:tr>
        <w:tblPrEx>
          <w:tblCellMar>
            <w:top w:w="0" w:type="dxa"/>
            <w:left w:w="108" w:type="dxa"/>
            <w:bottom w:w="0" w:type="dxa"/>
            <w:right w:w="108" w:type="dxa"/>
          </w:tblCellMar>
        </w:tblPrEx>
        <w:trPr>
          <w:trHeight w:val="422" w:hRule="atLeast"/>
        </w:trPr>
        <w:tc>
          <w:tcPr>
            <w:tcW w:w="4709" w:type="dxa"/>
            <w:gridSpan w:val="2"/>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r>
              <w:rPr>
                <w:rFonts w:ascii="宋体" w:hAnsi="宋体" w:cs="宋体"/>
                <w:kern w:val="0"/>
                <w:szCs w:val="21"/>
              </w:rPr>
              <w:t xml:space="preserve">            </w:t>
            </w:r>
          </w:p>
        </w:tc>
        <w:tc>
          <w:tcPr>
            <w:tcW w:w="2524" w:type="dxa"/>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740" w:type="dxa"/>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398" w:type="dxa"/>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850" w:type="dxa"/>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年</w:t>
            </w:r>
            <w:r>
              <w:rPr>
                <w:rFonts w:ascii="宋体" w:hAnsi="宋体" w:cs="宋体"/>
                <w:kern w:val="0"/>
                <w:szCs w:val="21"/>
              </w:rPr>
              <w:t xml:space="preserve">  月   日</w:t>
            </w:r>
          </w:p>
        </w:tc>
      </w:tr>
    </w:tbl>
    <w:p>
      <w:pPr>
        <w:pStyle w:val="7"/>
        <w:rPr>
          <w:rFonts w:ascii="宋体" w:hAnsi="宋体" w:cs="宋体"/>
          <w:kern w:val="0"/>
          <w:sz w:val="28"/>
          <w:szCs w:val="28"/>
        </w:rPr>
      </w:pPr>
    </w:p>
    <w:p>
      <w:pPr>
        <w:rPr>
          <w:rFonts w:ascii="宋体" w:hAnsi="宋体" w:cs="宋体"/>
          <w:kern w:val="0"/>
          <w:sz w:val="28"/>
          <w:szCs w:val="28"/>
        </w:rPr>
      </w:pPr>
      <w:r>
        <w:rPr>
          <w:rFonts w:hint="eastAsia" w:ascii="宋体" w:hAnsi="宋体" w:cs="宋体"/>
          <w:kern w:val="0"/>
          <w:sz w:val="28"/>
          <w:szCs w:val="28"/>
        </w:rPr>
        <w:br w:type="page"/>
      </w:r>
    </w:p>
    <w:p>
      <w:pPr>
        <w:pStyle w:val="7"/>
        <w:rPr>
          <w:rFonts w:ascii="宋体" w:hAnsi="宋体" w:cs="宋体"/>
          <w:kern w:val="0"/>
          <w:sz w:val="28"/>
          <w:szCs w:val="28"/>
        </w:rPr>
      </w:pPr>
      <w:r>
        <w:rPr>
          <w:rFonts w:hint="eastAsia" w:ascii="宋体" w:hAnsi="宋体" w:cs="宋体"/>
          <w:kern w:val="0"/>
          <w:sz w:val="28"/>
          <w:szCs w:val="28"/>
        </w:rPr>
        <w:t>附件3-10 ：总得分汇总表</w:t>
      </w:r>
    </w:p>
    <w:p>
      <w:pPr>
        <w:pStyle w:val="7"/>
        <w:jc w:val="center"/>
        <w:rPr>
          <w:rFonts w:ascii="黑体" w:hAnsi="黑体" w:eastAsia="黑体" w:cs="宋体"/>
          <w:b/>
          <w:bCs/>
          <w:kern w:val="0"/>
          <w:sz w:val="32"/>
          <w:szCs w:val="32"/>
        </w:rPr>
      </w:pPr>
      <w:r>
        <w:rPr>
          <w:rFonts w:hint="eastAsia" w:ascii="黑体" w:hAnsi="黑体" w:eastAsia="黑体" w:cs="宋体"/>
          <w:b/>
          <w:bCs/>
          <w:kern w:val="0"/>
          <w:sz w:val="32"/>
          <w:szCs w:val="32"/>
        </w:rPr>
        <w:t xml:space="preserve"> </w:t>
      </w:r>
      <w:r>
        <w:rPr>
          <w:rFonts w:hint="eastAsia" w:ascii="黑体" w:hAnsi="黑体" w:eastAsia="黑体" w:cs="宋体"/>
          <w:b/>
          <w:bCs/>
          <w:kern w:val="0"/>
          <w:sz w:val="32"/>
          <w:szCs w:val="32"/>
          <w:u w:val="single"/>
        </w:rPr>
        <w:t xml:space="preserve">  </w:t>
      </w:r>
      <w:r>
        <w:rPr>
          <w:rFonts w:ascii="黑体" w:hAnsi="黑体" w:eastAsia="黑体" w:cs="宋体"/>
          <w:b/>
          <w:bCs/>
          <w:kern w:val="0"/>
          <w:sz w:val="32"/>
          <w:szCs w:val="32"/>
          <w:u w:val="single"/>
        </w:rPr>
        <w:t xml:space="preserve">    </w:t>
      </w:r>
      <w:r>
        <w:rPr>
          <w:rFonts w:hint="eastAsia" w:ascii="黑体" w:hAnsi="黑体" w:eastAsia="黑体" w:cs="宋体"/>
          <w:b/>
          <w:bCs/>
          <w:kern w:val="0"/>
          <w:sz w:val="32"/>
          <w:szCs w:val="32"/>
          <w:u w:val="single"/>
        </w:rPr>
        <w:t xml:space="preserve">      </w:t>
      </w:r>
      <w:r>
        <w:rPr>
          <w:rFonts w:hint="eastAsia" w:ascii="黑体" w:hAnsi="黑体" w:eastAsia="黑体" w:cs="宋体"/>
          <w:b/>
          <w:bCs/>
          <w:kern w:val="0"/>
          <w:sz w:val="32"/>
          <w:szCs w:val="32"/>
        </w:rPr>
        <w:t>代建单位招标－－总得分汇总表</w:t>
      </w:r>
    </w:p>
    <w:p>
      <w:pPr>
        <w:jc w:val="center"/>
      </w:pPr>
    </w:p>
    <w:p/>
    <w:tbl>
      <w:tblPr>
        <w:tblStyle w:val="22"/>
        <w:tblW w:w="4993" w:type="pct"/>
        <w:tblInd w:w="0" w:type="dxa"/>
        <w:tblLayout w:type="autofit"/>
        <w:tblCellMar>
          <w:top w:w="0" w:type="dxa"/>
          <w:left w:w="0" w:type="dxa"/>
          <w:bottom w:w="0" w:type="dxa"/>
          <w:right w:w="0" w:type="dxa"/>
        </w:tblCellMar>
      </w:tblPr>
      <w:tblGrid>
        <w:gridCol w:w="418"/>
        <w:gridCol w:w="1725"/>
        <w:gridCol w:w="860"/>
        <w:gridCol w:w="661"/>
        <w:gridCol w:w="1125"/>
        <w:gridCol w:w="772"/>
        <w:gridCol w:w="913"/>
        <w:gridCol w:w="762"/>
        <w:gridCol w:w="873"/>
        <w:gridCol w:w="886"/>
        <w:gridCol w:w="937"/>
        <w:gridCol w:w="687"/>
        <w:gridCol w:w="849"/>
        <w:gridCol w:w="1046"/>
        <w:gridCol w:w="735"/>
      </w:tblGrid>
      <w:tr>
        <w:tblPrEx>
          <w:tblCellMar>
            <w:top w:w="0" w:type="dxa"/>
            <w:left w:w="0" w:type="dxa"/>
            <w:bottom w:w="0" w:type="dxa"/>
            <w:right w:w="0" w:type="dxa"/>
          </w:tblCellMar>
        </w:tblPrEx>
        <w:trPr>
          <w:trHeight w:val="855"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序号</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投标人</w:t>
            </w: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项目管理总得分</w:t>
            </w: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kern w:val="0"/>
                <w:sz w:val="18"/>
                <w:szCs w:val="18"/>
                <w:lang w:eastAsia="zh-CN"/>
              </w:rPr>
            </w:pPr>
            <w:r>
              <w:rPr>
                <w:rFonts w:hint="eastAsia" w:ascii="宋体" w:hAnsi="宋体" w:cs="宋体"/>
                <w:kern w:val="0"/>
                <w:sz w:val="18"/>
                <w:szCs w:val="18"/>
              </w:rPr>
              <w:t>权值</w:t>
            </w:r>
          </w:p>
          <w:p>
            <w:pPr>
              <w:widowControl/>
              <w:jc w:val="center"/>
              <w:textAlignment w:val="center"/>
              <w:rPr>
                <w:rFonts w:ascii="宋体" w:hAnsi="宋体" w:cs="宋体"/>
                <w:sz w:val="18"/>
                <w:szCs w:val="18"/>
              </w:rPr>
            </w:pPr>
            <w:r>
              <w:rPr>
                <w:rFonts w:hint="eastAsia" w:ascii="宋体" w:hAnsi="宋体" w:cs="宋体"/>
                <w:kern w:val="0"/>
                <w:sz w:val="18"/>
                <w:szCs w:val="18"/>
              </w:rPr>
              <w:t>(%)</w:t>
            </w: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可行性研究报告编制总得分</w:t>
            </w: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kern w:val="0"/>
                <w:sz w:val="18"/>
                <w:szCs w:val="18"/>
                <w:lang w:eastAsia="zh-CN"/>
              </w:rPr>
            </w:pPr>
            <w:r>
              <w:rPr>
                <w:rFonts w:hint="eastAsia" w:ascii="宋体" w:hAnsi="宋体" w:cs="宋体"/>
                <w:kern w:val="0"/>
                <w:sz w:val="18"/>
                <w:szCs w:val="18"/>
              </w:rPr>
              <w:t>权值</w:t>
            </w:r>
          </w:p>
          <w:p>
            <w:pPr>
              <w:widowControl/>
              <w:jc w:val="center"/>
              <w:textAlignment w:val="center"/>
              <w:rPr>
                <w:rFonts w:ascii="宋体" w:hAnsi="宋体" w:cs="宋体"/>
                <w:sz w:val="18"/>
                <w:szCs w:val="18"/>
              </w:rPr>
            </w:pPr>
            <w:r>
              <w:rPr>
                <w:rFonts w:hint="eastAsia" w:ascii="宋体" w:hAnsi="宋体" w:cs="宋体"/>
                <w:kern w:val="0"/>
                <w:sz w:val="18"/>
                <w:szCs w:val="18"/>
              </w:rPr>
              <w:t>(%)</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勘察总得分</w:t>
            </w: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kern w:val="0"/>
                <w:sz w:val="18"/>
                <w:szCs w:val="18"/>
                <w:lang w:eastAsia="zh-CN"/>
              </w:rPr>
            </w:pPr>
            <w:r>
              <w:rPr>
                <w:rFonts w:hint="eastAsia" w:ascii="宋体" w:hAnsi="宋体" w:cs="宋体"/>
                <w:kern w:val="0"/>
                <w:sz w:val="18"/>
                <w:szCs w:val="18"/>
              </w:rPr>
              <w:t>权值</w:t>
            </w:r>
          </w:p>
          <w:p>
            <w:pPr>
              <w:widowControl/>
              <w:jc w:val="center"/>
              <w:textAlignment w:val="center"/>
              <w:rPr>
                <w:rFonts w:ascii="宋体" w:hAnsi="宋体" w:cs="宋体"/>
                <w:sz w:val="18"/>
                <w:szCs w:val="18"/>
              </w:rPr>
            </w:pPr>
            <w:r>
              <w:rPr>
                <w:rFonts w:hint="eastAsia" w:ascii="宋体" w:hAnsi="宋体" w:cs="宋体"/>
                <w:kern w:val="0"/>
                <w:sz w:val="18"/>
                <w:szCs w:val="18"/>
              </w:rPr>
              <w:t>(%)</w:t>
            </w: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造价咨询总得分</w:t>
            </w: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kern w:val="0"/>
                <w:sz w:val="18"/>
                <w:szCs w:val="18"/>
                <w:lang w:eastAsia="zh-CN"/>
              </w:rPr>
            </w:pPr>
            <w:r>
              <w:rPr>
                <w:rFonts w:hint="eastAsia" w:ascii="宋体" w:hAnsi="宋体" w:cs="宋体"/>
                <w:kern w:val="0"/>
                <w:sz w:val="18"/>
                <w:szCs w:val="18"/>
              </w:rPr>
              <w:t>权值</w:t>
            </w:r>
          </w:p>
          <w:p>
            <w:pPr>
              <w:widowControl/>
              <w:jc w:val="center"/>
              <w:textAlignment w:val="center"/>
              <w:rPr>
                <w:rFonts w:ascii="宋体" w:hAnsi="宋体" w:cs="宋体"/>
                <w:sz w:val="18"/>
                <w:szCs w:val="18"/>
              </w:rPr>
            </w:pPr>
            <w:r>
              <w:rPr>
                <w:rFonts w:hint="eastAsia" w:ascii="宋体" w:hAnsi="宋体" w:cs="宋体"/>
                <w:kern w:val="0"/>
                <w:sz w:val="18"/>
                <w:szCs w:val="18"/>
              </w:rPr>
              <w:t>(%)</w:t>
            </w: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招标代理总得分</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kern w:val="0"/>
                <w:sz w:val="18"/>
                <w:szCs w:val="18"/>
                <w:lang w:eastAsia="zh-CN"/>
              </w:rPr>
            </w:pPr>
            <w:r>
              <w:rPr>
                <w:rFonts w:hint="eastAsia" w:ascii="宋体" w:hAnsi="宋体" w:cs="宋体"/>
                <w:kern w:val="0"/>
                <w:sz w:val="18"/>
                <w:szCs w:val="18"/>
              </w:rPr>
              <w:t>权值</w:t>
            </w:r>
          </w:p>
          <w:p>
            <w:pPr>
              <w:widowControl/>
              <w:jc w:val="center"/>
              <w:textAlignment w:val="center"/>
              <w:rPr>
                <w:rFonts w:ascii="宋体" w:hAnsi="宋体" w:cs="宋体"/>
                <w:sz w:val="18"/>
                <w:szCs w:val="18"/>
              </w:rPr>
            </w:pPr>
            <w:r>
              <w:rPr>
                <w:rFonts w:hint="eastAsia" w:ascii="宋体" w:hAnsi="宋体" w:cs="宋体"/>
                <w:kern w:val="0"/>
                <w:sz w:val="18"/>
                <w:szCs w:val="18"/>
              </w:rPr>
              <w:t>(%)</w:t>
            </w: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监管评价等级得分</w:t>
            </w: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汇总得分（满分102分）</w:t>
            </w: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排名</w:t>
            </w:r>
          </w:p>
        </w:tc>
      </w:tr>
      <w:tr>
        <w:tblPrEx>
          <w:tblCellMar>
            <w:top w:w="0" w:type="dxa"/>
            <w:left w:w="0" w:type="dxa"/>
            <w:bottom w:w="0" w:type="dxa"/>
            <w:right w:w="0" w:type="dxa"/>
          </w:tblCellMar>
        </w:tblPrEx>
        <w:trPr>
          <w:trHeight w:val="42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2"/>
                <w:szCs w:val="22"/>
              </w:rPr>
            </w:pP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r>
      <w:tr>
        <w:tblPrEx>
          <w:tblCellMar>
            <w:top w:w="0" w:type="dxa"/>
            <w:left w:w="0" w:type="dxa"/>
            <w:bottom w:w="0" w:type="dxa"/>
            <w:right w:w="0" w:type="dxa"/>
          </w:tblCellMar>
        </w:tblPrEx>
        <w:trPr>
          <w:trHeight w:val="42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2"/>
                <w:szCs w:val="22"/>
              </w:rPr>
            </w:pP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r>
      <w:tr>
        <w:tblPrEx>
          <w:tblCellMar>
            <w:top w:w="0" w:type="dxa"/>
            <w:left w:w="0" w:type="dxa"/>
            <w:bottom w:w="0" w:type="dxa"/>
            <w:right w:w="0" w:type="dxa"/>
          </w:tblCellMar>
        </w:tblPrEx>
        <w:trPr>
          <w:trHeight w:val="42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2"/>
                <w:szCs w:val="22"/>
              </w:rPr>
            </w:pP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r>
      <w:tr>
        <w:tblPrEx>
          <w:tblCellMar>
            <w:top w:w="0" w:type="dxa"/>
            <w:left w:w="0" w:type="dxa"/>
            <w:bottom w:w="0" w:type="dxa"/>
            <w:right w:w="0" w:type="dxa"/>
          </w:tblCellMar>
        </w:tblPrEx>
        <w:trPr>
          <w:trHeight w:val="42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2"/>
                <w:szCs w:val="22"/>
              </w:rPr>
            </w:pP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r>
      <w:tr>
        <w:tblPrEx>
          <w:tblCellMar>
            <w:top w:w="0" w:type="dxa"/>
            <w:left w:w="0" w:type="dxa"/>
            <w:bottom w:w="0" w:type="dxa"/>
            <w:right w:w="0" w:type="dxa"/>
          </w:tblCellMar>
        </w:tblPrEx>
        <w:trPr>
          <w:trHeight w:val="42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2"/>
                <w:szCs w:val="22"/>
              </w:rPr>
            </w:pP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r>
      <w:tr>
        <w:tblPrEx>
          <w:tblCellMar>
            <w:top w:w="0" w:type="dxa"/>
            <w:left w:w="0" w:type="dxa"/>
            <w:bottom w:w="0" w:type="dxa"/>
            <w:right w:w="0" w:type="dxa"/>
          </w:tblCellMar>
        </w:tblPrEx>
        <w:trPr>
          <w:trHeight w:val="42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2"/>
                <w:szCs w:val="22"/>
              </w:rPr>
            </w:pP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r>
      <w:tr>
        <w:tblPrEx>
          <w:tblCellMar>
            <w:top w:w="0" w:type="dxa"/>
            <w:left w:w="0" w:type="dxa"/>
            <w:bottom w:w="0" w:type="dxa"/>
            <w:right w:w="0" w:type="dxa"/>
          </w:tblCellMar>
        </w:tblPrEx>
        <w:trPr>
          <w:trHeight w:val="42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2"/>
                <w:szCs w:val="22"/>
              </w:rPr>
            </w:pP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r>
      <w:tr>
        <w:tblPrEx>
          <w:tblCellMar>
            <w:top w:w="0" w:type="dxa"/>
            <w:left w:w="0" w:type="dxa"/>
            <w:bottom w:w="0" w:type="dxa"/>
            <w:right w:w="0" w:type="dxa"/>
          </w:tblCellMar>
        </w:tblPrEx>
        <w:trPr>
          <w:trHeight w:val="42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2"/>
                <w:szCs w:val="22"/>
              </w:rPr>
            </w:pP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r>
      <w:tr>
        <w:tblPrEx>
          <w:tblCellMar>
            <w:top w:w="0" w:type="dxa"/>
            <w:left w:w="0" w:type="dxa"/>
            <w:bottom w:w="0" w:type="dxa"/>
            <w:right w:w="0" w:type="dxa"/>
          </w:tblCellMar>
        </w:tblPrEx>
        <w:trPr>
          <w:trHeight w:val="42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2"/>
                <w:szCs w:val="22"/>
              </w:rPr>
            </w:pP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r>
      <w:tr>
        <w:tblPrEx>
          <w:tblCellMar>
            <w:top w:w="0" w:type="dxa"/>
            <w:left w:w="0" w:type="dxa"/>
            <w:bottom w:w="0" w:type="dxa"/>
            <w:right w:w="0" w:type="dxa"/>
          </w:tblCellMar>
        </w:tblPrEx>
        <w:trPr>
          <w:trHeight w:val="42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2"/>
                <w:szCs w:val="22"/>
              </w:rPr>
            </w:pP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r>
      <w:tr>
        <w:tblPrEx>
          <w:tblCellMar>
            <w:top w:w="0" w:type="dxa"/>
            <w:left w:w="0" w:type="dxa"/>
            <w:bottom w:w="0" w:type="dxa"/>
            <w:right w:w="0" w:type="dxa"/>
          </w:tblCellMar>
        </w:tblPrEx>
        <w:trPr>
          <w:trHeight w:val="42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2"/>
                <w:szCs w:val="22"/>
              </w:rPr>
            </w:pP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r>
    </w:tbl>
    <w:p>
      <w:pPr>
        <w:pStyle w:val="7"/>
        <w:spacing w:line="360" w:lineRule="auto"/>
        <w:rPr>
          <w:sz w:val="18"/>
          <w:szCs w:val="18"/>
        </w:rPr>
      </w:pPr>
      <w:r>
        <w:rPr>
          <w:rFonts w:hint="eastAsia"/>
          <w:sz w:val="18"/>
          <w:szCs w:val="18"/>
        </w:rPr>
        <w:t>备注</w:t>
      </w:r>
      <w:r>
        <w:rPr>
          <w:sz w:val="18"/>
          <w:szCs w:val="18"/>
        </w:rPr>
        <w:t>：所有得分小数</w:t>
      </w:r>
      <w:r>
        <w:rPr>
          <w:rFonts w:hint="eastAsia"/>
          <w:sz w:val="18"/>
          <w:szCs w:val="18"/>
        </w:rPr>
        <w:t>点</w:t>
      </w:r>
      <w:r>
        <w:rPr>
          <w:sz w:val="18"/>
          <w:szCs w:val="18"/>
        </w:rPr>
        <w:t>后保留两位，第三位四舍五入。</w:t>
      </w:r>
    </w:p>
    <w:p>
      <w:pPr>
        <w:pStyle w:val="7"/>
        <w:jc w:val="left"/>
        <w:rPr>
          <w:sz w:val="21"/>
          <w:szCs w:val="21"/>
        </w:rPr>
      </w:pPr>
      <w:r>
        <w:rPr>
          <w:rFonts w:hint="eastAsia" w:ascii="宋体" w:hAnsi="宋体" w:cs="宋体"/>
          <w:kern w:val="0"/>
          <w:sz w:val="21"/>
          <w:szCs w:val="21"/>
        </w:rPr>
        <w:t xml:space="preserve">评标委员会全体成员签字：                                                                                   </w:t>
      </w: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 年   月   </w:t>
      </w:r>
      <w:r>
        <w:rPr>
          <w:rFonts w:ascii="宋体" w:hAnsi="宋体" w:cs="宋体"/>
          <w:kern w:val="0"/>
          <w:sz w:val="21"/>
          <w:szCs w:val="21"/>
        </w:rPr>
        <w:t>日</w:t>
      </w:r>
    </w:p>
    <w:p>
      <w:pPr>
        <w:pStyle w:val="33"/>
      </w:pPr>
      <w:r>
        <w:rPr>
          <w:rFonts w:hint="eastAsia"/>
        </w:rPr>
        <w:br w:type="page"/>
      </w:r>
    </w:p>
    <w:p>
      <w:pPr>
        <w:pStyle w:val="33"/>
        <w:rPr>
          <w:sz w:val="28"/>
          <w:szCs w:val="28"/>
        </w:rPr>
      </w:pPr>
      <w:r>
        <w:rPr>
          <w:rFonts w:hint="eastAsia"/>
          <w:sz w:val="28"/>
          <w:szCs w:val="28"/>
        </w:rPr>
        <w:t>附表3-11评标结果</w:t>
      </w:r>
    </w:p>
    <w:p>
      <w:pPr>
        <w:pStyle w:val="33"/>
        <w:jc w:val="center"/>
        <w:rPr>
          <w:rFonts w:ascii="黑体" w:hAnsi="黑体" w:eastAsia="黑体" w:cs="宋体"/>
          <w:b/>
          <w:bCs/>
          <w:kern w:val="0"/>
          <w:sz w:val="32"/>
          <w:szCs w:val="32"/>
        </w:rPr>
      </w:pPr>
      <w:r>
        <w:rPr>
          <w:rFonts w:hint="eastAsia" w:ascii="黑体" w:hAnsi="黑体" w:eastAsia="黑体" w:cs="宋体"/>
          <w:b/>
          <w:bCs/>
          <w:kern w:val="0"/>
          <w:sz w:val="32"/>
          <w:szCs w:val="32"/>
        </w:rPr>
        <w:t xml:space="preserve"> </w:t>
      </w:r>
      <w:r>
        <w:rPr>
          <w:rFonts w:hint="eastAsia" w:ascii="黑体" w:hAnsi="黑体" w:eastAsia="黑体" w:cs="宋体"/>
          <w:b/>
          <w:bCs/>
          <w:kern w:val="0"/>
          <w:sz w:val="32"/>
          <w:szCs w:val="32"/>
          <w:u w:val="single"/>
        </w:rPr>
        <w:t xml:space="preserve">  </w:t>
      </w:r>
      <w:r>
        <w:rPr>
          <w:rFonts w:ascii="黑体" w:hAnsi="黑体" w:eastAsia="黑体" w:cs="宋体"/>
          <w:b/>
          <w:bCs/>
          <w:kern w:val="0"/>
          <w:sz w:val="32"/>
          <w:szCs w:val="32"/>
          <w:u w:val="single"/>
        </w:rPr>
        <w:t xml:space="preserve">    </w:t>
      </w:r>
      <w:r>
        <w:rPr>
          <w:rFonts w:hint="eastAsia" w:ascii="黑体" w:hAnsi="黑体" w:eastAsia="黑体" w:cs="宋体"/>
          <w:b/>
          <w:bCs/>
          <w:kern w:val="0"/>
          <w:sz w:val="32"/>
          <w:szCs w:val="32"/>
          <w:u w:val="single"/>
        </w:rPr>
        <w:t xml:space="preserve">      </w:t>
      </w:r>
      <w:r>
        <w:rPr>
          <w:rFonts w:hint="eastAsia" w:ascii="黑体" w:hAnsi="黑体" w:eastAsia="黑体" w:cs="宋体"/>
          <w:b/>
          <w:bCs/>
          <w:kern w:val="0"/>
          <w:sz w:val="32"/>
          <w:szCs w:val="32"/>
        </w:rPr>
        <w:t>代建单位招标</w:t>
      </w:r>
    </w:p>
    <w:p>
      <w:pPr>
        <w:pStyle w:val="33"/>
        <w:jc w:val="center"/>
        <w:rPr>
          <w:b/>
          <w:bCs/>
          <w:sz w:val="32"/>
          <w:szCs w:val="32"/>
        </w:rPr>
      </w:pPr>
      <w:r>
        <w:rPr>
          <w:b/>
          <w:sz w:val="32"/>
          <w:szCs w:val="32"/>
        </w:rPr>
        <w:t>评标结果</w:t>
      </w:r>
    </w:p>
    <w:p>
      <w:pPr>
        <w:pStyle w:val="33"/>
        <w:rPr>
          <w:rFonts w:ascii="宋体" w:hAnsi="宋体" w:cs="宋体"/>
        </w:rPr>
      </w:pPr>
      <w:r>
        <w:rPr>
          <w:rFonts w:hint="eastAsia" w:ascii="宋体" w:hAnsi="宋体" w:cs="宋体"/>
        </w:rPr>
        <w:t>项目名称：</w:t>
      </w:r>
    </w:p>
    <w:tbl>
      <w:tblPr>
        <w:tblStyle w:val="22"/>
        <w:tblW w:w="4998" w:type="pct"/>
        <w:tblInd w:w="0" w:type="dxa"/>
        <w:tblLayout w:type="autofit"/>
        <w:tblCellMar>
          <w:top w:w="0" w:type="dxa"/>
          <w:left w:w="108" w:type="dxa"/>
          <w:bottom w:w="0" w:type="dxa"/>
          <w:right w:w="108" w:type="dxa"/>
        </w:tblCellMar>
      </w:tblPr>
      <w:tblGrid>
        <w:gridCol w:w="732"/>
        <w:gridCol w:w="1697"/>
        <w:gridCol w:w="1315"/>
        <w:gridCol w:w="1875"/>
        <w:gridCol w:w="1296"/>
        <w:gridCol w:w="1496"/>
        <w:gridCol w:w="1496"/>
        <w:gridCol w:w="1221"/>
        <w:gridCol w:w="1404"/>
        <w:gridCol w:w="917"/>
      </w:tblGrid>
      <w:tr>
        <w:tblPrEx>
          <w:tblCellMar>
            <w:top w:w="0" w:type="dxa"/>
            <w:left w:w="108" w:type="dxa"/>
            <w:bottom w:w="0" w:type="dxa"/>
            <w:right w:w="108" w:type="dxa"/>
          </w:tblCellMar>
        </w:tblPrEx>
        <w:trPr>
          <w:trHeight w:val="739" w:hRule="atLeast"/>
        </w:trPr>
        <w:tc>
          <w:tcPr>
            <w:tcW w:w="272" w:type="pct"/>
            <w:tcBorders>
              <w:top w:val="single" w:color="auto" w:sz="4" w:space="0"/>
              <w:left w:val="single" w:color="auto" w:sz="4" w:space="0"/>
              <w:bottom w:val="single" w:color="auto" w:sz="4" w:space="0"/>
              <w:right w:val="single" w:color="auto" w:sz="4" w:space="0"/>
            </w:tcBorders>
            <w:vAlign w:val="center"/>
          </w:tcPr>
          <w:p>
            <w:pPr>
              <w:jc w:val="center"/>
            </w:pPr>
            <w:r>
              <w:t>序号</w:t>
            </w:r>
          </w:p>
        </w:tc>
        <w:tc>
          <w:tcPr>
            <w:tcW w:w="631" w:type="pct"/>
            <w:tcBorders>
              <w:top w:val="single" w:color="auto" w:sz="4" w:space="0"/>
              <w:left w:val="single" w:color="auto" w:sz="4" w:space="0"/>
              <w:bottom w:val="single" w:color="auto" w:sz="4" w:space="0"/>
              <w:right w:val="single" w:color="auto" w:sz="4" w:space="0"/>
            </w:tcBorders>
            <w:vAlign w:val="center"/>
          </w:tcPr>
          <w:p>
            <w:pPr>
              <w:jc w:val="center"/>
            </w:pPr>
            <w:r>
              <w:t>投标人</w:t>
            </w:r>
          </w:p>
        </w:tc>
        <w:tc>
          <w:tcPr>
            <w:tcW w:w="489"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项目管理</w:t>
            </w:r>
          </w:p>
          <w:p>
            <w:pPr>
              <w:jc w:val="center"/>
            </w:pPr>
            <w:r>
              <w:rPr>
                <w:rFonts w:hint="eastAsia"/>
              </w:rPr>
              <w:t>报价</w:t>
            </w:r>
          </w:p>
          <w:p>
            <w:pPr>
              <w:jc w:val="center"/>
            </w:pPr>
            <w:r>
              <w:rPr>
                <w:rFonts w:hint="eastAsia"/>
              </w:rPr>
              <w:t>（下浮%）</w:t>
            </w:r>
          </w:p>
        </w:tc>
        <w:tc>
          <w:tcPr>
            <w:tcW w:w="69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可行性研究报告编制报价</w:t>
            </w:r>
          </w:p>
          <w:p>
            <w:pPr>
              <w:jc w:val="center"/>
            </w:pPr>
            <w:r>
              <w:rPr>
                <w:rFonts w:hint="eastAsia"/>
              </w:rPr>
              <w:t>（下浮%）</w:t>
            </w:r>
          </w:p>
        </w:tc>
        <w:tc>
          <w:tcPr>
            <w:tcW w:w="48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勘察报价（下浮%）</w:t>
            </w:r>
          </w:p>
        </w:tc>
        <w:tc>
          <w:tcPr>
            <w:tcW w:w="556"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招标代理报价（下浮%）</w:t>
            </w:r>
          </w:p>
        </w:tc>
        <w:tc>
          <w:tcPr>
            <w:tcW w:w="556"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造价咨询报价（下浮%）</w:t>
            </w:r>
          </w:p>
        </w:tc>
        <w:tc>
          <w:tcPr>
            <w:tcW w:w="454"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服务周期</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得分</w:t>
            </w:r>
          </w:p>
        </w:tc>
        <w:tc>
          <w:tcPr>
            <w:tcW w:w="34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排名</w:t>
            </w:r>
          </w:p>
        </w:tc>
      </w:tr>
      <w:tr>
        <w:tblPrEx>
          <w:tblCellMar>
            <w:top w:w="0" w:type="dxa"/>
            <w:left w:w="108" w:type="dxa"/>
            <w:bottom w:w="0" w:type="dxa"/>
            <w:right w:w="108" w:type="dxa"/>
          </w:tblCellMar>
        </w:tblPrEx>
        <w:trPr>
          <w:trHeight w:val="739" w:hRule="atLeast"/>
        </w:trPr>
        <w:tc>
          <w:tcPr>
            <w:tcW w:w="272"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631"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489"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697"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482"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454"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522"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341"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r>
      <w:tr>
        <w:tblPrEx>
          <w:tblCellMar>
            <w:top w:w="0" w:type="dxa"/>
            <w:left w:w="108" w:type="dxa"/>
            <w:bottom w:w="0" w:type="dxa"/>
            <w:right w:w="108" w:type="dxa"/>
          </w:tblCellMar>
        </w:tblPrEx>
        <w:trPr>
          <w:trHeight w:val="739" w:hRule="atLeast"/>
        </w:trPr>
        <w:tc>
          <w:tcPr>
            <w:tcW w:w="272"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631"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489"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697"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482"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454"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522"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341"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r>
      <w:tr>
        <w:tblPrEx>
          <w:tblCellMar>
            <w:top w:w="0" w:type="dxa"/>
            <w:left w:w="108" w:type="dxa"/>
            <w:bottom w:w="0" w:type="dxa"/>
            <w:right w:w="108" w:type="dxa"/>
          </w:tblCellMar>
        </w:tblPrEx>
        <w:trPr>
          <w:trHeight w:val="739" w:hRule="atLeast"/>
        </w:trPr>
        <w:tc>
          <w:tcPr>
            <w:tcW w:w="272"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631"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489"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697"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482"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454"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522"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341"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r>
      <w:tr>
        <w:tblPrEx>
          <w:tblCellMar>
            <w:top w:w="0" w:type="dxa"/>
            <w:left w:w="108" w:type="dxa"/>
            <w:bottom w:w="0" w:type="dxa"/>
            <w:right w:w="108" w:type="dxa"/>
          </w:tblCellMar>
        </w:tblPrEx>
        <w:trPr>
          <w:trHeight w:val="739" w:hRule="atLeast"/>
        </w:trPr>
        <w:tc>
          <w:tcPr>
            <w:tcW w:w="272"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631"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489"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697"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482"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454"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522"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341"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r>
      <w:tr>
        <w:tblPrEx>
          <w:tblCellMar>
            <w:top w:w="0" w:type="dxa"/>
            <w:left w:w="108" w:type="dxa"/>
            <w:bottom w:w="0" w:type="dxa"/>
            <w:right w:w="108" w:type="dxa"/>
          </w:tblCellMar>
        </w:tblPrEx>
        <w:trPr>
          <w:trHeight w:val="739" w:hRule="atLeast"/>
        </w:trPr>
        <w:tc>
          <w:tcPr>
            <w:tcW w:w="272"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631"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489"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697"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482"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454"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522"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341"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r>
      <w:tr>
        <w:tblPrEx>
          <w:tblCellMar>
            <w:top w:w="0" w:type="dxa"/>
            <w:left w:w="108" w:type="dxa"/>
            <w:bottom w:w="0" w:type="dxa"/>
            <w:right w:w="108" w:type="dxa"/>
          </w:tblCellMar>
        </w:tblPrEx>
        <w:trPr>
          <w:trHeight w:val="739" w:hRule="atLeast"/>
        </w:trPr>
        <w:tc>
          <w:tcPr>
            <w:tcW w:w="272"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631"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489"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697"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482"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454"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522"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341"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r>
      <w:tr>
        <w:tblPrEx>
          <w:tblCellMar>
            <w:top w:w="0" w:type="dxa"/>
            <w:left w:w="108" w:type="dxa"/>
            <w:bottom w:w="0" w:type="dxa"/>
            <w:right w:w="108" w:type="dxa"/>
          </w:tblCellMar>
        </w:tblPrEx>
        <w:trPr>
          <w:trHeight w:val="739" w:hRule="atLeast"/>
        </w:trPr>
        <w:tc>
          <w:tcPr>
            <w:tcW w:w="272"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631"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489"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697"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482"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454"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522"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c>
          <w:tcPr>
            <w:tcW w:w="341" w:type="pct"/>
            <w:tcBorders>
              <w:top w:val="single" w:color="auto" w:sz="4" w:space="0"/>
              <w:left w:val="single" w:color="auto" w:sz="4" w:space="0"/>
              <w:bottom w:val="single" w:color="auto" w:sz="4" w:space="0"/>
              <w:right w:val="single" w:color="auto" w:sz="4" w:space="0"/>
            </w:tcBorders>
          </w:tcPr>
          <w:p>
            <w:pPr>
              <w:pStyle w:val="33"/>
              <w:rPr>
                <w:rFonts w:ascii="宋体" w:hAnsi="宋体"/>
              </w:rPr>
            </w:pPr>
          </w:p>
        </w:tc>
      </w:tr>
    </w:tbl>
    <w:p>
      <w:pPr>
        <w:pStyle w:val="33"/>
        <w:rPr>
          <w:bCs/>
          <w:szCs w:val="21"/>
        </w:rPr>
      </w:pPr>
    </w:p>
    <w:p>
      <w:pPr>
        <w:pStyle w:val="33"/>
        <w:rPr>
          <w:bCs/>
          <w:szCs w:val="21"/>
        </w:rPr>
      </w:pPr>
      <w:r>
        <w:rPr>
          <w:rFonts w:hint="eastAsia"/>
          <w:bCs/>
          <w:szCs w:val="21"/>
        </w:rPr>
        <w:t>评标委员会全体成员签字：                                                                                          年   月   日</w:t>
      </w:r>
    </w:p>
    <w:p>
      <w:pPr>
        <w:pStyle w:val="33"/>
        <w:rPr>
          <w:sz w:val="28"/>
          <w:szCs w:val="28"/>
        </w:rPr>
      </w:pPr>
      <w:r>
        <w:rPr>
          <w:rFonts w:hint="eastAsia"/>
          <w:sz w:val="28"/>
          <w:szCs w:val="28"/>
        </w:rPr>
        <w:br w:type="page"/>
      </w:r>
    </w:p>
    <w:p>
      <w:pPr>
        <w:pStyle w:val="33"/>
        <w:rPr>
          <w:sz w:val="28"/>
          <w:szCs w:val="28"/>
        </w:rPr>
      </w:pPr>
      <w:r>
        <w:rPr>
          <w:rFonts w:hint="eastAsia"/>
          <w:sz w:val="28"/>
          <w:szCs w:val="28"/>
        </w:rPr>
        <w:t>附表3-12：评标报告</w:t>
      </w:r>
    </w:p>
    <w:p>
      <w:pPr>
        <w:pStyle w:val="33"/>
        <w:jc w:val="center"/>
        <w:rPr>
          <w:rFonts w:ascii="黑体" w:hAnsi="黑体" w:eastAsia="黑体" w:cs="宋体"/>
          <w:b/>
          <w:bCs/>
          <w:kern w:val="0"/>
          <w:sz w:val="32"/>
          <w:szCs w:val="32"/>
        </w:rPr>
      </w:pPr>
      <w:r>
        <w:rPr>
          <w:rFonts w:hint="eastAsia" w:ascii="黑体" w:hAnsi="黑体" w:eastAsia="黑体" w:cs="宋体"/>
          <w:b/>
          <w:bCs/>
          <w:kern w:val="0"/>
          <w:sz w:val="32"/>
          <w:szCs w:val="32"/>
        </w:rPr>
        <w:t xml:space="preserve"> </w:t>
      </w:r>
      <w:r>
        <w:rPr>
          <w:rFonts w:hint="eastAsia" w:ascii="黑体" w:hAnsi="黑体" w:eastAsia="黑体" w:cs="宋体"/>
          <w:b/>
          <w:bCs/>
          <w:kern w:val="0"/>
          <w:sz w:val="32"/>
          <w:szCs w:val="32"/>
          <w:u w:val="single"/>
        </w:rPr>
        <w:t xml:space="preserve">  </w:t>
      </w:r>
      <w:r>
        <w:rPr>
          <w:rFonts w:ascii="黑体" w:hAnsi="黑体" w:eastAsia="黑体" w:cs="宋体"/>
          <w:b/>
          <w:bCs/>
          <w:kern w:val="0"/>
          <w:sz w:val="32"/>
          <w:szCs w:val="32"/>
          <w:u w:val="single"/>
        </w:rPr>
        <w:t xml:space="preserve">    </w:t>
      </w:r>
      <w:r>
        <w:rPr>
          <w:rFonts w:hint="eastAsia" w:ascii="黑体" w:hAnsi="黑体" w:eastAsia="黑体" w:cs="宋体"/>
          <w:b/>
          <w:bCs/>
          <w:kern w:val="0"/>
          <w:sz w:val="32"/>
          <w:szCs w:val="32"/>
          <w:u w:val="single"/>
        </w:rPr>
        <w:t xml:space="preserve">      </w:t>
      </w:r>
      <w:r>
        <w:rPr>
          <w:rFonts w:hint="eastAsia" w:ascii="黑体" w:hAnsi="黑体" w:eastAsia="黑体" w:cs="宋体"/>
          <w:b/>
          <w:bCs/>
          <w:kern w:val="0"/>
          <w:sz w:val="32"/>
          <w:szCs w:val="32"/>
        </w:rPr>
        <w:t>代建单位招标</w:t>
      </w:r>
    </w:p>
    <w:p>
      <w:pPr>
        <w:pStyle w:val="33"/>
        <w:jc w:val="center"/>
        <w:rPr>
          <w:b/>
          <w:bCs/>
        </w:rPr>
      </w:pPr>
      <w:r>
        <w:rPr>
          <w:rFonts w:hint="eastAsia"/>
          <w:b/>
          <w:bCs/>
          <w:sz w:val="32"/>
          <w:szCs w:val="32"/>
        </w:rPr>
        <w:t>评标报告</w:t>
      </w:r>
    </w:p>
    <w:p>
      <w:pPr>
        <w:pStyle w:val="33"/>
        <w:rPr>
          <w:rFonts w:ascii="宋体" w:hAnsi="宋体" w:cs="宋体"/>
          <w:sz w:val="24"/>
          <w:szCs w:val="24"/>
        </w:rPr>
      </w:pPr>
      <w:r>
        <w:rPr>
          <w:rFonts w:hint="eastAsia" w:ascii="宋体" w:hAnsi="宋体" w:cs="宋体"/>
          <w:sz w:val="24"/>
          <w:szCs w:val="24"/>
        </w:rPr>
        <w:t>一、招标人：</w:t>
      </w:r>
    </w:p>
    <w:p>
      <w:pPr>
        <w:pStyle w:val="33"/>
        <w:rPr>
          <w:rFonts w:ascii="宋体" w:hAnsi="宋体" w:cs="宋体"/>
          <w:sz w:val="24"/>
          <w:szCs w:val="24"/>
        </w:rPr>
      </w:pPr>
      <w:r>
        <w:rPr>
          <w:rFonts w:hint="eastAsia" w:ascii="宋体" w:hAnsi="宋体" w:cs="宋体"/>
          <w:sz w:val="24"/>
          <w:szCs w:val="24"/>
        </w:rPr>
        <w:t>二、招标代理机构：</w:t>
      </w:r>
    </w:p>
    <w:p>
      <w:pPr>
        <w:pStyle w:val="33"/>
        <w:rPr>
          <w:rFonts w:ascii="宋体" w:hAnsi="宋体" w:cs="宋体"/>
          <w:sz w:val="24"/>
          <w:szCs w:val="24"/>
        </w:rPr>
      </w:pPr>
      <w:r>
        <w:rPr>
          <w:rFonts w:hint="eastAsia" w:ascii="宋体" w:hAnsi="宋体" w:cs="宋体"/>
          <w:sz w:val="24"/>
          <w:szCs w:val="24"/>
        </w:rPr>
        <w:t>三、项目名称：</w:t>
      </w:r>
    </w:p>
    <w:p>
      <w:pPr>
        <w:pStyle w:val="33"/>
        <w:rPr>
          <w:rFonts w:ascii="宋体" w:hAnsi="宋体" w:cs="宋体"/>
          <w:sz w:val="24"/>
          <w:szCs w:val="24"/>
        </w:rPr>
      </w:pPr>
      <w:r>
        <w:rPr>
          <w:rFonts w:hint="eastAsia" w:ascii="宋体" w:hAnsi="宋体" w:cs="宋体"/>
          <w:sz w:val="24"/>
          <w:szCs w:val="24"/>
        </w:rPr>
        <w:t>本次参加投标单位</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家，有效投标单位</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家。根据招标文件要求，经评标委员会评审，推荐</w:t>
      </w:r>
      <w:r>
        <w:rPr>
          <w:rFonts w:ascii="宋体" w:hAnsi="宋体" w:cs="宋体"/>
          <w:sz w:val="24"/>
          <w:szCs w:val="24"/>
        </w:rPr>
        <w:t>三名候选人</w:t>
      </w:r>
      <w:r>
        <w:rPr>
          <w:rFonts w:hint="eastAsia" w:ascii="宋体" w:hAnsi="宋体" w:cs="宋体"/>
          <w:sz w:val="24"/>
          <w:szCs w:val="24"/>
        </w:rPr>
        <w:t>如下：</w:t>
      </w:r>
    </w:p>
    <w:p>
      <w:pPr>
        <w:pStyle w:val="33"/>
        <w:rPr>
          <w:rFonts w:ascii="宋体" w:hAnsi="宋体" w:cs="宋体"/>
          <w:sz w:val="24"/>
          <w:szCs w:val="24"/>
        </w:rPr>
      </w:pPr>
    </w:p>
    <w:tbl>
      <w:tblPr>
        <w:tblStyle w:val="22"/>
        <w:tblW w:w="12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35"/>
        <w:gridCol w:w="1529"/>
        <w:gridCol w:w="1530"/>
        <w:gridCol w:w="1530"/>
        <w:gridCol w:w="1530"/>
        <w:gridCol w:w="1530"/>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93" w:type="dxa"/>
            <w:vAlign w:val="center"/>
          </w:tcPr>
          <w:p>
            <w:pPr>
              <w:pStyle w:val="33"/>
              <w:jc w:val="center"/>
              <w:rPr>
                <w:rFonts w:ascii="宋体" w:hAnsi="宋体" w:cs="宋体"/>
                <w:kern w:val="0"/>
                <w:sz w:val="24"/>
                <w:szCs w:val="24"/>
              </w:rPr>
            </w:pPr>
            <w:r>
              <w:rPr>
                <w:rFonts w:hint="eastAsia" w:ascii="宋体" w:hAnsi="宋体" w:cs="宋体"/>
                <w:kern w:val="0"/>
                <w:sz w:val="24"/>
                <w:szCs w:val="24"/>
              </w:rPr>
              <w:t>名次</w:t>
            </w:r>
          </w:p>
        </w:tc>
        <w:tc>
          <w:tcPr>
            <w:tcW w:w="2835" w:type="dxa"/>
            <w:vAlign w:val="center"/>
          </w:tcPr>
          <w:p>
            <w:pPr>
              <w:pStyle w:val="33"/>
              <w:jc w:val="center"/>
              <w:rPr>
                <w:rFonts w:ascii="宋体" w:hAnsi="宋体" w:cs="宋体"/>
                <w:kern w:val="0"/>
                <w:sz w:val="24"/>
                <w:szCs w:val="24"/>
              </w:rPr>
            </w:pPr>
            <w:r>
              <w:rPr>
                <w:rFonts w:hint="eastAsia" w:ascii="宋体" w:hAnsi="宋体" w:cs="宋体"/>
                <w:kern w:val="0"/>
                <w:sz w:val="24"/>
                <w:szCs w:val="24"/>
              </w:rPr>
              <w:t>投标单位</w:t>
            </w:r>
          </w:p>
        </w:tc>
        <w:tc>
          <w:tcPr>
            <w:tcW w:w="1529" w:type="dxa"/>
            <w:vAlign w:val="center"/>
          </w:tcPr>
          <w:p>
            <w:pPr>
              <w:jc w:val="center"/>
            </w:pPr>
            <w:r>
              <w:rPr>
                <w:rFonts w:hint="eastAsia"/>
              </w:rPr>
              <w:t>项目管理报价</w:t>
            </w:r>
          </w:p>
          <w:p>
            <w:pPr>
              <w:pStyle w:val="33"/>
              <w:jc w:val="center"/>
              <w:rPr>
                <w:rFonts w:ascii="宋体" w:hAnsi="宋体" w:cs="宋体"/>
                <w:kern w:val="0"/>
                <w:sz w:val="24"/>
                <w:szCs w:val="24"/>
              </w:rPr>
            </w:pPr>
            <w:r>
              <w:rPr>
                <w:rFonts w:hint="eastAsia"/>
              </w:rPr>
              <w:t>（下浮%）</w:t>
            </w:r>
          </w:p>
        </w:tc>
        <w:tc>
          <w:tcPr>
            <w:tcW w:w="1530" w:type="dxa"/>
            <w:vAlign w:val="center"/>
          </w:tcPr>
          <w:p>
            <w:pPr>
              <w:jc w:val="center"/>
            </w:pPr>
            <w:r>
              <w:rPr>
                <w:rFonts w:hint="eastAsia"/>
              </w:rPr>
              <w:t>可行性研究报告编制报价</w:t>
            </w:r>
          </w:p>
          <w:p>
            <w:pPr>
              <w:pStyle w:val="33"/>
              <w:jc w:val="center"/>
              <w:rPr>
                <w:rFonts w:ascii="宋体" w:hAnsi="宋体" w:cs="宋体"/>
                <w:kern w:val="0"/>
                <w:sz w:val="24"/>
                <w:szCs w:val="24"/>
              </w:rPr>
            </w:pPr>
            <w:r>
              <w:rPr>
                <w:rFonts w:hint="eastAsia"/>
              </w:rPr>
              <w:t>（下浮%）</w:t>
            </w:r>
          </w:p>
        </w:tc>
        <w:tc>
          <w:tcPr>
            <w:tcW w:w="1530" w:type="dxa"/>
            <w:vAlign w:val="center"/>
          </w:tcPr>
          <w:p>
            <w:pPr>
              <w:pStyle w:val="33"/>
              <w:jc w:val="center"/>
            </w:pPr>
            <w:r>
              <w:rPr>
                <w:rFonts w:hint="eastAsia"/>
              </w:rPr>
              <w:t>勘察报价</w:t>
            </w:r>
          </w:p>
          <w:p>
            <w:pPr>
              <w:pStyle w:val="33"/>
              <w:jc w:val="center"/>
              <w:rPr>
                <w:rFonts w:ascii="宋体" w:hAnsi="宋体" w:cs="宋体"/>
                <w:kern w:val="0"/>
                <w:sz w:val="24"/>
                <w:szCs w:val="24"/>
              </w:rPr>
            </w:pPr>
            <w:r>
              <w:rPr>
                <w:rFonts w:hint="eastAsia"/>
              </w:rPr>
              <w:t>（下浮%）</w:t>
            </w:r>
          </w:p>
        </w:tc>
        <w:tc>
          <w:tcPr>
            <w:tcW w:w="1530" w:type="dxa"/>
            <w:vAlign w:val="center"/>
          </w:tcPr>
          <w:p>
            <w:pPr>
              <w:pStyle w:val="33"/>
              <w:jc w:val="center"/>
            </w:pPr>
            <w:r>
              <w:rPr>
                <w:rFonts w:hint="eastAsia"/>
              </w:rPr>
              <w:t>招标代理报价</w:t>
            </w:r>
          </w:p>
          <w:p>
            <w:pPr>
              <w:pStyle w:val="33"/>
              <w:jc w:val="center"/>
              <w:rPr>
                <w:rFonts w:ascii="宋体" w:hAnsi="宋体" w:cs="宋体"/>
                <w:kern w:val="0"/>
                <w:sz w:val="24"/>
                <w:szCs w:val="24"/>
              </w:rPr>
            </w:pPr>
            <w:r>
              <w:rPr>
                <w:rFonts w:hint="eastAsia"/>
              </w:rPr>
              <w:t>（下浮%）</w:t>
            </w:r>
          </w:p>
        </w:tc>
        <w:tc>
          <w:tcPr>
            <w:tcW w:w="1530" w:type="dxa"/>
            <w:vAlign w:val="center"/>
          </w:tcPr>
          <w:p>
            <w:pPr>
              <w:pStyle w:val="33"/>
              <w:jc w:val="center"/>
            </w:pPr>
            <w:r>
              <w:rPr>
                <w:rFonts w:hint="eastAsia"/>
              </w:rPr>
              <w:t>造价咨询报价</w:t>
            </w:r>
          </w:p>
          <w:p>
            <w:pPr>
              <w:pStyle w:val="33"/>
              <w:jc w:val="center"/>
              <w:rPr>
                <w:rFonts w:ascii="宋体" w:hAnsi="宋体" w:cs="宋体"/>
                <w:kern w:val="0"/>
                <w:sz w:val="24"/>
                <w:szCs w:val="24"/>
              </w:rPr>
            </w:pPr>
            <w:r>
              <w:rPr>
                <w:rFonts w:hint="eastAsia"/>
              </w:rPr>
              <w:t>（下浮%）</w:t>
            </w:r>
          </w:p>
        </w:tc>
        <w:tc>
          <w:tcPr>
            <w:tcW w:w="1296" w:type="dxa"/>
            <w:vAlign w:val="center"/>
          </w:tcPr>
          <w:p>
            <w:pPr>
              <w:pStyle w:val="33"/>
              <w:jc w:val="center"/>
              <w:rPr>
                <w:rFonts w:ascii="宋体" w:hAnsi="宋体" w:cs="宋体"/>
                <w:kern w:val="0"/>
                <w:sz w:val="24"/>
                <w:szCs w:val="24"/>
              </w:rPr>
            </w:pPr>
            <w:r>
              <w:rPr>
                <w:rFonts w:hint="eastAsia" w:ascii="宋体" w:hAnsi="宋体" w:cs="宋体"/>
                <w:kern w:val="0"/>
                <w:sz w:val="24"/>
                <w:szCs w:val="24"/>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93" w:type="dxa"/>
            <w:vAlign w:val="center"/>
          </w:tcPr>
          <w:p>
            <w:pPr>
              <w:pStyle w:val="33"/>
              <w:jc w:val="center"/>
              <w:rPr>
                <w:rFonts w:ascii="宋体" w:hAnsi="宋体" w:cs="宋体"/>
                <w:kern w:val="0"/>
                <w:sz w:val="24"/>
                <w:szCs w:val="24"/>
              </w:rPr>
            </w:pPr>
            <w:r>
              <w:rPr>
                <w:rFonts w:hint="eastAsia" w:ascii="宋体" w:hAnsi="宋体" w:cs="宋体"/>
                <w:kern w:val="0"/>
                <w:sz w:val="24"/>
                <w:szCs w:val="24"/>
              </w:rPr>
              <w:t>1</w:t>
            </w:r>
          </w:p>
        </w:tc>
        <w:tc>
          <w:tcPr>
            <w:tcW w:w="2835" w:type="dxa"/>
            <w:vAlign w:val="center"/>
          </w:tcPr>
          <w:p>
            <w:pPr>
              <w:pStyle w:val="33"/>
              <w:rPr>
                <w:rFonts w:ascii="宋体" w:hAnsi="宋体" w:cs="宋体"/>
                <w:kern w:val="0"/>
                <w:sz w:val="24"/>
                <w:szCs w:val="24"/>
              </w:rPr>
            </w:pPr>
          </w:p>
        </w:tc>
        <w:tc>
          <w:tcPr>
            <w:tcW w:w="1529" w:type="dxa"/>
            <w:vAlign w:val="center"/>
          </w:tcPr>
          <w:p>
            <w:pPr>
              <w:pStyle w:val="33"/>
              <w:rPr>
                <w:rFonts w:ascii="宋体" w:hAnsi="宋体" w:cs="宋体"/>
                <w:kern w:val="0"/>
                <w:sz w:val="24"/>
                <w:szCs w:val="24"/>
              </w:rPr>
            </w:pPr>
          </w:p>
        </w:tc>
        <w:tc>
          <w:tcPr>
            <w:tcW w:w="1530" w:type="dxa"/>
            <w:vAlign w:val="center"/>
          </w:tcPr>
          <w:p>
            <w:pPr>
              <w:pStyle w:val="33"/>
              <w:rPr>
                <w:rFonts w:ascii="宋体" w:hAnsi="宋体" w:cs="宋体"/>
                <w:kern w:val="0"/>
                <w:sz w:val="24"/>
                <w:szCs w:val="24"/>
              </w:rPr>
            </w:pPr>
          </w:p>
        </w:tc>
        <w:tc>
          <w:tcPr>
            <w:tcW w:w="1530" w:type="dxa"/>
            <w:vAlign w:val="center"/>
          </w:tcPr>
          <w:p>
            <w:pPr>
              <w:pStyle w:val="33"/>
              <w:rPr>
                <w:rFonts w:ascii="宋体" w:hAnsi="宋体" w:cs="宋体"/>
                <w:kern w:val="0"/>
                <w:sz w:val="24"/>
                <w:szCs w:val="24"/>
              </w:rPr>
            </w:pPr>
          </w:p>
        </w:tc>
        <w:tc>
          <w:tcPr>
            <w:tcW w:w="1530" w:type="dxa"/>
            <w:vAlign w:val="center"/>
          </w:tcPr>
          <w:p>
            <w:pPr>
              <w:pStyle w:val="33"/>
              <w:rPr>
                <w:rFonts w:ascii="宋体" w:hAnsi="宋体" w:cs="宋体"/>
                <w:kern w:val="0"/>
                <w:sz w:val="24"/>
                <w:szCs w:val="24"/>
              </w:rPr>
            </w:pPr>
          </w:p>
        </w:tc>
        <w:tc>
          <w:tcPr>
            <w:tcW w:w="1530" w:type="dxa"/>
            <w:vAlign w:val="center"/>
          </w:tcPr>
          <w:p>
            <w:pPr>
              <w:pStyle w:val="33"/>
              <w:rPr>
                <w:rFonts w:ascii="宋体" w:hAnsi="宋体" w:cs="宋体"/>
                <w:kern w:val="0"/>
                <w:sz w:val="24"/>
                <w:szCs w:val="24"/>
              </w:rPr>
            </w:pPr>
          </w:p>
        </w:tc>
        <w:tc>
          <w:tcPr>
            <w:tcW w:w="1296" w:type="dxa"/>
            <w:vAlign w:val="center"/>
          </w:tcPr>
          <w:p>
            <w:pPr>
              <w:pStyle w:val="33"/>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Align w:val="center"/>
          </w:tcPr>
          <w:p>
            <w:pPr>
              <w:pStyle w:val="33"/>
              <w:jc w:val="center"/>
              <w:rPr>
                <w:rFonts w:ascii="宋体" w:hAnsi="宋体" w:cs="宋体"/>
                <w:kern w:val="0"/>
                <w:sz w:val="24"/>
                <w:szCs w:val="24"/>
              </w:rPr>
            </w:pPr>
            <w:r>
              <w:rPr>
                <w:rFonts w:hint="eastAsia" w:ascii="宋体" w:hAnsi="宋体" w:cs="宋体"/>
                <w:kern w:val="0"/>
                <w:sz w:val="24"/>
                <w:szCs w:val="24"/>
              </w:rPr>
              <w:t>2</w:t>
            </w:r>
          </w:p>
        </w:tc>
        <w:tc>
          <w:tcPr>
            <w:tcW w:w="2835" w:type="dxa"/>
            <w:vAlign w:val="center"/>
          </w:tcPr>
          <w:p>
            <w:pPr>
              <w:pStyle w:val="33"/>
              <w:rPr>
                <w:rFonts w:ascii="宋体" w:hAnsi="宋体" w:cs="宋体"/>
                <w:kern w:val="0"/>
                <w:sz w:val="24"/>
                <w:szCs w:val="24"/>
              </w:rPr>
            </w:pPr>
          </w:p>
        </w:tc>
        <w:tc>
          <w:tcPr>
            <w:tcW w:w="1529" w:type="dxa"/>
            <w:vAlign w:val="center"/>
          </w:tcPr>
          <w:p>
            <w:pPr>
              <w:pStyle w:val="33"/>
              <w:rPr>
                <w:rFonts w:ascii="宋体" w:hAnsi="宋体" w:cs="宋体"/>
                <w:kern w:val="0"/>
                <w:sz w:val="24"/>
                <w:szCs w:val="24"/>
              </w:rPr>
            </w:pPr>
          </w:p>
        </w:tc>
        <w:tc>
          <w:tcPr>
            <w:tcW w:w="1530" w:type="dxa"/>
            <w:vAlign w:val="center"/>
          </w:tcPr>
          <w:p>
            <w:pPr>
              <w:pStyle w:val="33"/>
              <w:rPr>
                <w:rFonts w:ascii="宋体" w:hAnsi="宋体" w:cs="宋体"/>
                <w:kern w:val="0"/>
                <w:sz w:val="24"/>
                <w:szCs w:val="24"/>
              </w:rPr>
            </w:pPr>
          </w:p>
        </w:tc>
        <w:tc>
          <w:tcPr>
            <w:tcW w:w="1530" w:type="dxa"/>
            <w:vAlign w:val="center"/>
          </w:tcPr>
          <w:p>
            <w:pPr>
              <w:pStyle w:val="33"/>
              <w:rPr>
                <w:rFonts w:ascii="宋体" w:hAnsi="宋体" w:cs="宋体"/>
                <w:kern w:val="0"/>
                <w:sz w:val="24"/>
                <w:szCs w:val="24"/>
              </w:rPr>
            </w:pPr>
          </w:p>
        </w:tc>
        <w:tc>
          <w:tcPr>
            <w:tcW w:w="1530" w:type="dxa"/>
            <w:vAlign w:val="center"/>
          </w:tcPr>
          <w:p>
            <w:pPr>
              <w:pStyle w:val="33"/>
              <w:rPr>
                <w:rFonts w:ascii="宋体" w:hAnsi="宋体" w:cs="宋体"/>
                <w:kern w:val="0"/>
                <w:sz w:val="24"/>
                <w:szCs w:val="24"/>
              </w:rPr>
            </w:pPr>
          </w:p>
        </w:tc>
        <w:tc>
          <w:tcPr>
            <w:tcW w:w="1530" w:type="dxa"/>
            <w:vAlign w:val="center"/>
          </w:tcPr>
          <w:p>
            <w:pPr>
              <w:pStyle w:val="33"/>
              <w:rPr>
                <w:rFonts w:ascii="宋体" w:hAnsi="宋体" w:cs="宋体"/>
                <w:kern w:val="0"/>
                <w:sz w:val="24"/>
                <w:szCs w:val="24"/>
              </w:rPr>
            </w:pPr>
          </w:p>
        </w:tc>
        <w:tc>
          <w:tcPr>
            <w:tcW w:w="1296" w:type="dxa"/>
            <w:vAlign w:val="center"/>
          </w:tcPr>
          <w:p>
            <w:pPr>
              <w:pStyle w:val="33"/>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93" w:type="dxa"/>
            <w:vAlign w:val="center"/>
          </w:tcPr>
          <w:p>
            <w:pPr>
              <w:pStyle w:val="33"/>
              <w:jc w:val="center"/>
              <w:rPr>
                <w:rFonts w:ascii="宋体" w:hAnsi="宋体" w:cs="宋体"/>
                <w:kern w:val="0"/>
                <w:sz w:val="24"/>
                <w:szCs w:val="24"/>
              </w:rPr>
            </w:pPr>
            <w:r>
              <w:rPr>
                <w:rFonts w:hint="eastAsia" w:ascii="宋体" w:hAnsi="宋体" w:cs="宋体"/>
                <w:kern w:val="0"/>
                <w:sz w:val="24"/>
                <w:szCs w:val="24"/>
              </w:rPr>
              <w:t>3</w:t>
            </w:r>
          </w:p>
        </w:tc>
        <w:tc>
          <w:tcPr>
            <w:tcW w:w="2835" w:type="dxa"/>
            <w:vAlign w:val="center"/>
          </w:tcPr>
          <w:p>
            <w:pPr>
              <w:pStyle w:val="33"/>
              <w:rPr>
                <w:rFonts w:ascii="宋体" w:hAnsi="宋体" w:cs="宋体"/>
                <w:kern w:val="0"/>
                <w:sz w:val="24"/>
                <w:szCs w:val="24"/>
              </w:rPr>
            </w:pPr>
          </w:p>
        </w:tc>
        <w:tc>
          <w:tcPr>
            <w:tcW w:w="1529" w:type="dxa"/>
            <w:vAlign w:val="center"/>
          </w:tcPr>
          <w:p>
            <w:pPr>
              <w:pStyle w:val="33"/>
              <w:rPr>
                <w:rFonts w:ascii="宋体" w:hAnsi="宋体" w:cs="宋体"/>
                <w:kern w:val="0"/>
                <w:sz w:val="24"/>
                <w:szCs w:val="24"/>
              </w:rPr>
            </w:pPr>
          </w:p>
        </w:tc>
        <w:tc>
          <w:tcPr>
            <w:tcW w:w="1530" w:type="dxa"/>
            <w:vAlign w:val="center"/>
          </w:tcPr>
          <w:p>
            <w:pPr>
              <w:pStyle w:val="33"/>
              <w:rPr>
                <w:rFonts w:ascii="宋体" w:hAnsi="宋体" w:cs="宋体"/>
                <w:kern w:val="0"/>
                <w:sz w:val="24"/>
                <w:szCs w:val="24"/>
              </w:rPr>
            </w:pPr>
          </w:p>
        </w:tc>
        <w:tc>
          <w:tcPr>
            <w:tcW w:w="1530" w:type="dxa"/>
            <w:vAlign w:val="center"/>
          </w:tcPr>
          <w:p>
            <w:pPr>
              <w:pStyle w:val="33"/>
              <w:rPr>
                <w:rFonts w:ascii="宋体" w:hAnsi="宋体" w:cs="宋体"/>
                <w:kern w:val="0"/>
                <w:sz w:val="24"/>
                <w:szCs w:val="24"/>
              </w:rPr>
            </w:pPr>
          </w:p>
        </w:tc>
        <w:tc>
          <w:tcPr>
            <w:tcW w:w="1530" w:type="dxa"/>
            <w:vAlign w:val="center"/>
          </w:tcPr>
          <w:p>
            <w:pPr>
              <w:pStyle w:val="33"/>
              <w:rPr>
                <w:rFonts w:ascii="宋体" w:hAnsi="宋体" w:cs="宋体"/>
                <w:kern w:val="0"/>
                <w:sz w:val="24"/>
                <w:szCs w:val="24"/>
              </w:rPr>
            </w:pPr>
          </w:p>
        </w:tc>
        <w:tc>
          <w:tcPr>
            <w:tcW w:w="1530" w:type="dxa"/>
            <w:vAlign w:val="center"/>
          </w:tcPr>
          <w:p>
            <w:pPr>
              <w:pStyle w:val="33"/>
              <w:rPr>
                <w:rFonts w:ascii="宋体" w:hAnsi="宋体" w:cs="宋体"/>
                <w:kern w:val="0"/>
                <w:sz w:val="24"/>
                <w:szCs w:val="24"/>
              </w:rPr>
            </w:pPr>
          </w:p>
        </w:tc>
        <w:tc>
          <w:tcPr>
            <w:tcW w:w="1296" w:type="dxa"/>
            <w:vAlign w:val="center"/>
          </w:tcPr>
          <w:p>
            <w:pPr>
              <w:pStyle w:val="33"/>
              <w:rPr>
                <w:rFonts w:ascii="宋体" w:hAnsi="宋体" w:cs="宋体"/>
                <w:kern w:val="0"/>
                <w:sz w:val="24"/>
                <w:szCs w:val="24"/>
              </w:rPr>
            </w:pPr>
          </w:p>
        </w:tc>
      </w:tr>
    </w:tbl>
    <w:p>
      <w:pPr>
        <w:pStyle w:val="33"/>
        <w:rPr>
          <w:rFonts w:ascii="宋体" w:hAnsi="宋体" w:cs="宋体"/>
          <w:sz w:val="24"/>
          <w:szCs w:val="24"/>
        </w:rPr>
      </w:pPr>
    </w:p>
    <w:p>
      <w:pPr>
        <w:pStyle w:val="33"/>
        <w:rPr>
          <w:rFonts w:ascii="宋体" w:hAnsi="宋体" w:cs="宋体"/>
          <w:sz w:val="24"/>
          <w:szCs w:val="24"/>
        </w:rPr>
      </w:pPr>
      <w:r>
        <w:rPr>
          <w:rFonts w:hint="eastAsia" w:ascii="宋体" w:hAnsi="宋体" w:cs="宋体"/>
          <w:sz w:val="24"/>
          <w:szCs w:val="24"/>
        </w:rPr>
        <w:t>否决投标情况说明：</w:t>
      </w:r>
    </w:p>
    <w:p>
      <w:pPr>
        <w:pStyle w:val="33"/>
        <w:rPr>
          <w:rFonts w:ascii="宋体" w:hAnsi="宋体" w:cs="宋体"/>
          <w:sz w:val="24"/>
          <w:szCs w:val="24"/>
        </w:rPr>
      </w:pPr>
    </w:p>
    <w:p>
      <w:pPr>
        <w:pStyle w:val="33"/>
        <w:rPr>
          <w:rFonts w:ascii="宋体" w:hAnsi="宋体" w:cs="宋体"/>
          <w:sz w:val="24"/>
          <w:szCs w:val="24"/>
        </w:rPr>
      </w:pPr>
      <w:r>
        <w:rPr>
          <w:rFonts w:hint="eastAsia" w:ascii="宋体" w:hAnsi="宋体" w:cs="宋体"/>
          <w:sz w:val="24"/>
          <w:szCs w:val="24"/>
        </w:rPr>
        <w:t>特此报告！</w:t>
      </w:r>
    </w:p>
    <w:p>
      <w:pPr>
        <w:pStyle w:val="33"/>
        <w:rPr>
          <w:rFonts w:ascii="宋体" w:hAnsi="宋体" w:cs="宋体"/>
          <w:sz w:val="24"/>
          <w:szCs w:val="24"/>
        </w:rPr>
      </w:pPr>
    </w:p>
    <w:p>
      <w:pPr>
        <w:pStyle w:val="33"/>
        <w:rPr>
          <w:rFonts w:ascii="宋体" w:hAnsi="宋体" w:cs="宋体"/>
          <w:sz w:val="24"/>
          <w:szCs w:val="24"/>
        </w:rPr>
      </w:pPr>
      <w:r>
        <w:rPr>
          <w:rFonts w:hint="eastAsia" w:ascii="宋体" w:hAnsi="宋体" w:cs="宋体"/>
          <w:sz w:val="24"/>
          <w:szCs w:val="24"/>
        </w:rPr>
        <w:t>评标委员会负责人签名：</w:t>
      </w:r>
    </w:p>
    <w:p>
      <w:pPr>
        <w:pStyle w:val="33"/>
        <w:rPr>
          <w:sz w:val="24"/>
          <w:szCs w:val="24"/>
        </w:rPr>
      </w:pPr>
      <w:r>
        <w:rPr>
          <w:rFonts w:hint="eastAsia" w:ascii="宋体" w:hAnsi="宋体" w:cs="宋体"/>
          <w:sz w:val="24"/>
          <w:szCs w:val="24"/>
        </w:rPr>
        <w:t>组</w:t>
      </w:r>
      <w:r>
        <w:rPr>
          <w:rFonts w:ascii="宋体" w:hAnsi="宋体" w:cs="宋体"/>
          <w:sz w:val="24"/>
          <w:szCs w:val="24"/>
        </w:rPr>
        <w:t xml:space="preserve"> </w:t>
      </w:r>
      <w:r>
        <w:rPr>
          <w:rFonts w:hint="eastAsia" w:ascii="宋体" w:hAnsi="宋体" w:cs="宋体"/>
          <w:sz w:val="24"/>
          <w:szCs w:val="24"/>
        </w:rPr>
        <w:t>员：</w:t>
      </w:r>
      <w:r>
        <w:rPr>
          <w:rFonts w:ascii="宋体" w:hAnsi="宋体" w:cs="宋体"/>
          <w:sz w:val="24"/>
          <w:szCs w:val="24"/>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评标日期：      年     月    日</w:t>
      </w:r>
    </w:p>
    <w:p>
      <w:pPr>
        <w:rPr>
          <w:sz w:val="24"/>
        </w:rPr>
      </w:pPr>
    </w:p>
    <w:p>
      <w:pPr>
        <w:pStyle w:val="4"/>
        <w:numPr>
          <w:ilvl w:val="0"/>
          <w:numId w:val="11"/>
        </w:numPr>
        <w:jc w:val="center"/>
        <w:rPr>
          <w:b w:val="0"/>
          <w:bCs w:val="0"/>
          <w:sz w:val="24"/>
          <w:szCs w:val="24"/>
        </w:rPr>
        <w:sectPr>
          <w:pgSz w:w="16838" w:h="11906" w:orient="landscape"/>
          <w:pgMar w:top="1440" w:right="1800" w:bottom="1440" w:left="1800" w:header="851" w:footer="992" w:gutter="0"/>
          <w:pgNumType w:fmt="numberInDash"/>
          <w:cols w:space="720" w:num="1"/>
          <w:docGrid w:linePitch="312" w:charSpace="0"/>
        </w:sectPr>
      </w:pPr>
    </w:p>
    <w:p>
      <w:pPr>
        <w:pStyle w:val="4"/>
        <w:spacing w:line="600" w:lineRule="exact"/>
        <w:jc w:val="center"/>
      </w:pPr>
      <w:bookmarkStart w:id="461" w:name="_Toc28848"/>
      <w:bookmarkStart w:id="462" w:name="_Toc144974575"/>
      <w:bookmarkStart w:id="463" w:name="_Toc3997903"/>
      <w:bookmarkStart w:id="464" w:name="_Toc152042385"/>
      <w:bookmarkStart w:id="465" w:name="_Toc247527632"/>
      <w:bookmarkStart w:id="466" w:name="_Toc247514031"/>
      <w:bookmarkStart w:id="467" w:name="_Toc152045607"/>
      <w:r>
        <w:rPr>
          <w:rFonts w:hint="eastAsia"/>
        </w:rPr>
        <w:t>第四章 合同条款及格式</w:t>
      </w:r>
      <w:bookmarkEnd w:id="461"/>
      <w:bookmarkStart w:id="468" w:name="_Toc422322470"/>
      <w:bookmarkStart w:id="469" w:name="_Toc419045055"/>
    </w:p>
    <w:p>
      <w:pPr>
        <w:pStyle w:val="5"/>
        <w:spacing w:line="600" w:lineRule="exact"/>
        <w:jc w:val="center"/>
        <w:rPr>
          <w:rFonts w:ascii="宋体" w:eastAsia="宋体" w:cs="宋体"/>
        </w:rPr>
      </w:pPr>
      <w:bookmarkStart w:id="470" w:name="_Toc21009"/>
      <w:r>
        <w:rPr>
          <w:rFonts w:hint="eastAsia" w:ascii="宋体" w:eastAsia="宋体" w:cs="宋体"/>
        </w:rPr>
        <w:t>第一部分 协议书</w:t>
      </w:r>
      <w:bookmarkEnd w:id="468"/>
      <w:bookmarkEnd w:id="469"/>
      <w:bookmarkEnd w:id="470"/>
    </w:p>
    <w:p>
      <w:pPr>
        <w:pStyle w:val="37"/>
        <w:spacing w:line="500" w:lineRule="exact"/>
        <w:ind w:left="420" w:leftChars="200"/>
        <w:jc w:val="left"/>
        <w:rPr>
          <w:rFonts w:ascii="宋体" w:hAnsi="宋体"/>
          <w:u w:val="single"/>
        </w:rPr>
      </w:pPr>
      <w:bookmarkStart w:id="471" w:name="7"/>
      <w:r>
        <w:rPr>
          <w:rFonts w:hint="eastAsia" w:ascii="宋体" w:hAnsi="宋体"/>
        </w:rPr>
        <w:t>甲方（全称）：</w:t>
      </w:r>
      <w:r>
        <w:rPr>
          <w:rFonts w:hint="eastAsia" w:ascii="宋体" w:hAnsi="宋体"/>
          <w:u w:val="single"/>
        </w:rPr>
        <w:t xml:space="preserve">                                  </w:t>
      </w:r>
    </w:p>
    <w:p>
      <w:pPr>
        <w:pStyle w:val="37"/>
        <w:spacing w:line="500" w:lineRule="exact"/>
        <w:ind w:left="420" w:leftChars="200"/>
        <w:jc w:val="left"/>
        <w:rPr>
          <w:rFonts w:ascii="宋体" w:hAnsi="宋体"/>
        </w:rPr>
      </w:pPr>
      <w:r>
        <w:rPr>
          <w:rFonts w:hint="eastAsia" w:ascii="宋体" w:hAnsi="宋体"/>
        </w:rPr>
        <w:t>乙方（全称）：</w:t>
      </w:r>
      <w:r>
        <w:rPr>
          <w:rFonts w:hint="eastAsia" w:ascii="宋体" w:hAnsi="宋体"/>
          <w:u w:val="single"/>
        </w:rPr>
        <w:t xml:space="preserve">                                  </w:t>
      </w:r>
    </w:p>
    <w:p>
      <w:pPr>
        <w:pStyle w:val="37"/>
        <w:spacing w:line="500" w:lineRule="exact"/>
        <w:ind w:firstLine="420" w:firstLineChars="200"/>
        <w:jc w:val="left"/>
        <w:rPr>
          <w:rFonts w:ascii="宋体" w:hAnsi="宋体"/>
        </w:rPr>
      </w:pPr>
      <w:r>
        <w:rPr>
          <w:rFonts w:hint="eastAsia" w:ascii="宋体" w:hAnsi="宋体"/>
        </w:rPr>
        <w:t>根据《</w:t>
      </w:r>
      <w:r>
        <w:fldChar w:fldCharType="begin"/>
      </w:r>
      <w:r>
        <w:instrText xml:space="preserve"> HYPERLINK "javascript:SLC(21651,0)" </w:instrText>
      </w:r>
      <w:r>
        <w:fldChar w:fldCharType="separate"/>
      </w:r>
      <w:r>
        <w:rPr>
          <w:rStyle w:val="38"/>
          <w:rFonts w:hint="eastAsia" w:ascii="宋体" w:hAnsi="宋体"/>
        </w:rPr>
        <w:t>中华人民共和国民法典</w:t>
      </w:r>
      <w:r>
        <w:rPr>
          <w:rStyle w:val="38"/>
          <w:rFonts w:hint="eastAsia" w:ascii="宋体" w:hAnsi="宋体"/>
        </w:rPr>
        <w:fldChar w:fldCharType="end"/>
      </w:r>
      <w:r>
        <w:rPr>
          <w:rFonts w:hint="eastAsia" w:ascii="宋体" w:hAnsi="宋体"/>
        </w:rPr>
        <w:t>》及其他有关法律法规，遵循平等、自愿、公平和诚实信用的原则，双方就下述事项协商一致，订立本合同。</w:t>
      </w:r>
    </w:p>
    <w:p>
      <w:pPr>
        <w:spacing w:line="500" w:lineRule="exact"/>
        <w:rPr>
          <w:rFonts w:hint="eastAsia" w:ascii="宋体" w:hAnsi="宋体"/>
          <w:b/>
          <w:bCs/>
          <w:sz w:val="28"/>
          <w:szCs w:val="28"/>
        </w:rPr>
      </w:pPr>
      <w:bookmarkStart w:id="472" w:name="_Toc422322471"/>
      <w:bookmarkStart w:id="473" w:name="_Toc86667675"/>
      <w:bookmarkStart w:id="474" w:name="_Toc86668233"/>
      <w:bookmarkStart w:id="475" w:name="_Toc15880"/>
      <w:bookmarkStart w:id="476" w:name="_Toc23906"/>
      <w:bookmarkStart w:id="477" w:name="_Toc9615"/>
      <w:bookmarkStart w:id="478" w:name="_Toc21955"/>
      <w:bookmarkStart w:id="479" w:name="_Toc419045056"/>
      <w:r>
        <w:rPr>
          <w:rFonts w:hint="eastAsia" w:ascii="宋体" w:hAnsi="宋体"/>
          <w:b/>
          <w:bCs/>
          <w:sz w:val="28"/>
          <w:szCs w:val="28"/>
        </w:rPr>
        <w:t>一、工程概况</w:t>
      </w:r>
      <w:bookmarkEnd w:id="472"/>
      <w:bookmarkEnd w:id="473"/>
      <w:bookmarkEnd w:id="474"/>
    </w:p>
    <w:bookmarkEnd w:id="475"/>
    <w:bookmarkEnd w:id="476"/>
    <w:bookmarkEnd w:id="477"/>
    <w:bookmarkEnd w:id="478"/>
    <w:p>
      <w:pPr>
        <w:spacing w:line="500" w:lineRule="exact"/>
        <w:rPr>
          <w:rFonts w:hint="eastAsia" w:ascii="宋体" w:hAnsi="宋体" w:eastAsiaTheme="minorEastAsia"/>
          <w:szCs w:val="21"/>
          <w:lang w:eastAsia="zh-CN"/>
        </w:rPr>
      </w:pPr>
      <w:r>
        <w:rPr>
          <w:rFonts w:hint="eastAsia" w:ascii="宋体" w:hAnsi="宋体"/>
          <w:szCs w:val="21"/>
        </w:rPr>
        <w:t xml:space="preserve">     1.工程名称：</w:t>
      </w:r>
      <w:r>
        <w:rPr>
          <w:rFonts w:hint="eastAsia" w:ascii="宋体" w:hAnsi="宋体"/>
          <w:szCs w:val="21"/>
          <w:u w:val="single"/>
        </w:rPr>
        <w:t xml:space="preserve">                                           </w:t>
      </w: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 xml:space="preserve">     2.工程地点：</w:t>
      </w:r>
      <w:bookmarkEnd w:id="479"/>
      <w:r>
        <w:rPr>
          <w:rFonts w:hint="eastAsia" w:ascii="宋体" w:hAnsi="宋体"/>
          <w:szCs w:val="21"/>
          <w:u w:val="single"/>
        </w:rPr>
        <w:t xml:space="preserve">                                           </w:t>
      </w:r>
      <w:r>
        <w:rPr>
          <w:rFonts w:hint="eastAsia" w:ascii="宋体" w:hAnsi="宋体"/>
          <w:szCs w:val="21"/>
        </w:rPr>
        <w:t xml:space="preserve">。  </w:t>
      </w:r>
    </w:p>
    <w:p>
      <w:pPr>
        <w:pStyle w:val="37"/>
        <w:spacing w:line="500" w:lineRule="exact"/>
        <w:ind w:firstLine="525" w:firstLineChars="250"/>
        <w:jc w:val="left"/>
        <w:rPr>
          <w:rFonts w:ascii="宋体" w:hAnsi="宋体"/>
          <w:u w:val="single"/>
        </w:rPr>
      </w:pPr>
      <w:r>
        <w:rPr>
          <w:rFonts w:hint="eastAsia" w:ascii="宋体" w:hAnsi="宋体"/>
        </w:rPr>
        <w:t>3.工程规模：</w:t>
      </w:r>
      <w:r>
        <w:rPr>
          <w:rFonts w:hint="eastAsia" w:ascii="宋体" w:hAnsi="宋体"/>
          <w:u w:val="single"/>
        </w:rPr>
        <w:t xml:space="preserve">                                           </w:t>
      </w:r>
      <w:r>
        <w:rPr>
          <w:rFonts w:hint="eastAsia" w:ascii="宋体" w:hAnsi="宋体"/>
        </w:rPr>
        <w:t>。</w:t>
      </w:r>
    </w:p>
    <w:p>
      <w:pPr>
        <w:pStyle w:val="37"/>
        <w:spacing w:line="500" w:lineRule="exact"/>
        <w:ind w:firstLine="525" w:firstLineChars="250"/>
        <w:jc w:val="left"/>
        <w:rPr>
          <w:rFonts w:ascii="宋体" w:hAnsi="宋体"/>
        </w:rPr>
      </w:pPr>
      <w:r>
        <w:rPr>
          <w:rFonts w:hint="eastAsia" w:ascii="宋体" w:hAnsi="宋体"/>
        </w:rPr>
        <w:t>4.投资金额：</w:t>
      </w:r>
      <w:r>
        <w:rPr>
          <w:rFonts w:hint="eastAsia" w:ascii="宋体" w:hAnsi="宋体"/>
          <w:u w:val="single"/>
        </w:rPr>
        <w:t xml:space="preserve">                                    </w:t>
      </w:r>
      <w:r>
        <w:rPr>
          <w:rFonts w:hint="eastAsia" w:ascii="宋体" w:hAnsi="宋体"/>
          <w:u w:val="single"/>
        </w:rPr>
        <w:tab/>
      </w:r>
      <w:r>
        <w:rPr>
          <w:rFonts w:hint="eastAsia" w:ascii="宋体" w:hAnsi="宋体"/>
          <w:u w:val="single"/>
        </w:rPr>
        <w:tab/>
      </w:r>
      <w:r>
        <w:rPr>
          <w:rFonts w:hint="eastAsia" w:ascii="宋体" w:hAnsi="宋体"/>
        </w:rPr>
        <w:t>。</w:t>
      </w:r>
    </w:p>
    <w:p>
      <w:pPr>
        <w:pStyle w:val="37"/>
        <w:spacing w:line="500" w:lineRule="exact"/>
        <w:ind w:firstLine="525" w:firstLineChars="250"/>
        <w:jc w:val="left"/>
        <w:rPr>
          <w:rFonts w:ascii="宋体" w:hAnsi="宋体"/>
        </w:rPr>
      </w:pPr>
      <w:r>
        <w:rPr>
          <w:rFonts w:hint="eastAsia" w:ascii="宋体" w:hAnsi="宋体"/>
        </w:rPr>
        <w:t>5.资金来源：</w:t>
      </w:r>
      <w:r>
        <w:rPr>
          <w:rFonts w:hint="eastAsia" w:ascii="宋体" w:hAnsi="宋体"/>
          <w:u w:val="single"/>
        </w:rPr>
        <w:t xml:space="preserve">                                        </w:t>
      </w:r>
      <w:r>
        <w:rPr>
          <w:rFonts w:hint="eastAsia" w:ascii="宋体" w:hAnsi="宋体"/>
          <w:u w:val="single"/>
        </w:rPr>
        <w:tab/>
      </w:r>
      <w:r>
        <w:rPr>
          <w:rFonts w:hint="eastAsia" w:ascii="宋体" w:hAnsi="宋体"/>
        </w:rPr>
        <w:t>。</w:t>
      </w:r>
    </w:p>
    <w:p>
      <w:pPr>
        <w:pStyle w:val="37"/>
        <w:spacing w:line="500" w:lineRule="exact"/>
        <w:ind w:firstLine="525" w:firstLineChars="250"/>
        <w:jc w:val="left"/>
        <w:rPr>
          <w:rFonts w:ascii="宋体" w:hAnsi="宋体"/>
        </w:rPr>
      </w:pPr>
      <w:r>
        <w:rPr>
          <w:rFonts w:hint="eastAsia" w:ascii="宋体" w:hAnsi="宋体"/>
        </w:rPr>
        <w:t>6.服务周期：</w:t>
      </w:r>
      <w:r>
        <w:rPr>
          <w:rFonts w:hint="eastAsia" w:ascii="宋体" w:hAnsi="宋体"/>
          <w:u w:val="single"/>
        </w:rPr>
        <w:t xml:space="preserve">                                        </w:t>
      </w:r>
      <w:r>
        <w:rPr>
          <w:rFonts w:hint="eastAsia" w:ascii="宋体" w:hAnsi="宋体"/>
          <w:u w:val="single"/>
        </w:rPr>
        <w:tab/>
      </w:r>
      <w:r>
        <w:rPr>
          <w:rFonts w:hint="eastAsia" w:ascii="宋体" w:hAnsi="宋体"/>
        </w:rPr>
        <w:t>。</w:t>
      </w:r>
    </w:p>
    <w:p>
      <w:pPr>
        <w:pStyle w:val="37"/>
        <w:spacing w:line="500" w:lineRule="exact"/>
        <w:ind w:firstLine="525" w:firstLineChars="250"/>
        <w:rPr>
          <w:rFonts w:ascii="宋体" w:hAnsi="宋体"/>
        </w:rPr>
      </w:pPr>
      <w:r>
        <w:rPr>
          <w:rFonts w:hint="eastAsia" w:ascii="宋体" w:hAnsi="宋体"/>
        </w:rPr>
        <w:t>7.其他：</w:t>
      </w:r>
      <w:r>
        <w:rPr>
          <w:rFonts w:hint="eastAsia" w:ascii="宋体" w:hAnsi="宋体"/>
          <w:u w:val="single"/>
        </w:rPr>
        <w:t xml:space="preserve">                                        </w:t>
      </w:r>
      <w:r>
        <w:rPr>
          <w:rFonts w:hint="eastAsia" w:ascii="宋体" w:hAnsi="宋体"/>
          <w:u w:val="single"/>
        </w:rPr>
        <w:tab/>
      </w:r>
      <w:r>
        <w:rPr>
          <w:rFonts w:hint="eastAsia" w:ascii="宋体" w:hAnsi="宋体"/>
          <w:u w:val="single"/>
        </w:rPr>
        <w:tab/>
      </w:r>
      <w:r>
        <w:rPr>
          <w:rFonts w:hint="eastAsia" w:ascii="宋体" w:hAnsi="宋体"/>
        </w:rPr>
        <w:t>。</w:t>
      </w:r>
      <w:bookmarkEnd w:id="471"/>
    </w:p>
    <w:p>
      <w:pPr>
        <w:spacing w:line="500" w:lineRule="exact"/>
        <w:rPr>
          <w:rFonts w:hint="eastAsia" w:ascii="宋体" w:hAnsi="宋体"/>
          <w:b/>
          <w:bCs/>
          <w:sz w:val="28"/>
          <w:szCs w:val="28"/>
        </w:rPr>
      </w:pPr>
      <w:bookmarkStart w:id="480" w:name="_Toc419045059"/>
      <w:bookmarkStart w:id="481" w:name="_Toc86668234"/>
      <w:bookmarkStart w:id="482" w:name="_Toc86667676"/>
      <w:bookmarkStart w:id="483" w:name="_Toc422322472"/>
      <w:bookmarkStart w:id="484" w:name="_Toc13315"/>
      <w:bookmarkStart w:id="485" w:name="_Toc2568"/>
      <w:bookmarkStart w:id="486" w:name="_Toc7928"/>
      <w:bookmarkStart w:id="487" w:name="_Toc15030"/>
      <w:r>
        <w:rPr>
          <w:rFonts w:hint="eastAsia" w:ascii="宋体" w:hAnsi="宋体"/>
          <w:b/>
          <w:bCs/>
          <w:sz w:val="28"/>
          <w:szCs w:val="28"/>
        </w:rPr>
        <w:t>二、服务范围及工作内容</w:t>
      </w:r>
      <w:bookmarkEnd w:id="480"/>
      <w:bookmarkEnd w:id="481"/>
      <w:bookmarkEnd w:id="482"/>
      <w:bookmarkEnd w:id="483"/>
    </w:p>
    <w:bookmarkEnd w:id="484"/>
    <w:bookmarkEnd w:id="485"/>
    <w:bookmarkEnd w:id="486"/>
    <w:bookmarkEnd w:id="487"/>
    <w:p>
      <w:pPr>
        <w:spacing w:line="500" w:lineRule="exact"/>
        <w:rPr>
          <w:rFonts w:ascii="宋体" w:hAnsi="宋体"/>
          <w:szCs w:val="21"/>
        </w:rPr>
      </w:pPr>
      <w:r>
        <w:rPr>
          <w:rFonts w:hint="eastAsia" w:ascii="宋体" w:hAnsi="宋体"/>
          <w:szCs w:val="21"/>
        </w:rPr>
        <w:t xml:space="preserve">   双方约定乙方的服务范围及工作内容</w:t>
      </w:r>
    </w:p>
    <w:p>
      <w:pPr>
        <w:spacing w:line="500" w:lineRule="exact"/>
        <w:ind w:left="426" w:leftChars="203"/>
        <w:jc w:val="left"/>
        <w:rPr>
          <w:rFonts w:ascii="宋体" w:hAnsi="宋体"/>
          <w:szCs w:val="21"/>
          <w:u w:val="single"/>
        </w:rPr>
      </w:pPr>
      <w:r>
        <w:rPr>
          <w:rFonts w:hint="eastAsia" w:ascii="宋体" w:hAnsi="宋体"/>
          <w:szCs w:val="21"/>
        </w:rPr>
        <w:t>项目管理：</w:t>
      </w:r>
      <w:r>
        <w:rPr>
          <w:rFonts w:hint="eastAsia" w:ascii="宋体" w:hAnsi="宋体"/>
          <w:szCs w:val="21"/>
          <w:u w:val="single"/>
        </w:rPr>
        <w:t>服务范围为从项目建议书批复后、代建合同生效开始至实体移交手续完成为止，对项目的前期工作、建安工程、材料设备采购、室外工程及相关事项等进行全过程管理。</w:t>
      </w:r>
      <w:r>
        <w:rPr>
          <w:rFonts w:hint="eastAsia" w:ascii="宋体" w:hAnsi="宋体"/>
          <w:i/>
          <w:szCs w:val="21"/>
          <w:u w:val="single"/>
        </w:rPr>
        <w:t>（可根据项目实际调整表述。二次装修纳入代建范围的，二次装修范围以财政部门审定的为准。）</w:t>
      </w:r>
    </w:p>
    <w:p>
      <w:pPr>
        <w:spacing w:line="500" w:lineRule="exact"/>
        <w:ind w:left="426" w:leftChars="203"/>
        <w:jc w:val="left"/>
        <w:rPr>
          <w:rFonts w:ascii="宋体" w:hAnsi="宋体"/>
          <w:szCs w:val="21"/>
        </w:rPr>
      </w:pPr>
      <w:r>
        <w:rPr>
          <w:rFonts w:hint="eastAsia" w:ascii="宋体" w:hAnsi="宋体"/>
          <w:szCs w:val="21"/>
        </w:rPr>
        <w:t>工作内容为：</w:t>
      </w:r>
    </w:p>
    <w:p>
      <w:pPr>
        <w:spacing w:line="500" w:lineRule="exact"/>
        <w:ind w:left="426" w:leftChars="203"/>
        <w:jc w:val="left"/>
        <w:rPr>
          <w:rFonts w:ascii="宋体" w:hAnsi="宋体"/>
          <w:szCs w:val="21"/>
          <w:u w:val="single"/>
        </w:rPr>
      </w:pPr>
      <w:r>
        <w:rPr>
          <w:rFonts w:hint="eastAsia" w:ascii="宋体" w:hAnsi="宋体"/>
          <w:szCs w:val="21"/>
          <w:u w:val="single"/>
        </w:rPr>
        <w:t>1）按照国家、陕西省有关规定和代建合同的约定，代建周期内代行项目单位的职责，负责工程实施的组织、协调、管理工作；</w:t>
      </w:r>
    </w:p>
    <w:p>
      <w:pPr>
        <w:spacing w:line="500" w:lineRule="exact"/>
        <w:ind w:left="426" w:leftChars="203"/>
        <w:jc w:val="left"/>
        <w:rPr>
          <w:rFonts w:ascii="宋体" w:hAnsi="宋体"/>
          <w:szCs w:val="21"/>
          <w:u w:val="single"/>
        </w:rPr>
      </w:pPr>
      <w:r>
        <w:rPr>
          <w:rFonts w:hint="eastAsia" w:ascii="宋体" w:hAnsi="宋体"/>
          <w:szCs w:val="21"/>
          <w:u w:val="single"/>
        </w:rPr>
        <w:t>2）依据批准的项目建议书组织编报项目可行性研究报告、初步设计和施工图设计；</w:t>
      </w:r>
    </w:p>
    <w:p>
      <w:pPr>
        <w:spacing w:line="500" w:lineRule="exact"/>
        <w:ind w:left="426" w:leftChars="203"/>
        <w:jc w:val="left"/>
        <w:rPr>
          <w:rFonts w:ascii="宋体" w:hAnsi="宋体"/>
          <w:szCs w:val="21"/>
          <w:u w:val="single"/>
        </w:rPr>
      </w:pPr>
      <w:r>
        <w:rPr>
          <w:rFonts w:hint="eastAsia" w:ascii="宋体" w:hAnsi="宋体"/>
          <w:szCs w:val="21"/>
          <w:u w:val="single"/>
        </w:rPr>
        <w:t>3）设备材料采购招标，负责工程合同的洽谈和签订，并将招投标情况、签订的合同按有关规定报发展改革部门、财政和相关行业管理部门备案；</w:t>
      </w:r>
    </w:p>
    <w:p>
      <w:pPr>
        <w:spacing w:line="500" w:lineRule="exact"/>
        <w:ind w:left="426" w:leftChars="203"/>
        <w:jc w:val="left"/>
        <w:rPr>
          <w:rFonts w:ascii="宋体" w:hAnsi="宋体"/>
          <w:szCs w:val="21"/>
          <w:u w:val="single"/>
        </w:rPr>
      </w:pPr>
      <w:r>
        <w:rPr>
          <w:rFonts w:hint="eastAsia" w:ascii="宋体" w:hAnsi="宋体"/>
          <w:szCs w:val="21"/>
          <w:u w:val="single"/>
        </w:rPr>
        <w:t>4）办理建设用地、规划、施工、节能、环保、消防、人防、园林、市政等有关报批手续；</w:t>
      </w:r>
    </w:p>
    <w:p>
      <w:pPr>
        <w:spacing w:line="500" w:lineRule="exact"/>
        <w:ind w:left="426" w:leftChars="203"/>
        <w:jc w:val="left"/>
        <w:rPr>
          <w:rFonts w:ascii="宋体" w:hAnsi="宋体"/>
          <w:szCs w:val="21"/>
          <w:u w:val="single"/>
        </w:rPr>
      </w:pPr>
      <w:r>
        <w:rPr>
          <w:rFonts w:hint="eastAsia" w:ascii="宋体" w:hAnsi="宋体"/>
          <w:szCs w:val="21"/>
          <w:u w:val="single"/>
        </w:rPr>
        <w:t>5）会同项目单位按项目进度申报财政资金，并按季度向发展改革、财政部门和项目单位报送工程进度及资金使用情况；</w:t>
      </w:r>
    </w:p>
    <w:p>
      <w:pPr>
        <w:spacing w:line="500" w:lineRule="exact"/>
        <w:ind w:left="426" w:leftChars="203"/>
        <w:jc w:val="left"/>
        <w:rPr>
          <w:rFonts w:ascii="宋体" w:hAnsi="宋体"/>
          <w:szCs w:val="21"/>
          <w:u w:val="single"/>
        </w:rPr>
      </w:pPr>
      <w:r>
        <w:rPr>
          <w:rFonts w:hint="eastAsia" w:ascii="宋体" w:hAnsi="宋体"/>
          <w:szCs w:val="21"/>
          <w:u w:val="single"/>
        </w:rPr>
        <w:t>6）组织编制工程结算、项目竣工财务决算，代项目单位办理竣工财务决算；</w:t>
      </w:r>
    </w:p>
    <w:p>
      <w:pPr>
        <w:spacing w:line="500" w:lineRule="exact"/>
        <w:ind w:left="426" w:leftChars="203"/>
        <w:jc w:val="left"/>
        <w:rPr>
          <w:rFonts w:ascii="宋体" w:hAnsi="宋体"/>
          <w:szCs w:val="21"/>
          <w:u w:val="single"/>
        </w:rPr>
      </w:pPr>
      <w:r>
        <w:rPr>
          <w:rFonts w:hint="eastAsia" w:ascii="宋体" w:hAnsi="宋体"/>
          <w:szCs w:val="21"/>
          <w:u w:val="single"/>
        </w:rPr>
        <w:t>7）组织建设项目竣工验收工作中的初步验收和向相关行政主管部门申请专项验收，并向省发展改革委报送竣工验收申请、办理相关手续；</w:t>
      </w:r>
    </w:p>
    <w:p>
      <w:pPr>
        <w:spacing w:line="500" w:lineRule="exact"/>
        <w:ind w:left="426" w:leftChars="203"/>
        <w:jc w:val="left"/>
        <w:rPr>
          <w:rFonts w:ascii="宋体" w:hAnsi="宋体"/>
          <w:szCs w:val="21"/>
          <w:u w:val="single"/>
        </w:rPr>
      </w:pPr>
      <w:r>
        <w:rPr>
          <w:rFonts w:hint="eastAsia" w:ascii="宋体" w:hAnsi="宋体"/>
          <w:szCs w:val="21"/>
          <w:u w:val="single"/>
        </w:rPr>
        <w:t>8）按代建合同约定向项目单位办理项目实体移交手续；</w:t>
      </w:r>
    </w:p>
    <w:p>
      <w:pPr>
        <w:spacing w:line="500" w:lineRule="exact"/>
        <w:ind w:left="426" w:leftChars="203"/>
        <w:jc w:val="left"/>
        <w:rPr>
          <w:rFonts w:ascii="宋体" w:hAnsi="宋体"/>
          <w:szCs w:val="21"/>
          <w:u w:val="single"/>
        </w:rPr>
      </w:pPr>
      <w:r>
        <w:rPr>
          <w:rFonts w:hint="eastAsia" w:ascii="宋体" w:hAnsi="宋体"/>
          <w:szCs w:val="21"/>
          <w:u w:val="single"/>
        </w:rPr>
        <w:t>9）整理汇编移交有关项目资料等；</w:t>
      </w:r>
    </w:p>
    <w:p>
      <w:pPr>
        <w:spacing w:line="500" w:lineRule="exact"/>
        <w:ind w:left="426" w:leftChars="203"/>
        <w:jc w:val="left"/>
        <w:rPr>
          <w:rFonts w:ascii="宋体" w:hAnsi="宋体"/>
          <w:szCs w:val="21"/>
          <w:u w:val="single"/>
        </w:rPr>
      </w:pPr>
      <w:r>
        <w:rPr>
          <w:rFonts w:hint="eastAsia" w:ascii="宋体" w:hAnsi="宋体"/>
          <w:szCs w:val="21"/>
          <w:u w:val="single"/>
        </w:rPr>
        <w:t>10）按有关规定要求和代建合同约定，做好缺陷责任期和保修期的服务工作；</w:t>
      </w:r>
    </w:p>
    <w:p>
      <w:pPr>
        <w:spacing w:line="500" w:lineRule="exact"/>
        <w:ind w:left="426" w:leftChars="203"/>
        <w:jc w:val="left"/>
        <w:rPr>
          <w:rFonts w:ascii="宋体" w:hAnsi="宋体"/>
          <w:szCs w:val="21"/>
          <w:u w:val="single"/>
        </w:rPr>
      </w:pPr>
      <w:r>
        <w:rPr>
          <w:rFonts w:hint="eastAsia" w:ascii="宋体" w:hAnsi="宋体"/>
          <w:szCs w:val="21"/>
          <w:u w:val="single"/>
        </w:rPr>
        <w:t>11）代建合同约定应承担的其他工作；</w:t>
      </w:r>
    </w:p>
    <w:p>
      <w:pPr>
        <w:spacing w:line="500" w:lineRule="exact"/>
        <w:ind w:left="426" w:leftChars="203"/>
        <w:jc w:val="left"/>
        <w:rPr>
          <w:rFonts w:ascii="宋体" w:hAnsi="宋体"/>
          <w:szCs w:val="21"/>
          <w:u w:val="single"/>
        </w:rPr>
      </w:pPr>
      <w:r>
        <w:rPr>
          <w:rFonts w:hint="eastAsia" w:ascii="宋体" w:hAnsi="宋体"/>
          <w:szCs w:val="21"/>
          <w:u w:val="single"/>
        </w:rPr>
        <w:t>12）其他</w:t>
      </w:r>
      <w:r>
        <w:rPr>
          <w:rFonts w:ascii="宋体" w:hAnsi="宋体"/>
          <w:szCs w:val="21"/>
          <w:u w:val="single"/>
        </w:rPr>
        <w:t>专项报告费用不包含在</w:t>
      </w:r>
      <w:r>
        <w:rPr>
          <w:rFonts w:hint="eastAsia" w:ascii="宋体" w:hAnsi="宋体"/>
          <w:szCs w:val="21"/>
          <w:u w:val="single"/>
        </w:rPr>
        <w:t>本次</w:t>
      </w:r>
      <w:r>
        <w:rPr>
          <w:rFonts w:ascii="宋体" w:hAnsi="宋体"/>
          <w:szCs w:val="21"/>
          <w:u w:val="single"/>
        </w:rPr>
        <w:t>管理费用中</w:t>
      </w:r>
      <w:r>
        <w:rPr>
          <w:rFonts w:hint="eastAsia" w:ascii="宋体" w:hAnsi="宋体"/>
          <w:szCs w:val="21"/>
          <w:u w:val="single"/>
        </w:rPr>
        <w:t>，</w:t>
      </w:r>
      <w:r>
        <w:rPr>
          <w:rFonts w:ascii="宋体" w:hAnsi="宋体"/>
          <w:szCs w:val="21"/>
          <w:u w:val="single"/>
        </w:rPr>
        <w:t>按初步设计批复，另行支付</w:t>
      </w:r>
      <w:r>
        <w:rPr>
          <w:rFonts w:hint="eastAsia" w:ascii="宋体" w:hAnsi="宋体"/>
          <w:szCs w:val="21"/>
          <w:u w:val="single"/>
        </w:rPr>
        <w:t>。</w:t>
      </w:r>
    </w:p>
    <w:p>
      <w:pPr>
        <w:spacing w:line="500" w:lineRule="exact"/>
        <w:ind w:left="426" w:leftChars="203"/>
        <w:jc w:val="left"/>
        <w:rPr>
          <w:rFonts w:ascii="宋体" w:hAnsi="宋体"/>
          <w:szCs w:val="21"/>
          <w:u w:val="single"/>
        </w:rPr>
      </w:pPr>
      <w:r>
        <w:rPr>
          <w:rFonts w:hint="eastAsia" w:ascii="宋体" w:hAnsi="宋体"/>
          <w:szCs w:val="21"/>
        </w:rPr>
        <w:t xml:space="preserve">可行性研究报告编制： </w:t>
      </w:r>
      <w:r>
        <w:rPr>
          <w:rFonts w:hint="eastAsia" w:ascii="宋体" w:hAnsi="宋体"/>
          <w:szCs w:val="21"/>
          <w:u w:val="single"/>
        </w:rPr>
        <w:t xml:space="preserve">                                 。</w:t>
      </w:r>
    </w:p>
    <w:p>
      <w:pPr>
        <w:spacing w:line="500" w:lineRule="exact"/>
        <w:ind w:left="426" w:leftChars="203"/>
        <w:jc w:val="left"/>
        <w:rPr>
          <w:rFonts w:ascii="宋体" w:hAnsi="宋体"/>
          <w:szCs w:val="21"/>
          <w:u w:val="single"/>
        </w:rPr>
      </w:pPr>
      <w:r>
        <w:rPr>
          <w:rFonts w:hint="eastAsia" w:ascii="宋体" w:hAnsi="宋体"/>
          <w:szCs w:val="21"/>
        </w:rPr>
        <w:t>勘察：</w:t>
      </w:r>
      <w:r>
        <w:rPr>
          <w:rFonts w:hint="eastAsia" w:ascii="宋体" w:hAnsi="宋体"/>
          <w:szCs w:val="21"/>
          <w:u w:val="single"/>
        </w:rPr>
        <w:t xml:space="preserve">                                                。</w:t>
      </w:r>
    </w:p>
    <w:p>
      <w:pPr>
        <w:spacing w:line="500" w:lineRule="exact"/>
        <w:ind w:left="426" w:leftChars="203"/>
        <w:jc w:val="left"/>
        <w:rPr>
          <w:rFonts w:ascii="宋体" w:hAnsi="宋体"/>
          <w:szCs w:val="21"/>
        </w:rPr>
      </w:pPr>
      <w:r>
        <w:rPr>
          <w:rFonts w:hint="eastAsia" w:ascii="宋体" w:hAnsi="宋体"/>
          <w:szCs w:val="21"/>
        </w:rPr>
        <w:t>造价咨询：</w:t>
      </w:r>
      <w:r>
        <w:rPr>
          <w:rFonts w:hint="eastAsia" w:ascii="宋体" w:hAnsi="宋体"/>
          <w:szCs w:val="21"/>
          <w:u w:val="single"/>
        </w:rPr>
        <w:t>服务范围及工作内容详见附录A。</w:t>
      </w:r>
      <w:r>
        <w:rPr>
          <w:rFonts w:hint="eastAsia" w:ascii="宋体" w:hAnsi="宋体"/>
          <w:szCs w:val="21"/>
        </w:rPr>
        <w:t xml:space="preserve"> </w:t>
      </w:r>
    </w:p>
    <w:p>
      <w:pPr>
        <w:spacing w:line="500" w:lineRule="exact"/>
        <w:ind w:left="426" w:leftChars="203"/>
        <w:jc w:val="left"/>
        <w:rPr>
          <w:rFonts w:ascii="宋体" w:hAnsi="宋体"/>
          <w:szCs w:val="21"/>
          <w:u w:val="single"/>
        </w:rPr>
      </w:pPr>
      <w:r>
        <w:rPr>
          <w:rFonts w:hint="eastAsia" w:ascii="宋体" w:hAnsi="宋体"/>
          <w:szCs w:val="21"/>
        </w:rPr>
        <w:t>招标代理：</w:t>
      </w:r>
      <w:r>
        <w:rPr>
          <w:rFonts w:hint="eastAsia" w:ascii="宋体" w:hAnsi="宋体"/>
          <w:szCs w:val="21"/>
          <w:u w:val="single"/>
        </w:rPr>
        <w:t xml:space="preserve">                                            。</w:t>
      </w:r>
    </w:p>
    <w:p>
      <w:pPr>
        <w:spacing w:line="500" w:lineRule="exact"/>
        <w:rPr>
          <w:rFonts w:hint="eastAsia" w:ascii="宋体" w:hAnsi="宋体"/>
          <w:b/>
          <w:bCs/>
          <w:sz w:val="28"/>
          <w:szCs w:val="28"/>
        </w:rPr>
      </w:pPr>
      <w:bookmarkStart w:id="488" w:name="_Toc17646"/>
      <w:bookmarkStart w:id="489" w:name="_Toc6936"/>
      <w:bookmarkStart w:id="490" w:name="_Toc422322473"/>
      <w:bookmarkStart w:id="491" w:name="_Toc29160"/>
      <w:bookmarkStart w:id="492" w:name="_Toc419045060"/>
      <w:bookmarkStart w:id="493" w:name="_Toc8125"/>
      <w:bookmarkStart w:id="494" w:name="9"/>
      <w:r>
        <w:rPr>
          <w:rFonts w:hint="eastAsia" w:ascii="宋体" w:hAnsi="宋体"/>
          <w:b/>
          <w:bCs/>
          <w:sz w:val="28"/>
          <w:szCs w:val="28"/>
        </w:rPr>
        <w:t>三、服务期限</w:t>
      </w:r>
      <w:bookmarkEnd w:id="488"/>
      <w:bookmarkEnd w:id="489"/>
      <w:bookmarkEnd w:id="490"/>
      <w:bookmarkEnd w:id="491"/>
      <w:bookmarkEnd w:id="492"/>
      <w:bookmarkEnd w:id="493"/>
    </w:p>
    <w:p>
      <w:pPr>
        <w:spacing w:line="500" w:lineRule="exact"/>
        <w:ind w:left="426" w:leftChars="203"/>
        <w:jc w:val="left"/>
        <w:rPr>
          <w:rFonts w:ascii="宋体" w:hAnsi="宋体"/>
          <w:szCs w:val="21"/>
          <w:u w:val="single"/>
        </w:rPr>
      </w:pPr>
      <w:r>
        <w:rPr>
          <w:rFonts w:hint="eastAsia" w:ascii="宋体" w:hAnsi="宋体"/>
          <w:szCs w:val="21"/>
        </w:rPr>
        <w:t>项目管理：自</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ascii="宋体" w:hAnsi="宋体"/>
          <w:szCs w:val="21"/>
        </w:rPr>
        <w:t>。</w:t>
      </w:r>
    </w:p>
    <w:p>
      <w:pPr>
        <w:spacing w:line="500" w:lineRule="exact"/>
        <w:ind w:left="426" w:leftChars="203"/>
        <w:jc w:val="left"/>
        <w:rPr>
          <w:rFonts w:ascii="宋体" w:hAnsi="宋体"/>
          <w:szCs w:val="21"/>
        </w:rPr>
      </w:pPr>
      <w:r>
        <w:rPr>
          <w:rFonts w:hint="eastAsia" w:ascii="宋体" w:hAnsi="宋体"/>
          <w:szCs w:val="21"/>
        </w:rPr>
        <w:t>可行性研究报告编制：自</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ascii="宋体" w:hAnsi="宋体"/>
          <w:szCs w:val="21"/>
        </w:rPr>
        <w:t>。</w:t>
      </w:r>
    </w:p>
    <w:p>
      <w:pPr>
        <w:spacing w:line="500" w:lineRule="exact"/>
        <w:ind w:left="426" w:leftChars="203"/>
        <w:jc w:val="left"/>
        <w:rPr>
          <w:rFonts w:ascii="宋体" w:hAnsi="宋体"/>
          <w:szCs w:val="21"/>
        </w:rPr>
      </w:pPr>
      <w:r>
        <w:rPr>
          <w:rFonts w:hint="eastAsia" w:ascii="宋体" w:hAnsi="宋体"/>
          <w:szCs w:val="21"/>
        </w:rPr>
        <w:t>勘察：自</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ascii="宋体" w:hAnsi="宋体"/>
          <w:szCs w:val="21"/>
        </w:rPr>
        <w:t>。</w:t>
      </w:r>
    </w:p>
    <w:p>
      <w:pPr>
        <w:spacing w:line="500" w:lineRule="exact"/>
        <w:ind w:left="426" w:leftChars="203"/>
        <w:jc w:val="left"/>
        <w:rPr>
          <w:rFonts w:ascii="宋体" w:hAnsi="宋体"/>
          <w:szCs w:val="21"/>
        </w:rPr>
      </w:pPr>
      <w:r>
        <w:rPr>
          <w:rFonts w:hint="eastAsia" w:ascii="宋体" w:hAnsi="宋体"/>
          <w:szCs w:val="21"/>
        </w:rPr>
        <w:t>造价咨询：自</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ascii="宋体" w:hAnsi="宋体"/>
          <w:szCs w:val="21"/>
        </w:rPr>
        <w:t>。</w:t>
      </w:r>
      <w:r>
        <w:rPr>
          <w:rFonts w:hint="eastAsia" w:ascii="宋体" w:hAnsi="宋体"/>
          <w:szCs w:val="21"/>
        </w:rPr>
        <w:t xml:space="preserve"> </w:t>
      </w:r>
    </w:p>
    <w:p>
      <w:pPr>
        <w:spacing w:line="500" w:lineRule="exact"/>
        <w:ind w:left="426" w:leftChars="203"/>
        <w:jc w:val="left"/>
        <w:rPr>
          <w:rFonts w:ascii="宋体" w:hAnsi="宋体"/>
          <w:szCs w:val="21"/>
          <w:u w:val="single"/>
        </w:rPr>
      </w:pPr>
      <w:r>
        <w:rPr>
          <w:rFonts w:hint="eastAsia" w:ascii="宋体" w:hAnsi="宋体"/>
          <w:szCs w:val="21"/>
        </w:rPr>
        <w:t>招标代理：自</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ascii="宋体" w:hAnsi="宋体"/>
          <w:szCs w:val="21"/>
        </w:rPr>
        <w:t>。</w:t>
      </w:r>
    </w:p>
    <w:bookmarkEnd w:id="494"/>
    <w:p>
      <w:pPr>
        <w:spacing w:line="500" w:lineRule="exact"/>
        <w:rPr>
          <w:rFonts w:hint="eastAsia" w:ascii="宋体" w:hAnsi="宋体"/>
          <w:b/>
          <w:bCs/>
          <w:sz w:val="28"/>
          <w:szCs w:val="28"/>
        </w:rPr>
      </w:pPr>
      <w:bookmarkStart w:id="495" w:name="_Toc30960"/>
      <w:bookmarkStart w:id="496" w:name="_Toc32206"/>
      <w:bookmarkStart w:id="497" w:name="_Toc19022"/>
      <w:bookmarkStart w:id="498" w:name="_Toc419045061"/>
      <w:bookmarkStart w:id="499" w:name="_Toc29383"/>
      <w:bookmarkStart w:id="500" w:name="_Toc422322474"/>
      <w:r>
        <w:rPr>
          <w:rFonts w:hint="eastAsia" w:ascii="宋体" w:hAnsi="宋体"/>
          <w:b/>
          <w:bCs/>
          <w:sz w:val="28"/>
          <w:szCs w:val="28"/>
        </w:rPr>
        <w:t>四、质量标准</w:t>
      </w:r>
      <w:bookmarkEnd w:id="495"/>
      <w:bookmarkEnd w:id="496"/>
      <w:bookmarkEnd w:id="497"/>
      <w:bookmarkEnd w:id="498"/>
      <w:bookmarkEnd w:id="499"/>
      <w:bookmarkEnd w:id="500"/>
    </w:p>
    <w:p>
      <w:pPr>
        <w:spacing w:line="500" w:lineRule="exact"/>
        <w:ind w:left="426" w:leftChars="203"/>
        <w:rPr>
          <w:rFonts w:ascii="宋体" w:hAnsi="宋体"/>
          <w:szCs w:val="21"/>
        </w:rPr>
      </w:pPr>
      <w:r>
        <w:rPr>
          <w:rFonts w:hint="eastAsia" w:ascii="宋体" w:hAnsi="宋体"/>
          <w:szCs w:val="21"/>
        </w:rPr>
        <w:t>各项业务成果文件应符合：</w:t>
      </w:r>
    </w:p>
    <w:p>
      <w:pPr>
        <w:spacing w:line="500" w:lineRule="exact"/>
        <w:ind w:left="426" w:leftChars="203" w:firstLine="210" w:firstLineChars="100"/>
        <w:jc w:val="left"/>
        <w:rPr>
          <w:rFonts w:ascii="宋体" w:hAnsi="宋体"/>
          <w:szCs w:val="21"/>
          <w:u w:val="single"/>
        </w:rPr>
      </w:pPr>
      <w:r>
        <w:rPr>
          <w:rFonts w:hint="eastAsia" w:ascii="宋体" w:hAnsi="宋体"/>
          <w:szCs w:val="21"/>
        </w:rPr>
        <w:t>项目管理：</w:t>
      </w:r>
      <w:r>
        <w:rPr>
          <w:rFonts w:hint="eastAsia" w:ascii="宋体" w:hAnsi="宋体"/>
          <w:szCs w:val="21"/>
          <w:u w:val="single"/>
        </w:rPr>
        <w:t xml:space="preserve">                                           。</w:t>
      </w:r>
    </w:p>
    <w:p>
      <w:pPr>
        <w:spacing w:line="500" w:lineRule="exact"/>
        <w:ind w:left="426" w:leftChars="203" w:firstLine="210" w:firstLineChars="100"/>
        <w:jc w:val="left"/>
        <w:rPr>
          <w:rFonts w:ascii="宋体" w:hAnsi="宋体"/>
          <w:szCs w:val="21"/>
          <w:u w:val="single"/>
        </w:rPr>
      </w:pPr>
      <w:r>
        <w:rPr>
          <w:rFonts w:hint="eastAsia" w:ascii="宋体" w:hAnsi="宋体"/>
          <w:szCs w:val="21"/>
        </w:rPr>
        <w:t xml:space="preserve">可行性研究报告编制： </w:t>
      </w:r>
      <w:r>
        <w:rPr>
          <w:rFonts w:hint="eastAsia" w:ascii="宋体" w:hAnsi="宋体"/>
          <w:szCs w:val="21"/>
          <w:u w:val="single"/>
        </w:rPr>
        <w:t xml:space="preserve">                                。</w:t>
      </w:r>
    </w:p>
    <w:p>
      <w:pPr>
        <w:spacing w:line="500" w:lineRule="exact"/>
        <w:ind w:left="426" w:leftChars="203" w:firstLine="210" w:firstLineChars="100"/>
        <w:jc w:val="left"/>
        <w:rPr>
          <w:rFonts w:ascii="宋体" w:hAnsi="宋体"/>
          <w:szCs w:val="21"/>
          <w:u w:val="single"/>
        </w:rPr>
      </w:pPr>
      <w:r>
        <w:rPr>
          <w:rFonts w:hint="eastAsia" w:ascii="宋体" w:hAnsi="宋体"/>
          <w:szCs w:val="21"/>
        </w:rPr>
        <w:t>勘察：</w:t>
      </w:r>
      <w:r>
        <w:rPr>
          <w:rFonts w:hint="eastAsia" w:ascii="宋体" w:hAnsi="宋体"/>
          <w:szCs w:val="21"/>
          <w:u w:val="single"/>
        </w:rPr>
        <w:t xml:space="preserve">                                               。</w:t>
      </w:r>
    </w:p>
    <w:p>
      <w:pPr>
        <w:spacing w:line="500" w:lineRule="exact"/>
        <w:ind w:left="426" w:leftChars="203" w:firstLine="210" w:firstLineChars="100"/>
        <w:jc w:val="left"/>
        <w:rPr>
          <w:rFonts w:ascii="宋体" w:hAnsi="宋体"/>
          <w:szCs w:val="21"/>
        </w:rPr>
      </w:pPr>
      <w:r>
        <w:rPr>
          <w:rFonts w:hint="eastAsia" w:ascii="宋体" w:hAnsi="宋体"/>
          <w:szCs w:val="21"/>
        </w:rPr>
        <w:t>造价咨询：</w:t>
      </w:r>
      <w:r>
        <w:rPr>
          <w:rFonts w:hint="eastAsia" w:ascii="宋体" w:hAnsi="宋体"/>
          <w:szCs w:val="21"/>
          <w:u w:val="single"/>
        </w:rPr>
        <w:t xml:space="preserve">         </w:t>
      </w:r>
      <w:bookmarkStart w:id="501" w:name="_Toc419045127"/>
      <w:bookmarkStart w:id="502" w:name="_Toc422322558"/>
      <w:r>
        <w:rPr>
          <w:rFonts w:hint="eastAsia" w:ascii="宋体" w:hAnsi="宋体"/>
          <w:szCs w:val="21"/>
          <w:u w:val="single"/>
        </w:rPr>
        <w:t>附录B 咨询人提交成果文件一览表</w:t>
      </w:r>
      <w:bookmarkEnd w:id="501"/>
      <w:bookmarkEnd w:id="502"/>
      <w:r>
        <w:rPr>
          <w:rFonts w:hint="eastAsia" w:ascii="宋体" w:hAnsi="宋体"/>
          <w:szCs w:val="21"/>
          <w:u w:val="single"/>
        </w:rPr>
        <w:t xml:space="preserve">。 </w:t>
      </w:r>
    </w:p>
    <w:p>
      <w:pPr>
        <w:spacing w:line="500" w:lineRule="exact"/>
        <w:ind w:left="426" w:leftChars="203" w:firstLine="210" w:firstLineChars="100"/>
        <w:jc w:val="left"/>
        <w:rPr>
          <w:rFonts w:ascii="宋体" w:hAnsi="宋体"/>
          <w:szCs w:val="21"/>
          <w:u w:val="single"/>
        </w:rPr>
      </w:pPr>
      <w:r>
        <w:rPr>
          <w:rFonts w:hint="eastAsia" w:ascii="宋体" w:hAnsi="宋体"/>
          <w:szCs w:val="21"/>
        </w:rPr>
        <w:t>招标代理：</w:t>
      </w:r>
      <w:r>
        <w:rPr>
          <w:rFonts w:hint="eastAsia" w:ascii="宋体" w:hAnsi="宋体"/>
          <w:szCs w:val="21"/>
          <w:u w:val="single"/>
        </w:rPr>
        <w:t xml:space="preserve">                                           。</w:t>
      </w:r>
    </w:p>
    <w:p>
      <w:pPr>
        <w:spacing w:line="500" w:lineRule="exact"/>
        <w:rPr>
          <w:rFonts w:hint="eastAsia" w:ascii="宋体" w:hAnsi="宋体"/>
          <w:b/>
          <w:bCs/>
          <w:sz w:val="28"/>
          <w:szCs w:val="28"/>
        </w:rPr>
      </w:pPr>
      <w:bookmarkStart w:id="503" w:name="_Toc24360"/>
      <w:bookmarkStart w:id="504" w:name="_Toc419045062"/>
      <w:bookmarkStart w:id="505" w:name="_Toc18622"/>
      <w:bookmarkStart w:id="506" w:name="_Toc23518"/>
      <w:bookmarkStart w:id="507" w:name="_Toc422322475"/>
      <w:bookmarkStart w:id="508" w:name="_Toc17751"/>
      <w:r>
        <w:rPr>
          <w:rFonts w:hint="eastAsia" w:ascii="宋体" w:hAnsi="宋体"/>
          <w:b/>
          <w:bCs/>
          <w:sz w:val="28"/>
          <w:szCs w:val="28"/>
        </w:rPr>
        <w:t>五、酬金或计取方式</w:t>
      </w:r>
      <w:bookmarkEnd w:id="503"/>
      <w:bookmarkEnd w:id="504"/>
      <w:bookmarkEnd w:id="505"/>
      <w:bookmarkEnd w:id="506"/>
      <w:bookmarkEnd w:id="507"/>
      <w:bookmarkEnd w:id="508"/>
    </w:p>
    <w:p>
      <w:pPr>
        <w:spacing w:line="500" w:lineRule="exact"/>
        <w:ind w:firstLine="210" w:firstLineChars="100"/>
        <w:rPr>
          <w:rFonts w:ascii="宋体" w:hAnsi="宋体"/>
          <w:szCs w:val="21"/>
        </w:rPr>
      </w:pPr>
      <w:r>
        <w:rPr>
          <w:rFonts w:hint="eastAsia" w:ascii="宋体" w:hAnsi="宋体"/>
          <w:szCs w:val="21"/>
        </w:rPr>
        <w:t xml:space="preserve">1.酬金分别为： </w:t>
      </w:r>
    </w:p>
    <w:p>
      <w:pPr>
        <w:spacing w:line="500" w:lineRule="exact"/>
        <w:ind w:firstLine="420" w:firstLineChars="200"/>
        <w:rPr>
          <w:rFonts w:ascii="宋体" w:hAnsi="宋体"/>
          <w:szCs w:val="21"/>
        </w:rPr>
      </w:pPr>
      <w:r>
        <w:rPr>
          <w:rFonts w:hint="eastAsia" w:ascii="宋体" w:hAnsi="宋体"/>
          <w:szCs w:val="21"/>
        </w:rPr>
        <w:t>项目管理：</w:t>
      </w:r>
      <w:r>
        <w:rPr>
          <w:rFonts w:hint="eastAsia" w:ascii="宋体" w:hAnsi="宋体"/>
          <w:szCs w:val="21"/>
          <w:u w:val="single"/>
        </w:rPr>
        <w:t>下浮   %。</w:t>
      </w:r>
    </w:p>
    <w:p>
      <w:pPr>
        <w:spacing w:line="500" w:lineRule="exact"/>
        <w:ind w:firstLine="420" w:firstLineChars="200"/>
        <w:rPr>
          <w:rFonts w:ascii="宋体" w:hAnsi="宋体"/>
          <w:szCs w:val="21"/>
          <w:u w:val="single"/>
        </w:rPr>
      </w:pPr>
      <w:r>
        <w:rPr>
          <w:rFonts w:hint="eastAsia" w:ascii="宋体" w:hAnsi="宋体"/>
          <w:szCs w:val="21"/>
        </w:rPr>
        <w:t>可行性研究报告编制：</w:t>
      </w:r>
      <w:r>
        <w:rPr>
          <w:rFonts w:hint="eastAsia" w:ascii="宋体" w:hAnsi="宋体"/>
          <w:szCs w:val="21"/>
          <w:u w:val="single"/>
        </w:rPr>
        <w:t>下浮   %。</w:t>
      </w:r>
    </w:p>
    <w:p>
      <w:pPr>
        <w:spacing w:line="500" w:lineRule="exact"/>
        <w:ind w:firstLine="420" w:firstLineChars="200"/>
        <w:rPr>
          <w:rFonts w:ascii="宋体" w:hAnsi="宋体"/>
          <w:szCs w:val="21"/>
          <w:u w:val="single"/>
        </w:rPr>
      </w:pPr>
      <w:r>
        <w:rPr>
          <w:rFonts w:hint="eastAsia" w:ascii="宋体" w:hAnsi="宋体"/>
          <w:szCs w:val="21"/>
        </w:rPr>
        <w:t>勘察：</w:t>
      </w:r>
      <w:r>
        <w:rPr>
          <w:rFonts w:hint="eastAsia" w:ascii="宋体" w:hAnsi="宋体"/>
          <w:szCs w:val="21"/>
          <w:u w:val="single"/>
        </w:rPr>
        <w:t>下浮   %。</w:t>
      </w:r>
    </w:p>
    <w:p>
      <w:pPr>
        <w:spacing w:line="500" w:lineRule="exact"/>
        <w:ind w:firstLine="420" w:firstLineChars="200"/>
        <w:rPr>
          <w:rFonts w:ascii="宋体" w:hAnsi="宋体"/>
          <w:szCs w:val="21"/>
        </w:rPr>
      </w:pPr>
      <w:r>
        <w:rPr>
          <w:rFonts w:hint="eastAsia" w:ascii="宋体" w:hAnsi="宋体"/>
          <w:szCs w:val="21"/>
        </w:rPr>
        <w:t>造价咨询：</w:t>
      </w:r>
      <w:r>
        <w:rPr>
          <w:rFonts w:hint="eastAsia" w:ascii="宋体" w:hAnsi="宋体"/>
          <w:szCs w:val="21"/>
          <w:u w:val="single"/>
        </w:rPr>
        <w:t>下浮   %。</w:t>
      </w:r>
    </w:p>
    <w:p>
      <w:pPr>
        <w:spacing w:line="500" w:lineRule="exact"/>
        <w:ind w:firstLine="420" w:firstLineChars="200"/>
        <w:rPr>
          <w:rFonts w:ascii="宋体" w:hAnsi="宋体"/>
          <w:szCs w:val="21"/>
          <w:u w:val="single"/>
        </w:rPr>
      </w:pPr>
      <w:r>
        <w:rPr>
          <w:rFonts w:hint="eastAsia" w:ascii="宋体" w:hAnsi="宋体"/>
          <w:szCs w:val="21"/>
        </w:rPr>
        <w:t>招标代理：</w:t>
      </w:r>
      <w:r>
        <w:rPr>
          <w:rFonts w:hint="eastAsia" w:ascii="宋体" w:hAnsi="宋体"/>
          <w:szCs w:val="21"/>
          <w:u w:val="single"/>
        </w:rPr>
        <w:t>下浮   %。</w:t>
      </w:r>
    </w:p>
    <w:p>
      <w:pPr>
        <w:spacing w:line="500" w:lineRule="exact"/>
        <w:ind w:firstLine="210" w:firstLineChars="100"/>
        <w:rPr>
          <w:rFonts w:ascii="宋体" w:hAnsi="宋体"/>
          <w:szCs w:val="21"/>
        </w:rPr>
      </w:pPr>
      <w:r>
        <w:rPr>
          <w:rFonts w:hint="eastAsia" w:ascii="宋体" w:hAnsi="宋体"/>
          <w:szCs w:val="21"/>
        </w:rPr>
        <w:t>2.计取方式：</w:t>
      </w:r>
      <w:r>
        <w:rPr>
          <w:rFonts w:hint="eastAsia" w:ascii="宋体" w:hAnsi="宋体"/>
          <w:szCs w:val="21"/>
          <w:u w:val="single"/>
        </w:rPr>
        <w:t>以初步设计批复文件中各项的概算为基价</w:t>
      </w:r>
      <w:r>
        <w:rPr>
          <w:rFonts w:hint="eastAsia" w:ascii="宋体" w:hAnsi="宋体"/>
          <w:szCs w:val="21"/>
        </w:rPr>
        <w:t>。</w:t>
      </w:r>
    </w:p>
    <w:p>
      <w:pPr>
        <w:spacing w:line="500" w:lineRule="exact"/>
        <w:rPr>
          <w:rFonts w:hint="eastAsia" w:ascii="宋体" w:hAnsi="宋体"/>
          <w:b/>
          <w:bCs/>
          <w:sz w:val="28"/>
          <w:szCs w:val="28"/>
        </w:rPr>
      </w:pPr>
      <w:bookmarkStart w:id="509" w:name="_Toc28155"/>
      <w:bookmarkStart w:id="510" w:name="_Toc15693"/>
      <w:bookmarkStart w:id="511" w:name="_Toc19301"/>
      <w:bookmarkStart w:id="512" w:name="_Toc7191"/>
      <w:bookmarkStart w:id="513" w:name="_Toc419045058"/>
      <w:bookmarkStart w:id="514" w:name="_Toc422322476"/>
      <w:r>
        <w:rPr>
          <w:rFonts w:hint="eastAsia" w:ascii="宋体" w:hAnsi="宋体"/>
          <w:b/>
          <w:bCs/>
          <w:sz w:val="28"/>
          <w:szCs w:val="28"/>
        </w:rPr>
        <w:t>六、合同文件的构成</w:t>
      </w:r>
      <w:bookmarkEnd w:id="509"/>
      <w:bookmarkEnd w:id="510"/>
      <w:bookmarkEnd w:id="511"/>
      <w:bookmarkEnd w:id="512"/>
      <w:bookmarkEnd w:id="513"/>
      <w:bookmarkEnd w:id="514"/>
    </w:p>
    <w:p>
      <w:pPr>
        <w:pStyle w:val="37"/>
        <w:spacing w:line="500" w:lineRule="exact"/>
        <w:ind w:firstLine="577" w:firstLineChars="275"/>
        <w:jc w:val="left"/>
        <w:rPr>
          <w:rFonts w:ascii="宋体" w:hAnsi="宋体"/>
        </w:rPr>
      </w:pPr>
      <w:r>
        <w:rPr>
          <w:rFonts w:hint="eastAsia" w:ascii="宋体" w:hAnsi="宋体"/>
        </w:rPr>
        <w:t>本协议书与下列文件一起构成合同文件：</w:t>
      </w:r>
    </w:p>
    <w:p>
      <w:pPr>
        <w:pStyle w:val="37"/>
        <w:spacing w:line="500" w:lineRule="exact"/>
        <w:ind w:firstLine="630" w:firstLineChars="300"/>
        <w:jc w:val="left"/>
        <w:rPr>
          <w:rFonts w:ascii="宋体" w:hAnsi="宋体"/>
        </w:rPr>
      </w:pPr>
      <w:r>
        <w:rPr>
          <w:rFonts w:hint="eastAsia" w:ascii="宋体" w:hAnsi="宋体"/>
        </w:rPr>
        <w:t>1.中标通知书或委托书（如果有）；</w:t>
      </w:r>
    </w:p>
    <w:p>
      <w:pPr>
        <w:pStyle w:val="37"/>
        <w:spacing w:line="500" w:lineRule="exact"/>
        <w:ind w:firstLine="630" w:firstLineChars="300"/>
        <w:jc w:val="left"/>
        <w:rPr>
          <w:rFonts w:ascii="宋体" w:hAnsi="宋体"/>
        </w:rPr>
      </w:pPr>
      <w:r>
        <w:rPr>
          <w:rFonts w:hint="eastAsia" w:ascii="宋体" w:hAnsi="宋体"/>
        </w:rPr>
        <w:t>2.投标函及投标函附录（如果有）；</w:t>
      </w:r>
    </w:p>
    <w:p>
      <w:pPr>
        <w:pStyle w:val="37"/>
        <w:spacing w:line="500" w:lineRule="exact"/>
        <w:ind w:firstLine="630" w:firstLineChars="300"/>
        <w:jc w:val="left"/>
        <w:rPr>
          <w:rFonts w:ascii="宋体" w:hAnsi="宋体"/>
        </w:rPr>
      </w:pPr>
      <w:r>
        <w:rPr>
          <w:rFonts w:hint="eastAsia" w:ascii="宋体" w:hAnsi="宋体"/>
        </w:rPr>
        <w:t>3.专用条件及附录；</w:t>
      </w:r>
    </w:p>
    <w:p>
      <w:pPr>
        <w:pStyle w:val="37"/>
        <w:spacing w:line="500" w:lineRule="exact"/>
        <w:ind w:firstLine="630" w:firstLineChars="300"/>
        <w:jc w:val="left"/>
        <w:rPr>
          <w:rFonts w:ascii="宋体" w:hAnsi="宋体"/>
        </w:rPr>
      </w:pPr>
      <w:r>
        <w:rPr>
          <w:rFonts w:hint="eastAsia" w:ascii="宋体" w:hAnsi="宋体"/>
        </w:rPr>
        <w:t xml:space="preserve">4.合同专用条款； </w:t>
      </w:r>
    </w:p>
    <w:p>
      <w:pPr>
        <w:pStyle w:val="37"/>
        <w:spacing w:line="500" w:lineRule="exact"/>
        <w:ind w:firstLine="630" w:firstLineChars="300"/>
        <w:jc w:val="left"/>
        <w:rPr>
          <w:rFonts w:ascii="宋体" w:hAnsi="宋体"/>
        </w:rPr>
      </w:pPr>
      <w:r>
        <w:rPr>
          <w:rFonts w:hint="eastAsia" w:ascii="宋体" w:hAnsi="宋体"/>
        </w:rPr>
        <w:t>5.合同通用条款；</w:t>
      </w:r>
    </w:p>
    <w:p>
      <w:pPr>
        <w:pStyle w:val="37"/>
        <w:spacing w:line="500" w:lineRule="exact"/>
        <w:ind w:firstLine="630" w:firstLineChars="300"/>
        <w:jc w:val="left"/>
        <w:rPr>
          <w:rFonts w:ascii="宋体" w:hAnsi="宋体"/>
        </w:rPr>
      </w:pPr>
      <w:r>
        <w:rPr>
          <w:rFonts w:hint="eastAsia" w:ascii="宋体" w:hAnsi="宋体"/>
        </w:rPr>
        <w:t>6.招标文件中的标准、规范及有关技术文件；</w:t>
      </w:r>
    </w:p>
    <w:p>
      <w:pPr>
        <w:pStyle w:val="37"/>
        <w:spacing w:line="500" w:lineRule="exact"/>
        <w:ind w:firstLine="630" w:firstLineChars="300"/>
        <w:jc w:val="left"/>
        <w:rPr>
          <w:rFonts w:ascii="宋体" w:hAnsi="宋体"/>
        </w:rPr>
      </w:pPr>
      <w:r>
        <w:rPr>
          <w:rFonts w:hint="eastAsia" w:ascii="宋体" w:hAnsi="宋体"/>
        </w:rPr>
        <w:t>7.投标文件；</w:t>
      </w:r>
    </w:p>
    <w:p>
      <w:pPr>
        <w:pStyle w:val="37"/>
        <w:spacing w:line="500" w:lineRule="exact"/>
        <w:ind w:firstLine="630" w:firstLineChars="300"/>
        <w:jc w:val="left"/>
        <w:rPr>
          <w:rFonts w:ascii="宋体" w:hAnsi="宋体"/>
        </w:rPr>
      </w:pPr>
      <w:r>
        <w:rPr>
          <w:rFonts w:hint="eastAsia" w:ascii="宋体" w:hAnsi="宋体"/>
        </w:rPr>
        <w:t>8.其他合同文件。</w:t>
      </w:r>
    </w:p>
    <w:p>
      <w:pPr>
        <w:pStyle w:val="37"/>
        <w:spacing w:line="500" w:lineRule="exact"/>
        <w:ind w:firstLine="420" w:firstLineChars="200"/>
        <w:jc w:val="left"/>
        <w:rPr>
          <w:rFonts w:ascii="宋体" w:hAnsi="宋体"/>
        </w:rPr>
      </w:pPr>
      <w:r>
        <w:rPr>
          <w:rFonts w:ascii="宋体" w:hAnsi="宋体"/>
        </w:rPr>
        <w:t>上述各项合同文件包括合同当事人就该项合同文件所作出的补充和修改</w:t>
      </w:r>
      <w:r>
        <w:rPr>
          <w:rFonts w:hint="eastAsia" w:ascii="宋体" w:hAnsi="宋体"/>
        </w:rPr>
        <w:t>，</w:t>
      </w:r>
      <w:r>
        <w:rPr>
          <w:rFonts w:ascii="宋体" w:hAnsi="宋体"/>
        </w:rPr>
        <w:t>属于同一类内容的文件，应以最新签署的为准。</w:t>
      </w:r>
    </w:p>
    <w:p>
      <w:pPr>
        <w:pStyle w:val="37"/>
        <w:spacing w:line="500" w:lineRule="exact"/>
        <w:ind w:firstLine="420" w:firstLineChars="200"/>
        <w:jc w:val="left"/>
        <w:rPr>
          <w:rFonts w:ascii="宋体" w:hAnsi="宋体"/>
          <w:bCs/>
          <w:smallCaps/>
        </w:rPr>
      </w:pPr>
      <w:r>
        <w:rPr>
          <w:rFonts w:hint="eastAsia" w:ascii="宋体" w:hAnsi="宋体"/>
        </w:rPr>
        <w:t>在合同订立及履行过程中形成的与合同有关的文件（包括补充协议）均构成合同文件的组成部分。</w:t>
      </w:r>
    </w:p>
    <w:p>
      <w:pPr>
        <w:spacing w:line="500" w:lineRule="exact"/>
        <w:rPr>
          <w:rFonts w:hint="eastAsia" w:ascii="宋体" w:hAnsi="宋体"/>
          <w:b/>
          <w:bCs/>
          <w:sz w:val="28"/>
          <w:szCs w:val="28"/>
        </w:rPr>
      </w:pPr>
      <w:bookmarkStart w:id="515" w:name="_Toc419045057"/>
      <w:bookmarkStart w:id="516" w:name="_Toc29576"/>
      <w:bookmarkStart w:id="517" w:name="_Toc2566"/>
      <w:bookmarkStart w:id="518" w:name="_Toc422322477"/>
      <w:bookmarkStart w:id="519" w:name="_Toc4392"/>
      <w:bookmarkStart w:id="520" w:name="_Toc13401"/>
      <w:r>
        <w:rPr>
          <w:rFonts w:hint="eastAsia" w:ascii="宋体" w:hAnsi="宋体"/>
          <w:b/>
          <w:bCs/>
          <w:sz w:val="28"/>
          <w:szCs w:val="28"/>
        </w:rPr>
        <w:t>七、</w:t>
      </w:r>
      <w:bookmarkStart w:id="521" w:name="8"/>
      <w:r>
        <w:rPr>
          <w:rFonts w:hint="eastAsia" w:ascii="宋体" w:hAnsi="宋体"/>
          <w:b/>
          <w:bCs/>
          <w:sz w:val="28"/>
          <w:szCs w:val="28"/>
        </w:rPr>
        <w:t>词语</w:t>
      </w:r>
      <w:bookmarkEnd w:id="515"/>
      <w:r>
        <w:rPr>
          <w:rFonts w:hint="eastAsia" w:ascii="宋体" w:hAnsi="宋体"/>
          <w:b/>
          <w:bCs/>
          <w:sz w:val="28"/>
          <w:szCs w:val="28"/>
        </w:rPr>
        <w:t>定义</w:t>
      </w:r>
      <w:bookmarkEnd w:id="516"/>
      <w:bookmarkEnd w:id="517"/>
      <w:bookmarkEnd w:id="518"/>
      <w:bookmarkEnd w:id="519"/>
      <w:bookmarkEnd w:id="520"/>
    </w:p>
    <w:p>
      <w:pPr>
        <w:spacing w:line="500" w:lineRule="exact"/>
        <w:ind w:firstLine="420" w:firstLineChars="200"/>
        <w:rPr>
          <w:rFonts w:ascii="宋体" w:hAnsi="宋体"/>
          <w:szCs w:val="21"/>
        </w:rPr>
      </w:pPr>
      <w:r>
        <w:rPr>
          <w:rFonts w:hint="eastAsia" w:ascii="宋体" w:hAnsi="宋体"/>
          <w:szCs w:val="21"/>
        </w:rPr>
        <w:t>协议书中相关词语的含义与通用条件中的定义与解释相同。</w:t>
      </w:r>
      <w:bookmarkEnd w:id="521"/>
    </w:p>
    <w:p>
      <w:pPr>
        <w:spacing w:line="500" w:lineRule="exact"/>
        <w:rPr>
          <w:rFonts w:hint="eastAsia" w:ascii="宋体" w:hAnsi="宋体"/>
          <w:b/>
          <w:bCs/>
          <w:sz w:val="28"/>
          <w:szCs w:val="28"/>
        </w:rPr>
      </w:pPr>
      <w:bookmarkStart w:id="522" w:name="_Toc11498"/>
      <w:bookmarkStart w:id="523" w:name="_Toc19573"/>
      <w:bookmarkStart w:id="524" w:name="_Toc27412"/>
      <w:bookmarkStart w:id="525" w:name="_Toc422322478"/>
      <w:bookmarkStart w:id="526" w:name="_Toc10421"/>
      <w:bookmarkStart w:id="527" w:name="_Toc419045063"/>
      <w:r>
        <w:rPr>
          <w:rFonts w:hint="eastAsia" w:ascii="宋体" w:hAnsi="宋体"/>
          <w:b/>
          <w:bCs/>
          <w:sz w:val="28"/>
          <w:szCs w:val="28"/>
        </w:rPr>
        <w:t>八、合同订立</w:t>
      </w:r>
      <w:bookmarkEnd w:id="522"/>
      <w:bookmarkEnd w:id="523"/>
      <w:bookmarkEnd w:id="524"/>
      <w:bookmarkEnd w:id="525"/>
      <w:bookmarkEnd w:id="526"/>
      <w:bookmarkEnd w:id="527"/>
    </w:p>
    <w:p>
      <w:pPr>
        <w:pStyle w:val="37"/>
        <w:spacing w:line="500" w:lineRule="exact"/>
        <w:ind w:firstLine="420" w:firstLineChars="200"/>
        <w:rPr>
          <w:rFonts w:ascii="宋体" w:hAnsi="宋体"/>
        </w:rPr>
      </w:pPr>
      <w:r>
        <w:rPr>
          <w:rFonts w:hint="eastAsia" w:ascii="宋体" w:hAnsi="宋体"/>
        </w:rPr>
        <w:t>1.订立时间：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pStyle w:val="37"/>
        <w:spacing w:line="500" w:lineRule="exact"/>
        <w:ind w:firstLine="420" w:firstLineChars="200"/>
        <w:rPr>
          <w:rFonts w:ascii="宋体" w:hAnsi="宋体"/>
        </w:rPr>
      </w:pPr>
      <w:r>
        <w:rPr>
          <w:rFonts w:hint="eastAsia" w:ascii="宋体" w:hAnsi="宋体"/>
        </w:rPr>
        <w:t>2.订立地点：</w:t>
      </w:r>
      <w:r>
        <w:rPr>
          <w:rFonts w:hint="eastAsia" w:ascii="宋体" w:hAnsi="宋体"/>
          <w:u w:val="single"/>
        </w:rPr>
        <w:t xml:space="preserve">                                       </w:t>
      </w:r>
      <w:r>
        <w:rPr>
          <w:rFonts w:hint="eastAsia" w:ascii="宋体" w:hAnsi="宋体"/>
        </w:rPr>
        <w:t>。</w:t>
      </w:r>
    </w:p>
    <w:p>
      <w:pPr>
        <w:spacing w:line="500" w:lineRule="exact"/>
        <w:rPr>
          <w:rFonts w:hint="eastAsia" w:ascii="宋体" w:hAnsi="宋体"/>
          <w:b/>
          <w:bCs/>
          <w:sz w:val="28"/>
          <w:szCs w:val="28"/>
        </w:rPr>
      </w:pPr>
      <w:bookmarkStart w:id="528" w:name="_Toc419045064"/>
      <w:bookmarkStart w:id="529" w:name="_Toc27021"/>
      <w:bookmarkStart w:id="530" w:name="_Toc422322479"/>
      <w:bookmarkStart w:id="531" w:name="_Toc29093"/>
      <w:bookmarkStart w:id="532" w:name="_Toc12579"/>
      <w:bookmarkStart w:id="533" w:name="_Toc2390"/>
      <w:r>
        <w:rPr>
          <w:rFonts w:hint="eastAsia" w:ascii="宋体" w:hAnsi="宋体"/>
          <w:b/>
          <w:bCs/>
          <w:sz w:val="28"/>
          <w:szCs w:val="28"/>
        </w:rPr>
        <w:t>九、合同生效</w:t>
      </w:r>
      <w:bookmarkEnd w:id="528"/>
      <w:bookmarkEnd w:id="529"/>
      <w:bookmarkEnd w:id="530"/>
      <w:bookmarkEnd w:id="531"/>
      <w:bookmarkEnd w:id="532"/>
      <w:bookmarkEnd w:id="533"/>
    </w:p>
    <w:p>
      <w:pPr>
        <w:pStyle w:val="37"/>
        <w:spacing w:line="500" w:lineRule="exact"/>
        <w:ind w:firstLine="420" w:firstLineChars="200"/>
        <w:rPr>
          <w:rFonts w:ascii="宋体" w:hAnsi="宋体" w:eastAsia="Calibri"/>
        </w:rPr>
      </w:pPr>
      <w:r>
        <w:rPr>
          <w:rFonts w:hint="eastAsia" w:ascii="宋体" w:hAnsi="宋体"/>
        </w:rPr>
        <w:t>本合同自</w:t>
      </w:r>
      <w:r>
        <w:rPr>
          <w:rFonts w:hint="eastAsia" w:ascii="宋体" w:hAnsi="宋体"/>
          <w:u w:val="single"/>
        </w:rPr>
        <w:t xml:space="preserve">  甲方</w:t>
      </w:r>
      <w:r>
        <w:rPr>
          <w:rFonts w:hint="eastAsia" w:hAnsi="宋体"/>
          <w:u w:val="single"/>
        </w:rPr>
        <w:t>和乙方的法定代表人或其授权受托人在协议书上签字并盖单位章</w:t>
      </w:r>
      <w:r>
        <w:rPr>
          <w:rFonts w:hint="eastAsia" w:ascii="宋体" w:hAnsi="宋体"/>
          <w:u w:val="single"/>
        </w:rPr>
        <w:t xml:space="preserve">           </w:t>
      </w:r>
      <w:r>
        <w:rPr>
          <w:rFonts w:hint="eastAsia" w:ascii="宋体" w:hAnsi="宋体"/>
        </w:rPr>
        <w:t>生效。</w:t>
      </w:r>
    </w:p>
    <w:p>
      <w:pPr>
        <w:spacing w:line="500" w:lineRule="exact"/>
        <w:rPr>
          <w:rFonts w:hint="eastAsia" w:ascii="宋体" w:hAnsi="宋体"/>
          <w:b/>
          <w:bCs/>
          <w:sz w:val="28"/>
          <w:szCs w:val="28"/>
        </w:rPr>
      </w:pPr>
      <w:bookmarkStart w:id="534" w:name="_Toc419045065"/>
      <w:bookmarkStart w:id="535" w:name="_Toc19737"/>
      <w:bookmarkStart w:id="536" w:name="_Toc422322480"/>
      <w:bookmarkStart w:id="537" w:name="_Toc24532"/>
      <w:bookmarkStart w:id="538" w:name="_Toc19773"/>
      <w:bookmarkStart w:id="539" w:name="_Toc26188"/>
      <w:r>
        <w:rPr>
          <w:rFonts w:hint="eastAsia" w:ascii="宋体" w:hAnsi="宋体"/>
          <w:b/>
          <w:bCs/>
          <w:sz w:val="28"/>
          <w:szCs w:val="28"/>
        </w:rPr>
        <w:t>十、合同份数</w:t>
      </w:r>
      <w:bookmarkEnd w:id="534"/>
      <w:bookmarkEnd w:id="535"/>
      <w:bookmarkEnd w:id="536"/>
      <w:bookmarkEnd w:id="537"/>
      <w:bookmarkEnd w:id="538"/>
      <w:bookmarkEnd w:id="539"/>
    </w:p>
    <w:p>
      <w:pPr>
        <w:pStyle w:val="37"/>
        <w:spacing w:line="500" w:lineRule="exact"/>
        <w:ind w:firstLine="420" w:firstLineChars="200"/>
        <w:rPr>
          <w:rFonts w:ascii="宋体" w:hAnsi="宋体"/>
        </w:rPr>
      </w:pPr>
      <w:r>
        <w:rPr>
          <w:rFonts w:hint="eastAsia" w:ascii="宋体" w:hAnsi="宋体"/>
        </w:rPr>
        <w:t>本合同一式</w:t>
      </w:r>
      <w:r>
        <w:rPr>
          <w:rFonts w:hint="eastAsia" w:ascii="宋体" w:hAnsi="宋体"/>
          <w:u w:val="single"/>
        </w:rPr>
        <w:t xml:space="preserve">    </w:t>
      </w:r>
      <w:r>
        <w:rPr>
          <w:rFonts w:hint="eastAsia" w:ascii="宋体" w:hAnsi="宋体"/>
        </w:rPr>
        <w:t>份，其中正本</w:t>
      </w:r>
      <w:r>
        <w:rPr>
          <w:rFonts w:hint="eastAsia" w:ascii="宋体" w:hAnsi="宋体"/>
          <w:u w:val="single"/>
        </w:rPr>
        <w:t xml:space="preserve">    </w:t>
      </w:r>
      <w:r>
        <w:rPr>
          <w:rFonts w:hint="eastAsia" w:ascii="宋体" w:hAnsi="宋体"/>
        </w:rPr>
        <w:t>份，副本</w:t>
      </w:r>
      <w:r>
        <w:rPr>
          <w:rFonts w:hint="eastAsia" w:ascii="宋体" w:hAnsi="宋体"/>
          <w:u w:val="single"/>
        </w:rPr>
        <w:t xml:space="preserve">    </w:t>
      </w:r>
      <w:r>
        <w:rPr>
          <w:rFonts w:hint="eastAsia" w:ascii="宋体" w:hAnsi="宋体"/>
        </w:rPr>
        <w:t>份，具有同等法律效力。甲乙双方各执正本</w:t>
      </w:r>
      <w:r>
        <w:rPr>
          <w:rFonts w:hint="eastAsia" w:ascii="宋体" w:hAnsi="宋体"/>
          <w:u w:val="single"/>
        </w:rPr>
        <w:t xml:space="preserve">   </w:t>
      </w:r>
      <w:r>
        <w:rPr>
          <w:rFonts w:hint="eastAsia" w:ascii="宋体" w:hAnsi="宋体"/>
        </w:rPr>
        <w:t>份，甲方执副本</w:t>
      </w:r>
      <w:r>
        <w:rPr>
          <w:rFonts w:hint="eastAsia" w:ascii="宋体" w:hAnsi="宋体"/>
          <w:u w:val="single"/>
        </w:rPr>
        <w:t xml:space="preserve">   </w:t>
      </w:r>
      <w:r>
        <w:rPr>
          <w:rFonts w:hint="eastAsia" w:ascii="宋体" w:hAnsi="宋体"/>
        </w:rPr>
        <w:t>份，乙方执副本</w:t>
      </w:r>
      <w:r>
        <w:rPr>
          <w:rFonts w:hint="eastAsia" w:ascii="宋体" w:hAnsi="宋体"/>
          <w:u w:val="single"/>
        </w:rPr>
        <w:t xml:space="preserve">   </w:t>
      </w:r>
      <w:r>
        <w:rPr>
          <w:rFonts w:hint="eastAsia" w:ascii="宋体" w:hAnsi="宋体"/>
        </w:rPr>
        <w:t>份。</w:t>
      </w:r>
    </w:p>
    <w:p>
      <w:pPr>
        <w:pStyle w:val="37"/>
        <w:spacing w:line="500" w:lineRule="exact"/>
        <w:ind w:firstLine="420" w:firstLineChars="200"/>
        <w:rPr>
          <w:rFonts w:ascii="宋体" w:hAnsi="宋体"/>
        </w:rPr>
      </w:pPr>
    </w:p>
    <w:p>
      <w:pPr>
        <w:pStyle w:val="37"/>
        <w:spacing w:line="500" w:lineRule="exact"/>
        <w:ind w:firstLine="247" w:firstLineChars="118"/>
        <w:rPr>
          <w:rFonts w:ascii="宋体" w:hAnsi="宋体"/>
        </w:rPr>
      </w:pPr>
      <w:r>
        <w:rPr>
          <w:rFonts w:hint="eastAsia" w:ascii="宋体" w:hAnsi="宋体"/>
        </w:rPr>
        <w:t>甲方：</w:t>
      </w:r>
      <w:r>
        <w:rPr>
          <w:rFonts w:hint="eastAsia" w:ascii="宋体" w:hAnsi="宋体"/>
          <w:u w:val="single"/>
        </w:rPr>
        <w:t xml:space="preserve">           </w:t>
      </w:r>
      <w:r>
        <w:rPr>
          <w:rFonts w:hint="eastAsia" w:ascii="宋体" w:hAnsi="宋体"/>
        </w:rPr>
        <w:t>（盖章）         乙方：</w:t>
      </w:r>
      <w:r>
        <w:rPr>
          <w:rFonts w:hint="eastAsia" w:ascii="宋体" w:hAnsi="宋体"/>
          <w:u w:val="single"/>
        </w:rPr>
        <w:t xml:space="preserve">           </w:t>
      </w:r>
      <w:r>
        <w:rPr>
          <w:rFonts w:hint="eastAsia" w:ascii="宋体" w:hAnsi="宋体"/>
        </w:rPr>
        <w:t>（盖章）</w:t>
      </w:r>
    </w:p>
    <w:p>
      <w:pPr>
        <w:pStyle w:val="37"/>
        <w:spacing w:line="500" w:lineRule="exact"/>
        <w:ind w:firstLine="247" w:firstLineChars="118"/>
        <w:rPr>
          <w:rFonts w:ascii="宋体" w:hAnsi="宋体"/>
        </w:rPr>
      </w:pPr>
      <w:r>
        <w:rPr>
          <w:rFonts w:hint="eastAsia" w:ascii="宋体" w:hAnsi="宋体"/>
        </w:rPr>
        <w:t xml:space="preserve">    法定代表人或其授权的                法定代表人或其授权的</w:t>
      </w:r>
    </w:p>
    <w:p>
      <w:pPr>
        <w:pStyle w:val="37"/>
        <w:spacing w:line="500" w:lineRule="exact"/>
        <w:ind w:firstLine="247" w:firstLineChars="118"/>
        <w:rPr>
          <w:rFonts w:ascii="宋体" w:hAnsi="宋体"/>
        </w:rPr>
      </w:pPr>
      <w:r>
        <w:rPr>
          <w:rFonts w:hint="eastAsia" w:ascii="宋体" w:hAnsi="宋体"/>
        </w:rPr>
        <w:t>代理人：</w:t>
      </w:r>
      <w:r>
        <w:rPr>
          <w:rFonts w:hint="eastAsia" w:ascii="宋体" w:hAnsi="宋体"/>
          <w:u w:val="single"/>
        </w:rPr>
        <w:t xml:space="preserve">      </w:t>
      </w:r>
      <w:r>
        <w:rPr>
          <w:rFonts w:hint="eastAsia" w:ascii="宋体" w:hAnsi="宋体"/>
        </w:rPr>
        <w:t>（签字）</w:t>
      </w:r>
      <w:r>
        <w:rPr>
          <w:rFonts w:ascii="宋体" w:hAnsi="宋体"/>
        </w:rPr>
        <w:t xml:space="preserve">              </w:t>
      </w:r>
      <w:r>
        <w:rPr>
          <w:rFonts w:hint="eastAsia" w:ascii="宋体" w:hAnsi="宋体"/>
        </w:rPr>
        <w:t>代理人：</w:t>
      </w:r>
      <w:r>
        <w:rPr>
          <w:rFonts w:ascii="宋体" w:hAnsi="宋体"/>
          <w:u w:val="single"/>
        </w:rPr>
        <w:t xml:space="preserve">      </w:t>
      </w:r>
      <w:r>
        <w:rPr>
          <w:rFonts w:hint="eastAsia" w:ascii="宋体" w:hAnsi="宋体"/>
        </w:rPr>
        <w:t>（签字）</w:t>
      </w:r>
      <w:r>
        <w:rPr>
          <w:rFonts w:ascii="宋体" w:hAnsi="宋体"/>
        </w:rPr>
        <w:t xml:space="preserve">        </w:t>
      </w:r>
    </w:p>
    <w:p>
      <w:pPr>
        <w:pStyle w:val="37"/>
        <w:spacing w:line="500" w:lineRule="exact"/>
        <w:ind w:firstLine="247" w:firstLineChars="118"/>
        <w:rPr>
          <w:rFonts w:ascii="宋体" w:hAnsi="宋体"/>
        </w:rPr>
      </w:pPr>
      <w:r>
        <w:rPr>
          <w:rFonts w:hint="eastAsia" w:ascii="宋体" w:hAnsi="宋体"/>
        </w:rPr>
        <w:t>统一社会信用代码：</w:t>
      </w:r>
      <w:r>
        <w:rPr>
          <w:rFonts w:ascii="宋体" w:hAnsi="宋体"/>
          <w:u w:val="single"/>
        </w:rPr>
        <w:t xml:space="preserve">             </w:t>
      </w:r>
      <w:r>
        <w:rPr>
          <w:rFonts w:ascii="宋体" w:hAnsi="宋体"/>
        </w:rPr>
        <w:t xml:space="preserve">     </w:t>
      </w:r>
      <w:r>
        <w:rPr>
          <w:rFonts w:hint="eastAsia" w:ascii="宋体" w:hAnsi="宋体"/>
        </w:rPr>
        <w:t>统一社会信用代码：</w:t>
      </w:r>
      <w:r>
        <w:rPr>
          <w:rFonts w:ascii="宋体" w:hAnsi="宋体"/>
          <w:u w:val="single"/>
        </w:rPr>
        <w:t xml:space="preserve">              </w:t>
      </w:r>
    </w:p>
    <w:p>
      <w:pPr>
        <w:pStyle w:val="37"/>
        <w:spacing w:line="500" w:lineRule="exact"/>
        <w:ind w:firstLine="247" w:firstLineChars="118"/>
        <w:jc w:val="left"/>
        <w:rPr>
          <w:rFonts w:ascii="宋体" w:hAnsi="宋体"/>
          <w:u w:val="single"/>
        </w:rPr>
      </w:pPr>
      <w:r>
        <w:rPr>
          <w:rFonts w:hint="eastAsia" w:ascii="宋体" w:hAnsi="宋体"/>
        </w:rPr>
        <w:t>住</w:t>
      </w:r>
      <w:r>
        <w:rPr>
          <w:rFonts w:ascii="宋体" w:hAnsi="宋体"/>
        </w:rPr>
        <w:t xml:space="preserve">    </w:t>
      </w:r>
      <w:r>
        <w:rPr>
          <w:rFonts w:hint="eastAsia" w:ascii="宋体" w:hAnsi="宋体"/>
        </w:rPr>
        <w:t>所：</w:t>
      </w:r>
      <w:r>
        <w:rPr>
          <w:rFonts w:ascii="宋体" w:hAnsi="宋体"/>
          <w:u w:val="single"/>
        </w:rPr>
        <w:t xml:space="preserve">                     </w:t>
      </w:r>
      <w:r>
        <w:rPr>
          <w:rFonts w:ascii="宋体" w:hAnsi="宋体"/>
        </w:rPr>
        <w:t xml:space="preserve">     住    所：</w:t>
      </w:r>
      <w:r>
        <w:rPr>
          <w:rFonts w:hint="eastAsia" w:ascii="宋体" w:hAnsi="宋体"/>
          <w:u w:val="single"/>
        </w:rPr>
        <w:t xml:space="preserve">                      </w:t>
      </w:r>
    </w:p>
    <w:p>
      <w:pPr>
        <w:pStyle w:val="37"/>
        <w:spacing w:line="500" w:lineRule="exact"/>
        <w:ind w:firstLine="247" w:firstLineChars="118"/>
        <w:jc w:val="left"/>
        <w:rPr>
          <w:rFonts w:ascii="宋体" w:hAnsi="宋体"/>
          <w:u w:val="single"/>
        </w:rPr>
      </w:pP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p>
    <w:p>
      <w:pPr>
        <w:pStyle w:val="37"/>
        <w:spacing w:line="500" w:lineRule="exact"/>
        <w:ind w:firstLine="247" w:firstLineChars="118"/>
        <w:jc w:val="left"/>
        <w:rPr>
          <w:rFonts w:ascii="宋体" w:hAnsi="宋体"/>
          <w:u w:val="single"/>
        </w:rPr>
      </w:pPr>
      <w:r>
        <w:rPr>
          <w:rFonts w:hint="eastAsia" w:ascii="宋体" w:hAnsi="宋体"/>
        </w:rPr>
        <w:t>账    号：</w:t>
      </w:r>
      <w:r>
        <w:rPr>
          <w:rFonts w:hint="eastAsia" w:ascii="宋体" w:hAnsi="宋体"/>
          <w:u w:val="single"/>
        </w:rPr>
        <w:t xml:space="preserve">                     </w:t>
      </w:r>
      <w:r>
        <w:rPr>
          <w:rFonts w:hint="eastAsia" w:ascii="宋体" w:hAnsi="宋体"/>
        </w:rPr>
        <w:t xml:space="preserve">     账    号：</w:t>
      </w:r>
      <w:r>
        <w:rPr>
          <w:rFonts w:hint="eastAsia" w:ascii="宋体" w:hAnsi="宋体"/>
          <w:u w:val="single"/>
        </w:rPr>
        <w:t xml:space="preserve">                      </w:t>
      </w:r>
    </w:p>
    <w:p>
      <w:pPr>
        <w:pStyle w:val="37"/>
        <w:spacing w:line="500" w:lineRule="exact"/>
        <w:ind w:firstLine="247" w:firstLineChars="118"/>
        <w:jc w:val="left"/>
        <w:rPr>
          <w:rFonts w:ascii="宋体" w:hAnsi="宋体"/>
          <w:u w:val="single"/>
        </w:rPr>
      </w:pPr>
      <w:r>
        <w:rPr>
          <w:rFonts w:hint="eastAsia" w:ascii="宋体" w:hAnsi="宋体"/>
        </w:rPr>
        <w:t>开户银行：</w:t>
      </w:r>
      <w:r>
        <w:rPr>
          <w:rFonts w:hint="eastAsia" w:ascii="宋体" w:hAnsi="宋体"/>
          <w:u w:val="single"/>
        </w:rPr>
        <w:t xml:space="preserve">                     </w:t>
      </w:r>
      <w:r>
        <w:rPr>
          <w:rFonts w:hint="eastAsia" w:ascii="宋体" w:hAnsi="宋体"/>
        </w:rPr>
        <w:t xml:space="preserve">     开户银行：</w:t>
      </w:r>
      <w:r>
        <w:rPr>
          <w:rFonts w:hint="eastAsia" w:ascii="宋体" w:hAnsi="宋体"/>
          <w:u w:val="single"/>
        </w:rPr>
        <w:t xml:space="preserve">                      </w:t>
      </w:r>
    </w:p>
    <w:p>
      <w:pPr>
        <w:pStyle w:val="37"/>
        <w:spacing w:line="500" w:lineRule="exact"/>
        <w:ind w:firstLine="247" w:firstLineChars="118"/>
        <w:jc w:val="left"/>
        <w:rPr>
          <w:rFonts w:ascii="宋体" w:hAnsi="宋体"/>
          <w:u w:val="single"/>
        </w:rPr>
      </w:pPr>
      <w:r>
        <w:rPr>
          <w:rFonts w:hint="eastAsia" w:ascii="宋体" w:hAnsi="宋体"/>
        </w:rPr>
        <w:t>邮政编码：</w:t>
      </w:r>
      <w:r>
        <w:rPr>
          <w:rFonts w:hint="eastAsia" w:ascii="宋体" w:hAnsi="宋体"/>
          <w:u w:val="single"/>
        </w:rPr>
        <w:t xml:space="preserve">                     </w:t>
      </w:r>
      <w:r>
        <w:rPr>
          <w:rFonts w:hint="eastAsia" w:ascii="宋体" w:hAnsi="宋体"/>
        </w:rPr>
        <w:t xml:space="preserve">     邮政编码：</w:t>
      </w:r>
      <w:r>
        <w:rPr>
          <w:rFonts w:hint="eastAsia" w:ascii="宋体" w:hAnsi="宋体"/>
          <w:u w:val="single"/>
        </w:rPr>
        <w:t xml:space="preserve">                      </w:t>
      </w:r>
    </w:p>
    <w:p>
      <w:pPr>
        <w:pStyle w:val="37"/>
        <w:spacing w:line="500" w:lineRule="exact"/>
        <w:ind w:firstLine="247" w:firstLineChars="118"/>
        <w:jc w:val="left"/>
        <w:rPr>
          <w:rFonts w:ascii="宋体" w:hAnsi="宋体"/>
          <w:u w:val="single"/>
        </w:rPr>
      </w:pPr>
      <w:r>
        <w:rPr>
          <w:rFonts w:hint="eastAsia" w:ascii="宋体" w:hAnsi="宋体"/>
        </w:rPr>
        <w:t>电    话：</w:t>
      </w:r>
      <w:r>
        <w:rPr>
          <w:rFonts w:hint="eastAsia" w:ascii="宋体" w:hAnsi="宋体"/>
          <w:u w:val="single"/>
        </w:rPr>
        <w:t xml:space="preserve">                     </w:t>
      </w:r>
      <w:r>
        <w:rPr>
          <w:rFonts w:hint="eastAsia" w:ascii="宋体" w:hAnsi="宋体"/>
        </w:rPr>
        <w:t xml:space="preserve">     电    话：</w:t>
      </w:r>
      <w:r>
        <w:rPr>
          <w:rFonts w:hint="eastAsia" w:ascii="宋体" w:hAnsi="宋体"/>
          <w:u w:val="single"/>
        </w:rPr>
        <w:t xml:space="preserve">                      </w:t>
      </w:r>
    </w:p>
    <w:p>
      <w:pPr>
        <w:pStyle w:val="37"/>
        <w:spacing w:line="500" w:lineRule="exact"/>
        <w:ind w:firstLine="247" w:firstLineChars="118"/>
        <w:jc w:val="left"/>
        <w:rPr>
          <w:rFonts w:ascii="宋体" w:hAnsi="宋体"/>
          <w:u w:val="single"/>
        </w:rPr>
      </w:pPr>
      <w:r>
        <w:rPr>
          <w:rFonts w:hint="eastAsia" w:ascii="宋体" w:hAnsi="宋体"/>
        </w:rPr>
        <w:t>传    真：</w:t>
      </w:r>
      <w:r>
        <w:rPr>
          <w:rFonts w:hint="eastAsia" w:ascii="宋体" w:hAnsi="宋体"/>
          <w:u w:val="single"/>
        </w:rPr>
        <w:t xml:space="preserve">                     </w:t>
      </w:r>
      <w:r>
        <w:rPr>
          <w:rFonts w:hint="eastAsia" w:ascii="宋体" w:hAnsi="宋体"/>
        </w:rPr>
        <w:t xml:space="preserve">     传    真：</w:t>
      </w:r>
      <w:r>
        <w:rPr>
          <w:rFonts w:hint="eastAsia" w:ascii="宋体" w:hAnsi="宋体"/>
          <w:u w:val="single"/>
        </w:rPr>
        <w:t xml:space="preserve">                      </w:t>
      </w:r>
    </w:p>
    <w:p>
      <w:pPr>
        <w:pStyle w:val="37"/>
        <w:spacing w:line="500" w:lineRule="exact"/>
        <w:ind w:firstLine="247" w:firstLineChars="118"/>
        <w:jc w:val="left"/>
        <w:rPr>
          <w:rFonts w:ascii="宋体" w:hAnsi="宋体"/>
          <w:u w:val="single"/>
        </w:rPr>
      </w:pPr>
      <w:r>
        <w:rPr>
          <w:rFonts w:hint="eastAsia" w:ascii="宋体" w:hAnsi="宋体"/>
        </w:rPr>
        <w:t>电子信箱：</w:t>
      </w:r>
      <w:r>
        <w:rPr>
          <w:rFonts w:hint="eastAsia" w:ascii="宋体" w:hAnsi="宋体"/>
          <w:u w:val="single"/>
        </w:rPr>
        <w:t xml:space="preserve">                     </w:t>
      </w:r>
      <w:r>
        <w:rPr>
          <w:rFonts w:hint="eastAsia" w:ascii="宋体" w:hAnsi="宋体"/>
        </w:rPr>
        <w:t xml:space="preserve">     电子信箱：</w:t>
      </w:r>
      <w:r>
        <w:fldChar w:fldCharType="begin"/>
      </w:r>
      <w:r>
        <w:instrText xml:space="preserve"> HYPERLINK "mailto:hswyzx@163.com" </w:instrText>
      </w:r>
      <w:r>
        <w:fldChar w:fldCharType="separate"/>
      </w:r>
      <w:r>
        <w:fldChar w:fldCharType="end"/>
      </w:r>
      <w:r>
        <w:rPr>
          <w:rFonts w:hint="eastAsia" w:ascii="宋体" w:hAnsi="宋体"/>
          <w:u w:val="single"/>
          <w:lang w:val="zh-CN"/>
        </w:rPr>
        <w:t xml:space="preserve">                     </w:t>
      </w:r>
      <w:r>
        <w:rPr>
          <w:rFonts w:hint="eastAsia" w:ascii="宋体" w:hAnsi="宋体"/>
          <w:u w:val="single"/>
        </w:rPr>
        <w:t xml:space="preserve"> </w:t>
      </w:r>
    </w:p>
    <w:p>
      <w:pPr>
        <w:pStyle w:val="37"/>
        <w:spacing w:line="500" w:lineRule="exact"/>
        <w:ind w:firstLine="330" w:firstLineChars="118"/>
        <w:jc w:val="center"/>
        <w:rPr>
          <w:kern w:val="2"/>
          <w:sz w:val="28"/>
          <w:szCs w:val="20"/>
        </w:rPr>
      </w:pPr>
    </w:p>
    <w:p>
      <w:pPr>
        <w:pStyle w:val="37"/>
        <w:spacing w:line="500" w:lineRule="exact"/>
        <w:jc w:val="center"/>
        <w:rPr>
          <w:rFonts w:ascii="Calibri" w:hAnsi="Calibri" w:cs="Arial"/>
          <w:b/>
          <w:bCs/>
          <w:kern w:val="2"/>
          <w:sz w:val="28"/>
          <w:szCs w:val="20"/>
        </w:rPr>
      </w:pPr>
    </w:p>
    <w:p>
      <w:pPr>
        <w:pStyle w:val="37"/>
        <w:spacing w:line="500" w:lineRule="exact"/>
        <w:jc w:val="center"/>
        <w:rPr>
          <w:rFonts w:ascii="Calibri" w:hAnsi="Calibri" w:cs="Arial"/>
          <w:b/>
          <w:bCs/>
          <w:kern w:val="2"/>
          <w:sz w:val="28"/>
          <w:szCs w:val="20"/>
        </w:rPr>
      </w:pPr>
    </w:p>
    <w:p>
      <w:pPr>
        <w:pStyle w:val="37"/>
        <w:spacing w:line="500" w:lineRule="exact"/>
        <w:jc w:val="center"/>
        <w:rPr>
          <w:rFonts w:ascii="Calibri" w:hAnsi="Calibri" w:cs="Arial"/>
          <w:b/>
          <w:bCs/>
          <w:kern w:val="2"/>
          <w:sz w:val="28"/>
          <w:szCs w:val="20"/>
        </w:rPr>
      </w:pPr>
    </w:p>
    <w:p>
      <w:pPr>
        <w:pStyle w:val="37"/>
        <w:spacing w:line="500" w:lineRule="exact"/>
        <w:jc w:val="center"/>
        <w:rPr>
          <w:rFonts w:ascii="Calibri" w:hAnsi="Calibri" w:cs="Arial"/>
          <w:b/>
          <w:bCs/>
          <w:kern w:val="2"/>
          <w:sz w:val="28"/>
          <w:szCs w:val="20"/>
        </w:rPr>
      </w:pPr>
    </w:p>
    <w:p>
      <w:pPr>
        <w:pStyle w:val="37"/>
        <w:spacing w:line="500" w:lineRule="exact"/>
        <w:jc w:val="center"/>
        <w:rPr>
          <w:rFonts w:ascii="Calibri" w:hAnsi="Calibri" w:cs="Arial"/>
          <w:b/>
          <w:bCs/>
          <w:kern w:val="2"/>
          <w:sz w:val="28"/>
          <w:szCs w:val="20"/>
        </w:rPr>
      </w:pPr>
    </w:p>
    <w:p>
      <w:pPr>
        <w:pStyle w:val="37"/>
        <w:spacing w:line="500" w:lineRule="exact"/>
        <w:jc w:val="center"/>
        <w:outlineLvl w:val="2"/>
        <w:rPr>
          <w:rFonts w:ascii="宋体" w:hAnsi="宋体" w:cs="宋体"/>
          <w:sz w:val="24"/>
        </w:rPr>
      </w:pPr>
      <w:bookmarkStart w:id="540" w:name="_Toc14710"/>
      <w:r>
        <w:rPr>
          <w:rFonts w:hint="eastAsia" w:ascii="Calibri" w:hAnsi="Calibri" w:cs="Arial"/>
          <w:b/>
          <w:bCs/>
          <w:kern w:val="2"/>
          <w:sz w:val="28"/>
          <w:szCs w:val="20"/>
        </w:rPr>
        <w:t>第二部分 合同通用条款</w:t>
      </w:r>
      <w:bookmarkEnd w:id="540"/>
    </w:p>
    <w:p>
      <w:pPr>
        <w:pStyle w:val="5"/>
        <w:bidi w:val="0"/>
        <w:jc w:val="center"/>
        <w:rPr>
          <w:rFonts w:hint="eastAsia"/>
          <w:b/>
          <w:bCs w:val="0"/>
          <w:sz w:val="24"/>
          <w:szCs w:val="24"/>
        </w:rPr>
      </w:pPr>
      <w:bookmarkStart w:id="541" w:name="_Toc22238"/>
      <w:r>
        <w:rPr>
          <w:rFonts w:hint="eastAsia"/>
          <w:b/>
          <w:bCs w:val="0"/>
          <w:sz w:val="24"/>
          <w:szCs w:val="24"/>
          <w:lang w:val="en-US" w:eastAsia="zh-CN"/>
        </w:rPr>
        <w:t>1.</w:t>
      </w:r>
      <w:r>
        <w:rPr>
          <w:rFonts w:hint="eastAsia"/>
          <w:b/>
          <w:bCs w:val="0"/>
          <w:sz w:val="24"/>
          <w:szCs w:val="24"/>
        </w:rPr>
        <w:t>项目管理（代建）部分</w:t>
      </w:r>
      <w:bookmarkEnd w:id="541"/>
    </w:p>
    <w:p>
      <w:pPr>
        <w:spacing w:line="500" w:lineRule="exact"/>
        <w:jc w:val="center"/>
        <w:rPr>
          <w:rFonts w:ascii="宋体" w:hAnsi="宋体"/>
          <w:b/>
          <w:bCs/>
          <w:szCs w:val="21"/>
        </w:rPr>
      </w:pPr>
      <w:r>
        <w:rPr>
          <w:rFonts w:hint="eastAsia" w:ascii="宋体" w:hAnsi="宋体"/>
          <w:b/>
          <w:bCs/>
          <w:szCs w:val="21"/>
        </w:rPr>
        <w:t>第一节  定义、解释和一般约定</w:t>
      </w:r>
    </w:p>
    <w:p>
      <w:pPr>
        <w:pStyle w:val="2"/>
        <w:spacing w:line="500" w:lineRule="exact"/>
      </w:pPr>
    </w:p>
    <w:p>
      <w:pPr>
        <w:spacing w:line="500" w:lineRule="exact"/>
        <w:jc w:val="left"/>
        <w:rPr>
          <w:rFonts w:ascii="宋体" w:hAnsi="宋体"/>
          <w:b/>
          <w:bCs/>
          <w:szCs w:val="21"/>
        </w:rPr>
      </w:pPr>
      <w:r>
        <w:rPr>
          <w:rFonts w:hint="eastAsia" w:ascii="宋体" w:hAnsi="宋体" w:cs="仿宋"/>
          <w:b/>
          <w:bCs/>
          <w:szCs w:val="21"/>
        </w:rPr>
        <w:t>第1条  词语定义</w:t>
      </w:r>
    </w:p>
    <w:p>
      <w:pPr>
        <w:widowControl/>
        <w:spacing w:line="500" w:lineRule="exact"/>
        <w:ind w:firstLine="480"/>
        <w:rPr>
          <w:rFonts w:ascii="宋体" w:hAnsi="宋体"/>
          <w:szCs w:val="21"/>
        </w:rPr>
      </w:pPr>
      <w:r>
        <w:rPr>
          <w:rFonts w:hint="eastAsia" w:ascii="宋体" w:hAnsi="宋体" w:cs="仿宋"/>
          <w:szCs w:val="21"/>
        </w:rPr>
        <w:t>合同通用条款、合同专用条款中的下列词语应具有本款所赋予的含义。</w:t>
      </w:r>
    </w:p>
    <w:p>
      <w:pPr>
        <w:tabs>
          <w:tab w:val="left" w:pos="1440"/>
        </w:tabs>
        <w:spacing w:line="500" w:lineRule="exact"/>
        <w:ind w:left="834" w:hanging="834"/>
        <w:rPr>
          <w:rFonts w:ascii="宋体" w:hAnsi="宋体"/>
          <w:b/>
          <w:bCs/>
          <w:szCs w:val="21"/>
        </w:rPr>
      </w:pPr>
      <w:r>
        <w:rPr>
          <w:rFonts w:hint="eastAsia" w:ascii="宋体" w:hAnsi="宋体" w:cs="仿宋"/>
          <w:b/>
          <w:bCs/>
          <w:szCs w:val="21"/>
        </w:rPr>
        <w:t>1.1  合同</w:t>
      </w:r>
    </w:p>
    <w:p>
      <w:pPr>
        <w:spacing w:line="500" w:lineRule="exact"/>
        <w:ind w:firstLine="482"/>
        <w:rPr>
          <w:rFonts w:ascii="宋体" w:hAnsi="宋体"/>
          <w:szCs w:val="21"/>
        </w:rPr>
      </w:pPr>
      <w:r>
        <w:rPr>
          <w:rFonts w:hint="eastAsia" w:ascii="宋体" w:hAnsi="宋体" w:cs="仿宋"/>
          <w:b/>
          <w:szCs w:val="21"/>
        </w:rPr>
        <w:t>1.1.1</w:t>
      </w:r>
      <w:r>
        <w:rPr>
          <w:rFonts w:hint="eastAsia" w:ascii="宋体" w:hAnsi="宋体" w:cs="仿宋"/>
          <w:szCs w:val="21"/>
        </w:rPr>
        <w:t xml:space="preserve">  合同协议书：指乙方按中标通知书规定的时间与甲方签订的合同协议书。</w:t>
      </w:r>
    </w:p>
    <w:p>
      <w:pPr>
        <w:spacing w:line="500" w:lineRule="exact"/>
        <w:ind w:firstLine="482"/>
        <w:rPr>
          <w:rFonts w:ascii="宋体" w:hAnsi="宋体"/>
          <w:szCs w:val="21"/>
        </w:rPr>
      </w:pPr>
      <w:r>
        <w:rPr>
          <w:rFonts w:hint="eastAsia" w:ascii="宋体" w:hAnsi="宋体" w:cs="仿宋"/>
          <w:b/>
          <w:szCs w:val="21"/>
        </w:rPr>
        <w:t>1.1.2</w:t>
      </w:r>
      <w:r>
        <w:rPr>
          <w:rFonts w:hint="eastAsia" w:ascii="宋体" w:hAnsi="宋体" w:cs="仿宋"/>
          <w:szCs w:val="21"/>
        </w:rPr>
        <w:t xml:space="preserve">  中标通知书：指甲方通知乙方中标的函件。中标通知书随附的澄清、说明、补正事项纪要等，是中标通知书的组成部分。</w:t>
      </w:r>
    </w:p>
    <w:p>
      <w:pPr>
        <w:spacing w:line="500" w:lineRule="exact"/>
        <w:ind w:firstLine="482"/>
        <w:rPr>
          <w:rFonts w:ascii="宋体" w:hAnsi="宋体"/>
          <w:szCs w:val="21"/>
        </w:rPr>
      </w:pPr>
      <w:r>
        <w:rPr>
          <w:rFonts w:hint="eastAsia" w:ascii="宋体" w:hAnsi="宋体" w:cs="仿宋"/>
          <w:b/>
          <w:szCs w:val="21"/>
        </w:rPr>
        <w:t>1.1.3</w:t>
      </w:r>
      <w:r>
        <w:rPr>
          <w:rFonts w:hint="eastAsia" w:ascii="宋体" w:hAnsi="宋体" w:cs="仿宋"/>
          <w:szCs w:val="21"/>
        </w:rPr>
        <w:t xml:space="preserve">  投标函：指构成合同文件组成部分的由乙方填写并签署的投标函。</w:t>
      </w:r>
    </w:p>
    <w:p>
      <w:pPr>
        <w:spacing w:line="500" w:lineRule="exact"/>
        <w:ind w:firstLine="482"/>
        <w:rPr>
          <w:rFonts w:ascii="宋体" w:hAnsi="宋体"/>
          <w:szCs w:val="21"/>
        </w:rPr>
      </w:pPr>
      <w:r>
        <w:rPr>
          <w:rFonts w:hint="eastAsia" w:ascii="宋体" w:hAnsi="宋体" w:cs="仿宋"/>
          <w:b/>
          <w:szCs w:val="21"/>
        </w:rPr>
        <w:t xml:space="preserve">1.1.4 </w:t>
      </w:r>
      <w:r>
        <w:rPr>
          <w:rFonts w:hint="eastAsia" w:ascii="宋体" w:hAnsi="宋体" w:cs="仿宋"/>
          <w:szCs w:val="21"/>
        </w:rPr>
        <w:t xml:space="preserve"> 投标函附录：指附在投标函后构成合同文件的投标函附录。</w:t>
      </w:r>
    </w:p>
    <w:p>
      <w:pPr>
        <w:spacing w:line="500" w:lineRule="exact"/>
        <w:ind w:firstLine="482"/>
        <w:rPr>
          <w:rFonts w:ascii="宋体" w:hAnsi="宋体"/>
          <w:szCs w:val="21"/>
        </w:rPr>
      </w:pPr>
      <w:r>
        <w:rPr>
          <w:rFonts w:hint="eastAsia" w:ascii="宋体" w:hAnsi="宋体" w:cs="仿宋"/>
          <w:b/>
          <w:szCs w:val="21"/>
        </w:rPr>
        <w:t>1.1.5</w:t>
      </w:r>
      <w:r>
        <w:rPr>
          <w:rFonts w:hint="eastAsia" w:ascii="宋体" w:hAnsi="宋体" w:cs="仿宋"/>
          <w:szCs w:val="21"/>
        </w:rPr>
        <w:t xml:space="preserve">  其他合同文件：指项目实施过程中合同双方共同认可的有关合同内容变更、洽商等书面文件或协议修正文件。包括项目相关批复文件，标准、规范及有关技术文件等，具体内容在专用条款中约定。</w:t>
      </w:r>
    </w:p>
    <w:p>
      <w:pPr>
        <w:spacing w:line="500" w:lineRule="exact"/>
        <w:ind w:firstLine="482"/>
        <w:rPr>
          <w:rFonts w:ascii="宋体" w:hAnsi="宋体"/>
          <w:szCs w:val="21"/>
        </w:rPr>
      </w:pPr>
      <w:r>
        <w:rPr>
          <w:rFonts w:hint="eastAsia" w:ascii="宋体" w:hAnsi="宋体" w:cs="仿宋"/>
          <w:b/>
          <w:szCs w:val="21"/>
        </w:rPr>
        <w:t>1.1.6</w:t>
      </w:r>
      <w:r>
        <w:rPr>
          <w:rFonts w:hint="eastAsia" w:ascii="宋体" w:hAnsi="宋体" w:cs="仿宋"/>
          <w:szCs w:val="21"/>
        </w:rPr>
        <w:t xml:space="preserve">  额外工作：指甲方与乙方在合同中约定的项目代建管理范围和内容之外，乙方协助甲方参与管理，通过双方协商同意另外增加，且不违反国家和省有关招投标和投资管理等法律法规和政策规定的工作内容。签订合同时增加的额外工作在专用条款中明确，项目实施过程中增加的额外工作签订补充协议明确。</w:t>
      </w:r>
    </w:p>
    <w:p>
      <w:pPr>
        <w:tabs>
          <w:tab w:val="left" w:pos="1440"/>
        </w:tabs>
        <w:spacing w:line="500" w:lineRule="exact"/>
        <w:ind w:left="834" w:hanging="834"/>
        <w:rPr>
          <w:rFonts w:ascii="宋体" w:hAnsi="宋体"/>
          <w:b/>
          <w:bCs/>
          <w:szCs w:val="21"/>
        </w:rPr>
      </w:pPr>
      <w:r>
        <w:rPr>
          <w:rFonts w:hint="eastAsia" w:ascii="宋体" w:hAnsi="宋体" w:cs="仿宋"/>
          <w:b/>
          <w:bCs/>
          <w:szCs w:val="21"/>
        </w:rPr>
        <w:t>1.2  合同当事人和人员</w:t>
      </w:r>
    </w:p>
    <w:p>
      <w:pPr>
        <w:spacing w:line="500" w:lineRule="exact"/>
        <w:ind w:firstLine="482"/>
        <w:rPr>
          <w:rFonts w:ascii="宋体" w:hAnsi="宋体"/>
          <w:szCs w:val="21"/>
        </w:rPr>
      </w:pPr>
      <w:r>
        <w:rPr>
          <w:rFonts w:hint="eastAsia" w:ascii="宋体" w:hAnsi="宋体" w:cs="仿宋"/>
          <w:b/>
          <w:szCs w:val="21"/>
        </w:rPr>
        <w:t>1.2.1</w:t>
      </w:r>
      <w:r>
        <w:rPr>
          <w:rFonts w:hint="eastAsia" w:ascii="宋体" w:hAnsi="宋体" w:cs="仿宋"/>
          <w:szCs w:val="21"/>
        </w:rPr>
        <w:t xml:space="preserve">  甲方：指代建项目的使用或运营管理单位。</w:t>
      </w:r>
    </w:p>
    <w:p>
      <w:pPr>
        <w:spacing w:line="500" w:lineRule="exact"/>
        <w:ind w:firstLine="482"/>
        <w:rPr>
          <w:rFonts w:ascii="宋体" w:hAnsi="宋体"/>
          <w:szCs w:val="21"/>
        </w:rPr>
      </w:pPr>
      <w:r>
        <w:rPr>
          <w:rFonts w:hint="eastAsia" w:ascii="宋体" w:hAnsi="宋体" w:cs="仿宋"/>
          <w:b/>
          <w:szCs w:val="21"/>
        </w:rPr>
        <w:t xml:space="preserve">1.2.2 </w:t>
      </w:r>
      <w:r>
        <w:rPr>
          <w:rFonts w:hint="eastAsia" w:ascii="宋体" w:hAnsi="宋体" w:cs="仿宋"/>
          <w:szCs w:val="21"/>
        </w:rPr>
        <w:t xml:space="preserve"> 乙方：</w:t>
      </w:r>
      <w:r>
        <w:rPr>
          <w:rFonts w:hint="eastAsia" w:ascii="宋体" w:hAnsi="宋体" w:cs="仿宋"/>
          <w:kern w:val="0"/>
          <w:szCs w:val="21"/>
        </w:rPr>
        <w:t>指中标的代建单位</w:t>
      </w:r>
      <w:r>
        <w:rPr>
          <w:rFonts w:hint="eastAsia" w:ascii="宋体" w:hAnsi="宋体" w:cs="仿宋"/>
          <w:szCs w:val="21"/>
        </w:rPr>
        <w:t>。</w:t>
      </w:r>
    </w:p>
    <w:p>
      <w:pPr>
        <w:spacing w:line="500" w:lineRule="exact"/>
        <w:ind w:firstLine="482"/>
        <w:rPr>
          <w:rFonts w:ascii="宋体" w:hAnsi="宋体"/>
          <w:szCs w:val="21"/>
        </w:rPr>
      </w:pPr>
      <w:r>
        <w:rPr>
          <w:rFonts w:hint="eastAsia" w:ascii="宋体" w:hAnsi="宋体" w:cs="仿宋"/>
          <w:b/>
          <w:szCs w:val="21"/>
        </w:rPr>
        <w:t xml:space="preserve">1.2.3 </w:t>
      </w:r>
      <w:r>
        <w:rPr>
          <w:rFonts w:hint="eastAsia" w:ascii="宋体" w:hAnsi="宋体" w:cs="仿宋"/>
          <w:szCs w:val="21"/>
        </w:rPr>
        <w:t xml:space="preserve"> </w:t>
      </w:r>
      <w:r>
        <w:rPr>
          <w:rFonts w:hint="eastAsia" w:ascii="宋体" w:hAnsi="宋体" w:cs="仿宋"/>
          <w:kern w:val="0"/>
          <w:szCs w:val="21"/>
        </w:rPr>
        <w:t>代建管理团队</w:t>
      </w:r>
      <w:r>
        <w:rPr>
          <w:rFonts w:hint="eastAsia" w:ascii="宋体" w:hAnsi="宋体" w:cs="仿宋"/>
          <w:szCs w:val="21"/>
        </w:rPr>
        <w:t>：指</w:t>
      </w:r>
      <w:r>
        <w:rPr>
          <w:rFonts w:hint="eastAsia" w:ascii="宋体" w:hAnsi="宋体" w:cs="仿宋"/>
          <w:kern w:val="0"/>
          <w:szCs w:val="21"/>
        </w:rPr>
        <w:t>乙方履行投标承诺，组建的并代表乙方实施和承担项目代建具体工作任务的团队。</w:t>
      </w:r>
    </w:p>
    <w:p>
      <w:pPr>
        <w:spacing w:line="500" w:lineRule="exact"/>
        <w:ind w:firstLine="482"/>
        <w:rPr>
          <w:rFonts w:ascii="宋体" w:hAnsi="宋体"/>
          <w:szCs w:val="21"/>
        </w:rPr>
      </w:pPr>
      <w:r>
        <w:rPr>
          <w:rFonts w:hint="eastAsia" w:ascii="宋体" w:hAnsi="宋体" w:cs="仿宋"/>
          <w:b/>
          <w:szCs w:val="21"/>
        </w:rPr>
        <w:t xml:space="preserve">1.2.4 </w:t>
      </w:r>
      <w:r>
        <w:rPr>
          <w:rFonts w:hint="eastAsia" w:ascii="宋体" w:hAnsi="宋体" w:cs="仿宋"/>
          <w:szCs w:val="21"/>
        </w:rPr>
        <w:t xml:space="preserve"> </w:t>
      </w:r>
      <w:r>
        <w:rPr>
          <w:rFonts w:hint="eastAsia" w:ascii="宋体" w:hAnsi="宋体" w:cs="仿宋"/>
          <w:kern w:val="0"/>
          <w:szCs w:val="21"/>
        </w:rPr>
        <w:t>代建项目经理</w:t>
      </w:r>
      <w:r>
        <w:rPr>
          <w:rFonts w:hint="eastAsia" w:ascii="宋体" w:hAnsi="宋体" w:cs="仿宋"/>
          <w:szCs w:val="21"/>
        </w:rPr>
        <w:t>：指乙方投标时指派的代表乙方牵头负责项目代建管理工作、履行管理义务的全权负责人。</w:t>
      </w:r>
    </w:p>
    <w:p>
      <w:pPr>
        <w:spacing w:line="500" w:lineRule="exact"/>
        <w:ind w:firstLine="482"/>
        <w:rPr>
          <w:rFonts w:ascii="宋体" w:hAnsi="宋体"/>
          <w:szCs w:val="21"/>
        </w:rPr>
      </w:pPr>
      <w:r>
        <w:rPr>
          <w:rFonts w:hint="eastAsia" w:ascii="宋体" w:hAnsi="宋体" w:cs="仿宋"/>
          <w:b/>
          <w:szCs w:val="21"/>
        </w:rPr>
        <w:t xml:space="preserve">1.2.5 </w:t>
      </w:r>
      <w:r>
        <w:rPr>
          <w:rFonts w:hint="eastAsia" w:ascii="宋体" w:hAnsi="宋体" w:cs="仿宋"/>
          <w:szCs w:val="21"/>
        </w:rPr>
        <w:t xml:space="preserve"> </w:t>
      </w:r>
      <w:r>
        <w:rPr>
          <w:rFonts w:hint="eastAsia" w:ascii="宋体" w:hAnsi="宋体" w:cs="仿宋"/>
          <w:kern w:val="0"/>
          <w:szCs w:val="21"/>
        </w:rPr>
        <w:t>专业工作单位：是指由乙方依法依规选择的承担代建项目的设计、监理、施工、检测、材料和设备供应安装等工作的单位。</w:t>
      </w:r>
    </w:p>
    <w:p>
      <w:pPr>
        <w:tabs>
          <w:tab w:val="left" w:pos="1440"/>
        </w:tabs>
        <w:spacing w:line="500" w:lineRule="exact"/>
        <w:ind w:left="834" w:hanging="834"/>
        <w:rPr>
          <w:rFonts w:ascii="宋体" w:hAnsi="宋体"/>
          <w:b/>
          <w:bCs/>
          <w:szCs w:val="21"/>
        </w:rPr>
      </w:pPr>
      <w:r>
        <w:rPr>
          <w:rFonts w:hint="eastAsia" w:ascii="宋体" w:hAnsi="宋体" w:cs="仿宋"/>
          <w:b/>
          <w:bCs/>
          <w:szCs w:val="21"/>
        </w:rPr>
        <w:t>1.3  项目</w:t>
      </w:r>
    </w:p>
    <w:p>
      <w:pPr>
        <w:spacing w:line="500" w:lineRule="exact"/>
        <w:ind w:firstLine="482"/>
        <w:rPr>
          <w:rFonts w:ascii="宋体" w:hAnsi="宋体"/>
          <w:szCs w:val="21"/>
        </w:rPr>
      </w:pPr>
      <w:r>
        <w:rPr>
          <w:rFonts w:hint="eastAsia" w:ascii="宋体" w:hAnsi="宋体" w:cs="仿宋"/>
          <w:b/>
          <w:szCs w:val="21"/>
        </w:rPr>
        <w:t>1.3.1</w:t>
      </w:r>
      <w:r>
        <w:rPr>
          <w:rFonts w:hint="eastAsia" w:ascii="宋体" w:hAnsi="宋体" w:cs="仿宋"/>
          <w:szCs w:val="21"/>
        </w:rPr>
        <w:t xml:space="preserve">  项目：是指由乙方实施代建最终移交甲方使用的项目。</w:t>
      </w:r>
    </w:p>
    <w:p>
      <w:pPr>
        <w:tabs>
          <w:tab w:val="left" w:pos="1440"/>
        </w:tabs>
        <w:spacing w:line="500" w:lineRule="exact"/>
        <w:ind w:left="834" w:hanging="834"/>
        <w:rPr>
          <w:rFonts w:ascii="宋体" w:hAnsi="宋体"/>
          <w:b/>
          <w:bCs/>
          <w:szCs w:val="21"/>
        </w:rPr>
      </w:pPr>
      <w:r>
        <w:rPr>
          <w:rFonts w:hint="eastAsia" w:ascii="宋体" w:hAnsi="宋体" w:cs="仿宋"/>
          <w:b/>
          <w:bCs/>
          <w:szCs w:val="21"/>
        </w:rPr>
        <w:t>1.4  日期</w:t>
      </w:r>
    </w:p>
    <w:p>
      <w:pPr>
        <w:spacing w:line="500" w:lineRule="exact"/>
        <w:ind w:firstLine="482"/>
        <w:rPr>
          <w:rFonts w:ascii="宋体" w:hAnsi="宋体"/>
          <w:szCs w:val="21"/>
        </w:rPr>
      </w:pPr>
      <w:r>
        <w:rPr>
          <w:rFonts w:hint="eastAsia" w:ascii="宋体" w:hAnsi="宋体" w:cs="仿宋"/>
          <w:b/>
          <w:szCs w:val="21"/>
        </w:rPr>
        <w:t>1.4.1</w:t>
      </w:r>
      <w:r>
        <w:rPr>
          <w:rFonts w:hint="eastAsia" w:ascii="宋体" w:hAnsi="宋体" w:cs="仿宋"/>
          <w:szCs w:val="21"/>
        </w:rPr>
        <w:t xml:space="preserve">  代建周期：自合同生效之日起至代建项目实体移交之日止的时间。</w:t>
      </w:r>
    </w:p>
    <w:p>
      <w:pPr>
        <w:spacing w:line="500" w:lineRule="exact"/>
        <w:ind w:firstLine="482"/>
        <w:rPr>
          <w:rFonts w:ascii="宋体" w:hAnsi="宋体"/>
          <w:szCs w:val="21"/>
        </w:rPr>
      </w:pPr>
      <w:r>
        <w:rPr>
          <w:rFonts w:hint="eastAsia" w:ascii="宋体" w:hAnsi="宋体" w:cs="仿宋"/>
          <w:b/>
          <w:szCs w:val="21"/>
        </w:rPr>
        <w:t xml:space="preserve">1.4.2 </w:t>
      </w:r>
      <w:r>
        <w:rPr>
          <w:rFonts w:hint="eastAsia" w:ascii="宋体" w:hAnsi="宋体" w:cs="仿宋"/>
          <w:szCs w:val="21"/>
        </w:rPr>
        <w:t xml:space="preserve"> 天：除特别指明外，指日历天。合同中按天计算时间的，开始当天不计入，从次日开始计算。期限最后一天的截止时间为当天24:00。</w:t>
      </w:r>
    </w:p>
    <w:p>
      <w:pPr>
        <w:tabs>
          <w:tab w:val="left" w:pos="1440"/>
        </w:tabs>
        <w:spacing w:line="500" w:lineRule="exact"/>
        <w:ind w:left="834" w:hanging="834"/>
        <w:rPr>
          <w:rFonts w:ascii="宋体" w:hAnsi="宋体"/>
          <w:b/>
          <w:bCs/>
          <w:szCs w:val="21"/>
        </w:rPr>
      </w:pPr>
      <w:r>
        <w:rPr>
          <w:rFonts w:hint="eastAsia" w:ascii="宋体" w:hAnsi="宋体" w:cs="仿宋"/>
          <w:b/>
          <w:bCs/>
          <w:szCs w:val="21"/>
        </w:rPr>
        <w:t>1.5  其他</w:t>
      </w:r>
    </w:p>
    <w:p>
      <w:pPr>
        <w:spacing w:line="500" w:lineRule="exact"/>
        <w:ind w:firstLine="482"/>
        <w:rPr>
          <w:rFonts w:ascii="宋体" w:hAnsi="宋体"/>
          <w:szCs w:val="21"/>
        </w:rPr>
      </w:pPr>
      <w:r>
        <w:rPr>
          <w:rFonts w:hint="eastAsia" w:ascii="宋体" w:hAnsi="宋体" w:cs="仿宋"/>
          <w:b/>
          <w:szCs w:val="21"/>
        </w:rPr>
        <w:t>1.5.1</w:t>
      </w:r>
      <w:r>
        <w:rPr>
          <w:rFonts w:hint="eastAsia" w:ascii="宋体" w:hAnsi="宋体" w:cs="仿宋"/>
          <w:szCs w:val="21"/>
        </w:rPr>
        <w:t xml:space="preserve">  书面形式：指合同书、纸质文件、信函、电报、传真、会议纪要等可以有形地表现所载内容的形式。</w:t>
      </w:r>
    </w:p>
    <w:p>
      <w:pPr>
        <w:spacing w:line="500" w:lineRule="exact"/>
        <w:ind w:firstLine="482"/>
        <w:rPr>
          <w:rFonts w:ascii="宋体" w:hAnsi="宋体"/>
          <w:szCs w:val="21"/>
        </w:rPr>
      </w:pPr>
      <w:r>
        <w:rPr>
          <w:rFonts w:hint="eastAsia" w:ascii="宋体" w:hAnsi="宋体" w:cs="仿宋"/>
          <w:b/>
          <w:szCs w:val="21"/>
        </w:rPr>
        <w:t xml:space="preserve">1.5.2  </w:t>
      </w:r>
      <w:r>
        <w:rPr>
          <w:rFonts w:hint="eastAsia" w:ascii="宋体" w:hAnsi="宋体" w:cs="仿宋"/>
          <w:szCs w:val="21"/>
          <w:shd w:val="clear" w:color="auto" w:fill="FFFFFF"/>
        </w:rPr>
        <w:t>实体移交证书：指项目竣工验收后，甲方经移交验收同意接收项目实体，签署并发给乙方的项目实体移交证明文件。</w:t>
      </w:r>
    </w:p>
    <w:p>
      <w:pPr>
        <w:spacing w:line="500" w:lineRule="exact"/>
        <w:ind w:firstLine="480"/>
        <w:rPr>
          <w:rFonts w:ascii="宋体" w:hAnsi="宋体" w:cs="仿宋"/>
          <w:szCs w:val="21"/>
        </w:rPr>
      </w:pPr>
    </w:p>
    <w:p>
      <w:pPr>
        <w:spacing w:line="500" w:lineRule="exact"/>
        <w:jc w:val="left"/>
        <w:rPr>
          <w:rFonts w:ascii="宋体" w:hAnsi="宋体"/>
          <w:b/>
          <w:bCs/>
          <w:szCs w:val="21"/>
        </w:rPr>
      </w:pPr>
      <w:r>
        <w:rPr>
          <w:rFonts w:hint="eastAsia" w:ascii="宋体" w:hAnsi="宋体" w:cs="仿宋"/>
          <w:b/>
          <w:bCs/>
          <w:szCs w:val="21"/>
        </w:rPr>
        <w:t>第2条  解释</w:t>
      </w:r>
    </w:p>
    <w:p>
      <w:pPr>
        <w:tabs>
          <w:tab w:val="left" w:pos="1440"/>
        </w:tabs>
        <w:spacing w:line="500" w:lineRule="exact"/>
        <w:ind w:left="834" w:hanging="834"/>
        <w:rPr>
          <w:rFonts w:ascii="宋体" w:hAnsi="宋体"/>
          <w:b/>
          <w:bCs/>
          <w:szCs w:val="21"/>
        </w:rPr>
      </w:pPr>
      <w:r>
        <w:rPr>
          <w:rFonts w:hint="eastAsia" w:ascii="宋体" w:hAnsi="宋体" w:cs="仿宋"/>
          <w:b/>
          <w:bCs/>
          <w:szCs w:val="21"/>
        </w:rPr>
        <w:t>2.1  语言文字</w:t>
      </w:r>
    </w:p>
    <w:p>
      <w:pPr>
        <w:spacing w:line="500" w:lineRule="exact"/>
        <w:ind w:firstLine="480"/>
        <w:rPr>
          <w:rFonts w:ascii="宋体" w:hAnsi="宋体"/>
          <w:szCs w:val="21"/>
        </w:rPr>
      </w:pPr>
      <w:r>
        <w:rPr>
          <w:rFonts w:hint="eastAsia" w:ascii="宋体" w:hAnsi="宋体" w:cs="仿宋"/>
          <w:szCs w:val="21"/>
        </w:rPr>
        <w:t>合同使用的语言文字以中文为准。专用术语使用外文的，应附有中文注释。</w:t>
      </w:r>
    </w:p>
    <w:p>
      <w:pPr>
        <w:tabs>
          <w:tab w:val="left" w:pos="1440"/>
        </w:tabs>
        <w:spacing w:line="500" w:lineRule="exact"/>
        <w:ind w:left="834" w:hanging="834"/>
        <w:rPr>
          <w:rFonts w:ascii="宋体" w:hAnsi="宋体"/>
          <w:b/>
          <w:bCs/>
          <w:szCs w:val="21"/>
        </w:rPr>
      </w:pPr>
      <w:r>
        <w:rPr>
          <w:rFonts w:hint="eastAsia" w:ascii="宋体" w:hAnsi="宋体" w:cs="仿宋"/>
          <w:b/>
          <w:bCs/>
          <w:szCs w:val="21"/>
        </w:rPr>
        <w:t>2.2  法律</w:t>
      </w:r>
    </w:p>
    <w:p>
      <w:pPr>
        <w:spacing w:line="500" w:lineRule="exact"/>
        <w:ind w:firstLine="480"/>
        <w:rPr>
          <w:rFonts w:ascii="宋体" w:hAnsi="宋体"/>
          <w:szCs w:val="21"/>
        </w:rPr>
      </w:pPr>
      <w:r>
        <w:rPr>
          <w:rFonts w:hint="eastAsia" w:ascii="宋体" w:hAnsi="宋体" w:cs="仿宋"/>
          <w:szCs w:val="21"/>
        </w:rPr>
        <w:t>适用于合同的法律包括中华人民共和国法律、行政法规、部门规章，以及项目所在地的地方性法规、自治条例和地方政府规章。</w:t>
      </w:r>
    </w:p>
    <w:p>
      <w:pPr>
        <w:spacing w:line="500" w:lineRule="exact"/>
        <w:ind w:firstLine="480"/>
        <w:rPr>
          <w:rFonts w:ascii="宋体" w:hAnsi="宋体" w:cs="仿宋"/>
          <w:szCs w:val="21"/>
        </w:rPr>
      </w:pPr>
    </w:p>
    <w:p>
      <w:pPr>
        <w:spacing w:line="500" w:lineRule="exact"/>
        <w:jc w:val="left"/>
        <w:rPr>
          <w:rFonts w:ascii="宋体" w:hAnsi="宋体"/>
          <w:b/>
          <w:bCs/>
          <w:szCs w:val="21"/>
        </w:rPr>
      </w:pPr>
      <w:r>
        <w:rPr>
          <w:rFonts w:hint="eastAsia" w:ascii="宋体" w:hAnsi="宋体" w:cs="仿宋"/>
          <w:b/>
          <w:bCs/>
          <w:szCs w:val="21"/>
        </w:rPr>
        <w:t>第3条  一般约定</w:t>
      </w:r>
    </w:p>
    <w:p>
      <w:pPr>
        <w:tabs>
          <w:tab w:val="left" w:pos="1440"/>
        </w:tabs>
        <w:spacing w:line="500" w:lineRule="exact"/>
        <w:ind w:left="834" w:hanging="834"/>
        <w:rPr>
          <w:rFonts w:ascii="宋体" w:hAnsi="宋体"/>
          <w:b/>
          <w:bCs/>
          <w:szCs w:val="21"/>
        </w:rPr>
      </w:pPr>
      <w:r>
        <w:rPr>
          <w:rFonts w:hint="eastAsia" w:ascii="宋体" w:hAnsi="宋体" w:cs="仿宋"/>
          <w:b/>
          <w:bCs/>
          <w:szCs w:val="21"/>
        </w:rPr>
        <w:t>3.1  联络</w:t>
      </w:r>
    </w:p>
    <w:p>
      <w:pPr>
        <w:spacing w:line="500" w:lineRule="exact"/>
        <w:ind w:firstLine="482"/>
        <w:rPr>
          <w:rFonts w:ascii="宋体" w:hAnsi="宋体"/>
          <w:szCs w:val="21"/>
        </w:rPr>
      </w:pPr>
      <w:r>
        <w:rPr>
          <w:rFonts w:hint="eastAsia" w:ascii="宋体" w:hAnsi="宋体" w:cs="仿宋"/>
          <w:b/>
          <w:szCs w:val="21"/>
        </w:rPr>
        <w:t>3.1.1</w:t>
      </w:r>
      <w:r>
        <w:rPr>
          <w:rFonts w:hint="eastAsia" w:ascii="宋体" w:hAnsi="宋体" w:cs="仿宋"/>
          <w:szCs w:val="21"/>
        </w:rPr>
        <w:t xml:space="preserve">  与合同有关的通知、批准、证明、证书、指示、要求、请求、同意、意见、确定和决定等，均应采用书面形式。</w:t>
      </w:r>
    </w:p>
    <w:p>
      <w:pPr>
        <w:spacing w:line="500" w:lineRule="exact"/>
        <w:ind w:firstLine="482"/>
        <w:rPr>
          <w:rFonts w:ascii="宋体" w:hAnsi="宋体"/>
          <w:szCs w:val="21"/>
        </w:rPr>
      </w:pPr>
      <w:r>
        <w:rPr>
          <w:rFonts w:hint="eastAsia" w:ascii="宋体" w:hAnsi="宋体" w:cs="仿宋"/>
          <w:b/>
          <w:szCs w:val="21"/>
        </w:rPr>
        <w:t>3.1.2</w:t>
      </w:r>
      <w:r>
        <w:rPr>
          <w:rFonts w:hint="eastAsia" w:ascii="宋体" w:hAnsi="宋体" w:cs="仿宋"/>
          <w:szCs w:val="21"/>
        </w:rPr>
        <w:t xml:space="preserve">  第3.1.1项中的通知、批准、证明、证书、指示、要求、请求、同意、意见、确定和决定等来往函件，均应在合同约定的期限内送达指定的地点和指定的接收人，并办理签收手续。</w:t>
      </w:r>
    </w:p>
    <w:p>
      <w:pPr>
        <w:spacing w:line="500" w:lineRule="exact"/>
        <w:ind w:firstLine="482"/>
        <w:rPr>
          <w:rFonts w:ascii="宋体" w:hAnsi="宋体"/>
          <w:szCs w:val="21"/>
        </w:rPr>
      </w:pPr>
      <w:r>
        <w:rPr>
          <w:rFonts w:hint="eastAsia" w:ascii="宋体" w:hAnsi="宋体" w:cs="仿宋"/>
          <w:b/>
          <w:szCs w:val="21"/>
        </w:rPr>
        <w:t>3.1.3</w:t>
      </w:r>
      <w:r>
        <w:rPr>
          <w:rFonts w:hint="eastAsia" w:ascii="宋体" w:hAnsi="宋体" w:cs="仿宋"/>
          <w:szCs w:val="21"/>
        </w:rPr>
        <w:t xml:space="preserve">  甲方的通知</w:t>
      </w:r>
    </w:p>
    <w:p>
      <w:pPr>
        <w:spacing w:line="500" w:lineRule="exact"/>
        <w:ind w:firstLine="480"/>
        <w:rPr>
          <w:rFonts w:ascii="宋体" w:hAnsi="宋体"/>
          <w:szCs w:val="21"/>
        </w:rPr>
      </w:pPr>
      <w:r>
        <w:rPr>
          <w:rFonts w:hint="eastAsia" w:ascii="宋体" w:hAnsi="宋体" w:cs="仿宋"/>
          <w:szCs w:val="21"/>
        </w:rPr>
        <w:t>甲方的通知应采用书面形式，盖有甲方印章，并由约定授权的人员签字。</w:t>
      </w:r>
    </w:p>
    <w:p>
      <w:pPr>
        <w:tabs>
          <w:tab w:val="left" w:pos="1440"/>
        </w:tabs>
        <w:spacing w:line="500" w:lineRule="exact"/>
        <w:ind w:left="834" w:hanging="834"/>
        <w:rPr>
          <w:rFonts w:ascii="宋体" w:hAnsi="宋体"/>
          <w:b/>
          <w:bCs/>
          <w:szCs w:val="21"/>
        </w:rPr>
      </w:pPr>
      <w:r>
        <w:rPr>
          <w:rFonts w:hint="eastAsia" w:ascii="宋体" w:hAnsi="宋体" w:cs="仿宋"/>
          <w:b/>
          <w:bCs/>
          <w:szCs w:val="21"/>
        </w:rPr>
        <w:t>3.2  转让</w:t>
      </w:r>
    </w:p>
    <w:p>
      <w:pPr>
        <w:spacing w:line="500" w:lineRule="exact"/>
        <w:ind w:firstLine="480"/>
        <w:rPr>
          <w:rFonts w:ascii="宋体" w:hAnsi="宋体"/>
          <w:szCs w:val="21"/>
        </w:rPr>
      </w:pPr>
      <w:r>
        <w:rPr>
          <w:rFonts w:hint="eastAsia" w:ascii="宋体" w:hAnsi="宋体" w:cs="仿宋"/>
          <w:kern w:val="0"/>
          <w:szCs w:val="21"/>
        </w:rPr>
        <w:t>除法律法规、政策变更等特殊原因外，甲乙双方均不得将权利义务转让。</w:t>
      </w:r>
    </w:p>
    <w:p>
      <w:pPr>
        <w:tabs>
          <w:tab w:val="left" w:pos="1440"/>
        </w:tabs>
        <w:spacing w:line="500" w:lineRule="exact"/>
        <w:ind w:left="834" w:hanging="834"/>
        <w:rPr>
          <w:rFonts w:ascii="宋体" w:hAnsi="宋体"/>
          <w:b/>
          <w:bCs/>
          <w:szCs w:val="21"/>
        </w:rPr>
      </w:pPr>
      <w:r>
        <w:rPr>
          <w:rFonts w:hint="eastAsia" w:ascii="宋体" w:hAnsi="宋体" w:cs="仿宋"/>
          <w:b/>
          <w:bCs/>
          <w:szCs w:val="21"/>
        </w:rPr>
        <w:t>3.3  严禁贿赂</w:t>
      </w:r>
    </w:p>
    <w:p>
      <w:pPr>
        <w:spacing w:line="500" w:lineRule="exact"/>
        <w:ind w:firstLine="480"/>
        <w:rPr>
          <w:rFonts w:ascii="宋体" w:hAnsi="宋体"/>
          <w:szCs w:val="21"/>
        </w:rPr>
      </w:pPr>
      <w:r>
        <w:rPr>
          <w:rFonts w:hint="eastAsia" w:ascii="宋体" w:hAnsi="宋体" w:cs="仿宋"/>
          <w:kern w:val="0"/>
          <w:szCs w:val="21"/>
        </w:rPr>
        <w:t>合同双方当事人不得以贿赂或变相贿赂的方式，谋取不当利益或损害对方权益。因贿赂造成对方损失的，行为人应赔偿损失，并承担相应的法律责任。</w:t>
      </w:r>
    </w:p>
    <w:p>
      <w:pPr>
        <w:tabs>
          <w:tab w:val="left" w:pos="1440"/>
        </w:tabs>
        <w:spacing w:line="500" w:lineRule="exact"/>
        <w:ind w:left="834" w:hanging="834"/>
        <w:rPr>
          <w:rFonts w:ascii="宋体" w:hAnsi="宋体"/>
          <w:b/>
          <w:bCs/>
          <w:szCs w:val="21"/>
        </w:rPr>
      </w:pPr>
      <w:r>
        <w:rPr>
          <w:rFonts w:hint="eastAsia" w:ascii="宋体" w:hAnsi="宋体" w:cs="仿宋"/>
          <w:b/>
          <w:bCs/>
          <w:szCs w:val="21"/>
        </w:rPr>
        <w:t>3.4  知识产权</w:t>
      </w:r>
    </w:p>
    <w:p>
      <w:pPr>
        <w:spacing w:line="500" w:lineRule="exact"/>
        <w:ind w:firstLine="482"/>
        <w:rPr>
          <w:rFonts w:ascii="宋体" w:hAnsi="宋体"/>
          <w:szCs w:val="21"/>
        </w:rPr>
      </w:pPr>
      <w:r>
        <w:rPr>
          <w:rFonts w:hint="eastAsia" w:ascii="宋体" w:hAnsi="宋体" w:cs="仿宋"/>
          <w:b/>
          <w:kern w:val="0"/>
          <w:szCs w:val="21"/>
        </w:rPr>
        <w:t>3.4.1</w:t>
      </w:r>
      <w:r>
        <w:rPr>
          <w:rFonts w:hint="eastAsia" w:ascii="宋体" w:hAnsi="宋体" w:cs="仿宋"/>
          <w:kern w:val="0"/>
          <w:szCs w:val="21"/>
        </w:rPr>
        <w:t xml:space="preserve">  除合同专用条款另有约定外，乙方完成的工作成果，除署名权以外的著作权等其他知识产权均归甲方享有。</w:t>
      </w:r>
    </w:p>
    <w:p>
      <w:pPr>
        <w:spacing w:line="500" w:lineRule="exact"/>
        <w:ind w:firstLine="482"/>
        <w:rPr>
          <w:rFonts w:ascii="宋体" w:hAnsi="宋体"/>
          <w:szCs w:val="21"/>
        </w:rPr>
      </w:pPr>
      <w:r>
        <w:rPr>
          <w:rFonts w:hint="eastAsia" w:ascii="宋体" w:hAnsi="宋体" w:cs="仿宋"/>
          <w:b/>
          <w:kern w:val="0"/>
          <w:szCs w:val="21"/>
        </w:rPr>
        <w:t>3.4.2</w:t>
      </w:r>
      <w:r>
        <w:rPr>
          <w:rFonts w:hint="eastAsia" w:ascii="宋体" w:hAnsi="宋体" w:cs="仿宋"/>
          <w:kern w:val="0"/>
          <w:szCs w:val="21"/>
        </w:rPr>
        <w:t xml:space="preserve">  乙方在进行项目代建管理时，因侵犯专利权或其他知识产权所引起的责任，由乙方承担。</w:t>
      </w:r>
    </w:p>
    <w:p>
      <w:pPr>
        <w:spacing w:line="500" w:lineRule="exact"/>
        <w:ind w:firstLine="482"/>
        <w:rPr>
          <w:rFonts w:ascii="宋体" w:hAnsi="宋体"/>
          <w:szCs w:val="21"/>
        </w:rPr>
      </w:pPr>
      <w:r>
        <w:rPr>
          <w:rFonts w:hint="eastAsia" w:ascii="宋体" w:hAnsi="宋体" w:cs="仿宋"/>
          <w:b/>
          <w:kern w:val="0"/>
          <w:szCs w:val="21"/>
        </w:rPr>
        <w:t>3.4.3</w:t>
      </w:r>
      <w:r>
        <w:rPr>
          <w:rFonts w:hint="eastAsia" w:ascii="宋体" w:hAnsi="宋体" w:cs="仿宋"/>
          <w:kern w:val="0"/>
          <w:szCs w:val="21"/>
        </w:rPr>
        <w:t xml:space="preserve"> 乙方在投标文件中采用专利技术的，专利技术的使用费包含在投标报价内。</w:t>
      </w:r>
    </w:p>
    <w:p>
      <w:pPr>
        <w:tabs>
          <w:tab w:val="left" w:pos="1440"/>
        </w:tabs>
        <w:spacing w:line="500" w:lineRule="exact"/>
        <w:ind w:left="834" w:hanging="834"/>
        <w:rPr>
          <w:rFonts w:ascii="宋体" w:hAnsi="宋体"/>
          <w:b/>
          <w:bCs/>
          <w:szCs w:val="21"/>
        </w:rPr>
      </w:pPr>
      <w:r>
        <w:rPr>
          <w:rFonts w:hint="eastAsia" w:ascii="宋体" w:hAnsi="宋体" w:cs="仿宋"/>
          <w:b/>
          <w:bCs/>
          <w:szCs w:val="21"/>
        </w:rPr>
        <w:t>3.5  文件及信息的保密</w:t>
      </w:r>
    </w:p>
    <w:p>
      <w:pPr>
        <w:spacing w:line="500" w:lineRule="exact"/>
        <w:ind w:firstLine="480"/>
        <w:rPr>
          <w:rFonts w:ascii="宋体" w:hAnsi="宋体"/>
          <w:szCs w:val="21"/>
        </w:rPr>
      </w:pPr>
      <w:r>
        <w:rPr>
          <w:rFonts w:hint="eastAsia" w:ascii="宋体" w:hAnsi="宋体" w:cs="仿宋"/>
          <w:kern w:val="0"/>
          <w:szCs w:val="21"/>
        </w:rPr>
        <w:t>未经双方同意，任何一方当事人不得将有关文件、技术秘密、需要保密的资料和信息泄露给他人或公开发表与引用。</w:t>
      </w:r>
    </w:p>
    <w:p>
      <w:pPr>
        <w:widowControl/>
        <w:spacing w:line="500" w:lineRule="exact"/>
        <w:ind w:hanging="420"/>
        <w:rPr>
          <w:rFonts w:ascii="宋体" w:hAnsi="宋体"/>
          <w:szCs w:val="21"/>
        </w:rPr>
      </w:pPr>
    </w:p>
    <w:p>
      <w:pPr>
        <w:spacing w:line="500" w:lineRule="exact"/>
        <w:jc w:val="center"/>
        <w:rPr>
          <w:rFonts w:ascii="宋体" w:hAnsi="宋体" w:cs="仿宋"/>
          <w:b/>
          <w:bCs/>
          <w:szCs w:val="21"/>
        </w:rPr>
      </w:pPr>
      <w:r>
        <w:rPr>
          <w:rFonts w:hint="eastAsia" w:ascii="宋体" w:hAnsi="宋体"/>
          <w:b/>
          <w:bCs/>
          <w:szCs w:val="21"/>
        </w:rPr>
        <w:t xml:space="preserve"> 第二节  合同</w:t>
      </w:r>
      <w:r>
        <w:rPr>
          <w:rFonts w:hint="eastAsia" w:ascii="宋体" w:hAnsi="宋体" w:cs="仿宋"/>
          <w:b/>
          <w:bCs/>
          <w:szCs w:val="21"/>
        </w:rPr>
        <w:t xml:space="preserve">双方的权利 </w:t>
      </w:r>
    </w:p>
    <w:p>
      <w:pPr>
        <w:pStyle w:val="2"/>
        <w:spacing w:line="500" w:lineRule="exact"/>
        <w:outlineLvl w:val="9"/>
        <w:rPr>
          <w:rFonts w:ascii="宋体" w:hAnsi="宋体"/>
          <w:szCs w:val="21"/>
        </w:rPr>
      </w:pPr>
    </w:p>
    <w:p>
      <w:pPr>
        <w:spacing w:line="500" w:lineRule="exact"/>
        <w:jc w:val="left"/>
        <w:rPr>
          <w:rFonts w:ascii="宋体" w:hAnsi="宋体"/>
          <w:b/>
          <w:bCs/>
          <w:szCs w:val="21"/>
        </w:rPr>
      </w:pPr>
      <w:r>
        <w:rPr>
          <w:rFonts w:hint="eastAsia" w:ascii="宋体" w:hAnsi="宋体" w:cs="仿宋"/>
          <w:b/>
          <w:bCs/>
          <w:szCs w:val="21"/>
        </w:rPr>
        <w:t>第4条  甲方权利</w:t>
      </w:r>
    </w:p>
    <w:p>
      <w:pPr>
        <w:spacing w:line="500" w:lineRule="exact"/>
        <w:rPr>
          <w:rFonts w:ascii="宋体" w:hAnsi="宋体"/>
          <w:b/>
          <w:szCs w:val="21"/>
        </w:rPr>
      </w:pPr>
      <w:r>
        <w:rPr>
          <w:rFonts w:hint="eastAsia" w:ascii="宋体" w:hAnsi="宋体" w:cs="仿宋"/>
          <w:b/>
          <w:szCs w:val="21"/>
        </w:rPr>
        <w:t xml:space="preserve">4.1  </w:t>
      </w:r>
      <w:r>
        <w:rPr>
          <w:rFonts w:hint="eastAsia" w:ascii="宋体" w:hAnsi="宋体" w:cs="仿宋"/>
          <w:b w:val="0"/>
          <w:bCs/>
          <w:szCs w:val="21"/>
        </w:rPr>
        <w:t>书面提出代建项目的主要设计和功能要求及材料设备选型建议，参与初步设计、施工图设计及其调整优化的编报审查，参与设备选型和材料的选择。</w:t>
      </w:r>
    </w:p>
    <w:p>
      <w:pPr>
        <w:spacing w:line="500" w:lineRule="exact"/>
        <w:rPr>
          <w:rFonts w:ascii="宋体" w:hAnsi="宋体"/>
          <w:b/>
          <w:szCs w:val="21"/>
        </w:rPr>
      </w:pPr>
      <w:r>
        <w:rPr>
          <w:rFonts w:hint="eastAsia" w:ascii="宋体" w:hAnsi="宋体" w:cs="仿宋"/>
          <w:b/>
          <w:szCs w:val="21"/>
        </w:rPr>
        <w:t xml:space="preserve">4.2  </w:t>
      </w:r>
      <w:r>
        <w:rPr>
          <w:rFonts w:hint="eastAsia" w:ascii="宋体" w:hAnsi="宋体" w:cs="仿宋"/>
          <w:b w:val="0"/>
          <w:bCs/>
          <w:szCs w:val="21"/>
        </w:rPr>
        <w:t>依法依规监督代建过程中的设计、施工、监理和设备、材料采购招标与政府采购及合同签订工作。</w:t>
      </w:r>
    </w:p>
    <w:p>
      <w:pPr>
        <w:spacing w:line="500" w:lineRule="exact"/>
        <w:rPr>
          <w:rFonts w:ascii="宋体" w:hAnsi="宋体"/>
          <w:b/>
          <w:szCs w:val="21"/>
        </w:rPr>
      </w:pPr>
      <w:r>
        <w:rPr>
          <w:rFonts w:hint="eastAsia" w:ascii="宋体" w:hAnsi="宋体" w:cs="仿宋"/>
          <w:b/>
          <w:szCs w:val="21"/>
        </w:rPr>
        <w:t xml:space="preserve">4.3  </w:t>
      </w:r>
      <w:r>
        <w:rPr>
          <w:rFonts w:hint="eastAsia" w:ascii="宋体" w:hAnsi="宋体" w:cs="仿宋"/>
          <w:b w:val="0"/>
          <w:bCs/>
          <w:szCs w:val="21"/>
        </w:rPr>
        <w:t>监督工程质量、施工进度和资金使用，按有关规定参与工程验收。</w:t>
      </w:r>
    </w:p>
    <w:p>
      <w:pPr>
        <w:spacing w:line="500" w:lineRule="exact"/>
        <w:rPr>
          <w:rFonts w:ascii="宋体" w:hAnsi="宋体"/>
          <w:b w:val="0"/>
          <w:bCs/>
          <w:szCs w:val="21"/>
        </w:rPr>
      </w:pPr>
      <w:r>
        <w:rPr>
          <w:rFonts w:hint="eastAsia" w:ascii="宋体" w:hAnsi="宋体" w:cs="仿宋"/>
          <w:b/>
          <w:szCs w:val="21"/>
        </w:rPr>
        <w:t xml:space="preserve">4.4  </w:t>
      </w:r>
      <w:r>
        <w:rPr>
          <w:rFonts w:hint="eastAsia" w:ascii="宋体" w:hAnsi="宋体" w:cs="仿宋"/>
          <w:b w:val="0"/>
          <w:bCs/>
          <w:szCs w:val="21"/>
        </w:rPr>
        <w:t>对乙方违规违约行为以及不利于满足项目功能要求的问题要求乙方予以纠正，追究乙方违约责任，向代建主管部门反映乙方不良行为和对乙方的意见要求。</w:t>
      </w:r>
    </w:p>
    <w:p>
      <w:pPr>
        <w:spacing w:line="500" w:lineRule="exact"/>
        <w:rPr>
          <w:rFonts w:ascii="宋体" w:hAnsi="宋体"/>
          <w:b w:val="0"/>
          <w:bCs/>
          <w:szCs w:val="21"/>
        </w:rPr>
      </w:pPr>
      <w:r>
        <w:rPr>
          <w:rFonts w:hint="eastAsia" w:ascii="宋体" w:hAnsi="宋体" w:cs="仿宋"/>
          <w:b/>
          <w:szCs w:val="21"/>
        </w:rPr>
        <w:t xml:space="preserve">4.5  </w:t>
      </w:r>
      <w:r>
        <w:rPr>
          <w:rFonts w:hint="eastAsia" w:ascii="宋体" w:hAnsi="宋体" w:cs="仿宋"/>
          <w:b w:val="0"/>
          <w:bCs/>
          <w:szCs w:val="21"/>
        </w:rPr>
        <w:t>项目竣工验收后，要求乙方按合同约定尽快办理实体和资料的移交，对合同约定期限内出现的质量问题要求乙方提供服务。</w:t>
      </w:r>
    </w:p>
    <w:p>
      <w:pPr>
        <w:spacing w:line="500" w:lineRule="exact"/>
        <w:rPr>
          <w:rFonts w:ascii="宋体" w:hAnsi="宋体"/>
          <w:b w:val="0"/>
          <w:bCs/>
          <w:szCs w:val="21"/>
        </w:rPr>
      </w:pPr>
      <w:r>
        <w:rPr>
          <w:rFonts w:hint="eastAsia" w:ascii="宋体" w:hAnsi="宋体" w:cs="仿宋"/>
          <w:b/>
          <w:szCs w:val="21"/>
        </w:rPr>
        <w:t xml:space="preserve">4.6  </w:t>
      </w:r>
      <w:r>
        <w:rPr>
          <w:rFonts w:hint="eastAsia" w:ascii="宋体" w:hAnsi="宋体" w:cs="仿宋"/>
          <w:b w:val="0"/>
          <w:bCs/>
          <w:szCs w:val="21"/>
        </w:rPr>
        <w:t>对代建过程中，因乙方原因造成的甲方直接经济损失享有索赔的权利。</w:t>
      </w:r>
    </w:p>
    <w:p>
      <w:pPr>
        <w:spacing w:line="500" w:lineRule="exact"/>
        <w:rPr>
          <w:rFonts w:ascii="宋体" w:hAnsi="宋体" w:cs="仿宋"/>
          <w:szCs w:val="21"/>
        </w:rPr>
      </w:pPr>
    </w:p>
    <w:p>
      <w:pPr>
        <w:spacing w:line="500" w:lineRule="exact"/>
        <w:jc w:val="left"/>
        <w:rPr>
          <w:rFonts w:ascii="宋体" w:hAnsi="宋体"/>
          <w:b/>
          <w:bCs/>
          <w:szCs w:val="21"/>
        </w:rPr>
      </w:pPr>
      <w:r>
        <w:rPr>
          <w:rFonts w:hint="eastAsia" w:ascii="宋体" w:hAnsi="宋体" w:cs="仿宋"/>
          <w:b/>
          <w:bCs/>
          <w:szCs w:val="21"/>
        </w:rPr>
        <w:t>第5条  乙方权利</w:t>
      </w:r>
    </w:p>
    <w:p>
      <w:pPr>
        <w:spacing w:line="500" w:lineRule="exact"/>
        <w:rPr>
          <w:rFonts w:ascii="宋体" w:hAnsi="宋体"/>
          <w:b w:val="0"/>
          <w:bCs/>
          <w:szCs w:val="21"/>
        </w:rPr>
      </w:pPr>
      <w:r>
        <w:rPr>
          <w:rFonts w:hint="eastAsia" w:ascii="宋体" w:hAnsi="宋体" w:cs="仿宋"/>
          <w:b/>
          <w:szCs w:val="21"/>
        </w:rPr>
        <w:t xml:space="preserve">5.1  </w:t>
      </w:r>
      <w:r>
        <w:rPr>
          <w:rFonts w:hint="eastAsia" w:ascii="宋体" w:hAnsi="宋体" w:cs="仿宋"/>
          <w:b w:val="0"/>
          <w:bCs/>
          <w:szCs w:val="21"/>
        </w:rPr>
        <w:t>乙方在代建周期内作为项目建设单位并享有相应的项目组织、管理及协调权。</w:t>
      </w:r>
    </w:p>
    <w:p>
      <w:pPr>
        <w:spacing w:line="500" w:lineRule="exact"/>
        <w:ind w:firstLine="482"/>
        <w:rPr>
          <w:rFonts w:ascii="宋体" w:hAnsi="宋体"/>
          <w:szCs w:val="21"/>
        </w:rPr>
      </w:pPr>
      <w:r>
        <w:rPr>
          <w:rFonts w:hint="eastAsia" w:ascii="宋体" w:hAnsi="宋体" w:cs="仿宋"/>
          <w:b/>
          <w:szCs w:val="21"/>
        </w:rPr>
        <w:t>5.1.1</w:t>
      </w:r>
      <w:r>
        <w:rPr>
          <w:rFonts w:hint="eastAsia" w:ascii="宋体" w:hAnsi="宋体" w:cs="仿宋"/>
          <w:szCs w:val="21"/>
        </w:rPr>
        <w:t xml:space="preserve">  组织初步设计、施工图设计和优化调整方案及其概预算编报送审。</w:t>
      </w:r>
    </w:p>
    <w:p>
      <w:pPr>
        <w:spacing w:line="500" w:lineRule="exact"/>
        <w:ind w:firstLine="482"/>
        <w:rPr>
          <w:rFonts w:ascii="宋体" w:hAnsi="宋体"/>
          <w:szCs w:val="21"/>
        </w:rPr>
      </w:pPr>
      <w:r>
        <w:rPr>
          <w:rFonts w:hint="eastAsia" w:ascii="宋体" w:hAnsi="宋体" w:cs="仿宋"/>
          <w:b/>
          <w:szCs w:val="21"/>
        </w:rPr>
        <w:t>5.1.2</w:t>
      </w:r>
      <w:r>
        <w:rPr>
          <w:rFonts w:hint="eastAsia" w:ascii="宋体" w:hAnsi="宋体" w:cs="仿宋"/>
          <w:szCs w:val="21"/>
        </w:rPr>
        <w:t xml:space="preserve">  代建过程中依法依规组织工程招标，选择专业工作单位，与各专业工作单位签订合同并依法依约进行管理。</w:t>
      </w:r>
    </w:p>
    <w:p>
      <w:pPr>
        <w:spacing w:line="500" w:lineRule="exact"/>
        <w:ind w:firstLine="482"/>
        <w:rPr>
          <w:rFonts w:ascii="宋体" w:hAnsi="宋体"/>
          <w:szCs w:val="21"/>
        </w:rPr>
      </w:pPr>
      <w:r>
        <w:rPr>
          <w:rFonts w:hint="eastAsia" w:ascii="宋体" w:hAnsi="宋体" w:cs="仿宋"/>
          <w:b/>
          <w:szCs w:val="21"/>
        </w:rPr>
        <w:t xml:space="preserve">5.1.3 </w:t>
      </w:r>
      <w:r>
        <w:rPr>
          <w:rFonts w:hint="eastAsia" w:ascii="宋体" w:hAnsi="宋体" w:cs="仿宋"/>
          <w:szCs w:val="21"/>
        </w:rPr>
        <w:t xml:space="preserve"> 授权监理人发布开工令、停工令、复工令。</w:t>
      </w:r>
    </w:p>
    <w:p>
      <w:pPr>
        <w:spacing w:line="500" w:lineRule="exact"/>
        <w:ind w:firstLine="482"/>
        <w:rPr>
          <w:rFonts w:ascii="宋体" w:hAnsi="宋体"/>
          <w:szCs w:val="21"/>
        </w:rPr>
      </w:pPr>
      <w:r>
        <w:rPr>
          <w:rFonts w:hint="eastAsia" w:ascii="宋体" w:hAnsi="宋体" w:cs="仿宋"/>
          <w:b/>
          <w:szCs w:val="21"/>
        </w:rPr>
        <w:t>5.1.4</w:t>
      </w:r>
      <w:r>
        <w:rPr>
          <w:rFonts w:hint="eastAsia" w:ascii="宋体" w:hAnsi="宋体" w:cs="仿宋"/>
          <w:szCs w:val="21"/>
        </w:rPr>
        <w:t xml:space="preserve">  管理各类合同、文件、图纸和工程档案资料。</w:t>
      </w:r>
    </w:p>
    <w:p>
      <w:pPr>
        <w:spacing w:line="500" w:lineRule="exact"/>
        <w:ind w:firstLine="482"/>
        <w:rPr>
          <w:rFonts w:ascii="宋体" w:hAnsi="宋体"/>
          <w:szCs w:val="21"/>
        </w:rPr>
      </w:pPr>
      <w:r>
        <w:rPr>
          <w:rFonts w:hint="eastAsia" w:ascii="宋体" w:hAnsi="宋体" w:cs="仿宋"/>
          <w:b/>
          <w:szCs w:val="21"/>
        </w:rPr>
        <w:t>5.1.5</w:t>
      </w:r>
      <w:r>
        <w:rPr>
          <w:rFonts w:hint="eastAsia" w:ascii="宋体" w:hAnsi="宋体" w:cs="仿宋"/>
          <w:szCs w:val="21"/>
        </w:rPr>
        <w:t xml:space="preserve">  在与专业工作单位合同约定的价格范围内，有价款支付的审核权和签认权。</w:t>
      </w:r>
    </w:p>
    <w:p>
      <w:pPr>
        <w:spacing w:line="500" w:lineRule="exact"/>
        <w:ind w:firstLine="482"/>
        <w:rPr>
          <w:rFonts w:ascii="宋体" w:hAnsi="宋体"/>
          <w:szCs w:val="21"/>
        </w:rPr>
      </w:pPr>
      <w:r>
        <w:rPr>
          <w:rFonts w:hint="eastAsia" w:ascii="宋体" w:hAnsi="宋体" w:cs="仿宋"/>
          <w:b/>
          <w:szCs w:val="21"/>
        </w:rPr>
        <w:t>5.1.6</w:t>
      </w:r>
      <w:r>
        <w:rPr>
          <w:rFonts w:hint="eastAsia" w:ascii="宋体" w:hAnsi="宋体" w:cs="仿宋"/>
          <w:szCs w:val="21"/>
        </w:rPr>
        <w:t xml:space="preserve">  组织开展项目各参与方的协调工作。</w:t>
      </w:r>
    </w:p>
    <w:p>
      <w:pPr>
        <w:spacing w:line="500" w:lineRule="exact"/>
        <w:rPr>
          <w:rFonts w:ascii="宋体" w:hAnsi="宋体"/>
          <w:b w:val="0"/>
          <w:bCs/>
          <w:szCs w:val="21"/>
        </w:rPr>
      </w:pPr>
      <w:r>
        <w:rPr>
          <w:rFonts w:hint="eastAsia" w:ascii="宋体" w:hAnsi="宋体" w:cs="仿宋"/>
          <w:b/>
          <w:szCs w:val="21"/>
        </w:rPr>
        <w:t xml:space="preserve">5.2  </w:t>
      </w:r>
      <w:r>
        <w:rPr>
          <w:rFonts w:hint="eastAsia" w:ascii="宋体" w:hAnsi="宋体" w:cs="仿宋"/>
          <w:b w:val="0"/>
          <w:bCs/>
          <w:szCs w:val="21"/>
        </w:rPr>
        <w:t>对代建实施过程中可能突破政府投资主管部门批复的投资规模的方案、行为要求改正或优化，拒绝并要求有关方面停止实施未经政府投资主管部门批复同意的工程建设内容，拒绝并要求有关方面停止实施未经批准的可能引起投资超过概算的行为。</w:t>
      </w:r>
    </w:p>
    <w:p>
      <w:pPr>
        <w:spacing w:line="500" w:lineRule="exact"/>
        <w:rPr>
          <w:rFonts w:ascii="宋体" w:hAnsi="宋体"/>
          <w:b w:val="0"/>
          <w:bCs/>
          <w:szCs w:val="21"/>
        </w:rPr>
      </w:pPr>
      <w:r>
        <w:rPr>
          <w:rFonts w:hint="eastAsia" w:ascii="宋体" w:hAnsi="宋体" w:cs="仿宋"/>
          <w:b/>
          <w:szCs w:val="21"/>
        </w:rPr>
        <w:t xml:space="preserve">5.3  </w:t>
      </w:r>
      <w:r>
        <w:rPr>
          <w:rFonts w:hint="eastAsia" w:ascii="宋体" w:hAnsi="宋体" w:cs="仿宋"/>
          <w:b w:val="0"/>
          <w:bCs/>
          <w:szCs w:val="21"/>
        </w:rPr>
        <w:t>按合同约定取得代建服务费，并按合同专用条款约定从项目投资节余中获得适当奖励。乙方对甲方提出的额外工作，有权要求支付额外工作费用。对因甲方原因造成的项目建设周期延长，乙方有权要求延长代建周期，并获得补偿。对代建过程中，因甲方原因造成的乙方直接经济损失享有索赔的权利。</w:t>
      </w:r>
    </w:p>
    <w:p>
      <w:pPr>
        <w:spacing w:line="500" w:lineRule="exact"/>
        <w:ind w:left="359" w:hanging="359"/>
        <w:rPr>
          <w:rFonts w:ascii="宋体" w:hAnsi="宋体"/>
          <w:b w:val="0"/>
          <w:bCs/>
          <w:szCs w:val="21"/>
        </w:rPr>
      </w:pPr>
      <w:r>
        <w:rPr>
          <w:rFonts w:hint="eastAsia" w:ascii="宋体" w:hAnsi="宋体" w:cs="仿宋"/>
          <w:b/>
          <w:szCs w:val="21"/>
        </w:rPr>
        <w:t xml:space="preserve">5.4  </w:t>
      </w:r>
      <w:r>
        <w:rPr>
          <w:rFonts w:hint="eastAsia" w:ascii="宋体" w:hAnsi="宋体" w:cs="仿宋"/>
          <w:b w:val="0"/>
          <w:bCs/>
          <w:szCs w:val="21"/>
        </w:rPr>
        <w:t>乙方有权拒绝甲方提出的代建合同约定之外的要求。</w:t>
      </w:r>
    </w:p>
    <w:p>
      <w:pPr>
        <w:spacing w:line="500" w:lineRule="exact"/>
        <w:rPr>
          <w:rFonts w:ascii="宋体" w:hAnsi="宋体"/>
          <w:b w:val="0"/>
          <w:bCs/>
          <w:szCs w:val="21"/>
        </w:rPr>
      </w:pPr>
      <w:r>
        <w:rPr>
          <w:rFonts w:hint="eastAsia" w:ascii="宋体" w:hAnsi="宋体" w:cs="仿宋"/>
          <w:b/>
          <w:szCs w:val="21"/>
        </w:rPr>
        <w:t xml:space="preserve">5.5  </w:t>
      </w:r>
      <w:r>
        <w:rPr>
          <w:rFonts w:hint="eastAsia" w:ascii="宋体" w:hAnsi="宋体" w:cs="仿宋"/>
          <w:b w:val="0"/>
          <w:bCs/>
          <w:szCs w:val="21"/>
        </w:rPr>
        <w:t>乙方有权就合同争议事项和代建项目重大变更等向代建主管部门请求协调。</w:t>
      </w:r>
    </w:p>
    <w:p>
      <w:pPr>
        <w:spacing w:line="500" w:lineRule="exact"/>
        <w:ind w:firstLine="482"/>
        <w:rPr>
          <w:rFonts w:ascii="宋体" w:hAnsi="宋体" w:cs="仿宋"/>
          <w:b/>
          <w:szCs w:val="21"/>
        </w:rPr>
      </w:pPr>
    </w:p>
    <w:p>
      <w:pPr>
        <w:spacing w:line="500" w:lineRule="exact"/>
        <w:jc w:val="center"/>
        <w:rPr>
          <w:rFonts w:ascii="宋体" w:hAnsi="宋体"/>
          <w:b/>
          <w:bCs/>
          <w:szCs w:val="21"/>
        </w:rPr>
      </w:pPr>
      <w:r>
        <w:rPr>
          <w:rFonts w:hint="eastAsia" w:ascii="宋体" w:hAnsi="宋体"/>
          <w:b/>
          <w:bCs/>
          <w:szCs w:val="21"/>
        </w:rPr>
        <w:t>第三节 合同双方的义务</w:t>
      </w:r>
    </w:p>
    <w:p>
      <w:pPr>
        <w:pStyle w:val="2"/>
        <w:spacing w:line="500" w:lineRule="exact"/>
        <w:outlineLvl w:val="9"/>
        <w:rPr>
          <w:rFonts w:ascii="宋体" w:hAnsi="宋体"/>
          <w:szCs w:val="21"/>
        </w:rPr>
      </w:pPr>
    </w:p>
    <w:p>
      <w:pPr>
        <w:spacing w:line="500" w:lineRule="exact"/>
        <w:jc w:val="left"/>
        <w:rPr>
          <w:rFonts w:ascii="宋体" w:hAnsi="宋体"/>
          <w:b/>
          <w:bCs/>
          <w:szCs w:val="21"/>
        </w:rPr>
      </w:pPr>
      <w:r>
        <w:rPr>
          <w:rFonts w:hint="eastAsia" w:ascii="宋体" w:hAnsi="宋体" w:cs="仿宋"/>
          <w:b/>
          <w:bCs/>
          <w:szCs w:val="21"/>
        </w:rPr>
        <w:t>第6条  甲方义务</w:t>
      </w:r>
    </w:p>
    <w:p>
      <w:pPr>
        <w:tabs>
          <w:tab w:val="left" w:pos="1440"/>
        </w:tabs>
        <w:spacing w:line="500" w:lineRule="exact"/>
        <w:rPr>
          <w:rFonts w:ascii="宋体" w:hAnsi="宋体"/>
          <w:b/>
          <w:bCs/>
          <w:szCs w:val="21"/>
        </w:rPr>
      </w:pPr>
      <w:r>
        <w:rPr>
          <w:rFonts w:hint="eastAsia" w:ascii="宋体" w:hAnsi="宋体" w:cs="仿宋"/>
          <w:b/>
          <w:bCs/>
          <w:szCs w:val="21"/>
        </w:rPr>
        <w:t>6.1  遵守法律</w:t>
      </w:r>
    </w:p>
    <w:p>
      <w:pPr>
        <w:spacing w:line="500" w:lineRule="exact"/>
        <w:ind w:firstLine="480"/>
        <w:rPr>
          <w:rFonts w:ascii="宋体" w:hAnsi="宋体"/>
          <w:szCs w:val="21"/>
        </w:rPr>
      </w:pPr>
      <w:r>
        <w:rPr>
          <w:rFonts w:hint="eastAsia" w:ascii="宋体" w:hAnsi="宋体" w:cs="仿宋"/>
          <w:szCs w:val="21"/>
        </w:rPr>
        <w:t>甲方在履行合同过程中应遵守法律，并保证乙方免于承担因甲方违反法律而引起的任何责任。</w:t>
      </w:r>
    </w:p>
    <w:p>
      <w:pPr>
        <w:spacing w:line="500" w:lineRule="exact"/>
        <w:rPr>
          <w:rFonts w:ascii="宋体" w:hAnsi="宋体"/>
          <w:szCs w:val="21"/>
        </w:rPr>
      </w:pPr>
      <w:r>
        <w:rPr>
          <w:rFonts w:hint="eastAsia" w:ascii="宋体" w:hAnsi="宋体" w:cs="仿宋"/>
          <w:b/>
          <w:szCs w:val="21"/>
        </w:rPr>
        <w:t>6.2</w:t>
      </w:r>
      <w:r>
        <w:rPr>
          <w:rFonts w:hint="eastAsia" w:ascii="宋体" w:hAnsi="宋体" w:cs="仿宋"/>
          <w:szCs w:val="21"/>
        </w:rPr>
        <w:t xml:space="preserve">  </w:t>
      </w:r>
      <w:r>
        <w:rPr>
          <w:rFonts w:hint="eastAsia" w:ascii="宋体" w:hAnsi="宋体" w:cs="仿宋"/>
          <w:b/>
          <w:szCs w:val="21"/>
        </w:rPr>
        <w:t>完成项目前期准备</w:t>
      </w:r>
    </w:p>
    <w:p>
      <w:pPr>
        <w:spacing w:line="500" w:lineRule="exact"/>
        <w:ind w:firstLine="482"/>
        <w:rPr>
          <w:rFonts w:ascii="宋体" w:hAnsi="宋体"/>
          <w:szCs w:val="21"/>
        </w:rPr>
      </w:pPr>
      <w:r>
        <w:rPr>
          <w:rFonts w:hint="eastAsia" w:ascii="宋体" w:hAnsi="宋体" w:cs="仿宋"/>
          <w:b/>
          <w:szCs w:val="21"/>
        </w:rPr>
        <w:t>6.2.1</w:t>
      </w:r>
      <w:r>
        <w:rPr>
          <w:rFonts w:hint="eastAsia" w:ascii="宋体" w:hAnsi="宋体" w:cs="仿宋"/>
          <w:szCs w:val="21"/>
        </w:rPr>
        <w:t xml:space="preserve">  负责项目前期的土地房屋征收，提供项目场地，落实乙方进场条件。</w:t>
      </w:r>
    </w:p>
    <w:p>
      <w:pPr>
        <w:spacing w:line="500" w:lineRule="exact"/>
        <w:ind w:firstLine="482"/>
        <w:rPr>
          <w:rFonts w:ascii="宋体" w:hAnsi="宋体"/>
          <w:szCs w:val="21"/>
        </w:rPr>
      </w:pPr>
      <w:r>
        <w:rPr>
          <w:rFonts w:hint="eastAsia" w:ascii="宋体" w:hAnsi="宋体" w:cs="仿宋"/>
          <w:b/>
          <w:szCs w:val="21"/>
        </w:rPr>
        <w:t>6.2.3</w:t>
      </w:r>
      <w:r>
        <w:rPr>
          <w:rFonts w:hint="eastAsia" w:ascii="宋体" w:hAnsi="宋体" w:cs="仿宋"/>
          <w:szCs w:val="21"/>
        </w:rPr>
        <w:t xml:space="preserve">  负责项目资金计划和预算的申报，及时落实各级财政性资金，筹措自筹资金，完成</w:t>
      </w:r>
      <w:r>
        <w:rPr>
          <w:rFonts w:ascii="宋体" w:hAnsi="宋体" w:cs="仿宋"/>
          <w:szCs w:val="21"/>
        </w:rPr>
        <w:t>项目</w:t>
      </w:r>
      <w:r>
        <w:rPr>
          <w:rFonts w:hint="eastAsia" w:ascii="宋体" w:hAnsi="宋体" w:cs="仿宋"/>
          <w:szCs w:val="21"/>
        </w:rPr>
        <w:t>建议书</w:t>
      </w:r>
      <w:r>
        <w:rPr>
          <w:rFonts w:ascii="宋体" w:hAnsi="宋体" w:cs="仿宋"/>
          <w:szCs w:val="21"/>
        </w:rPr>
        <w:t>审批。</w:t>
      </w:r>
    </w:p>
    <w:p>
      <w:pPr>
        <w:tabs>
          <w:tab w:val="left" w:pos="1440"/>
        </w:tabs>
        <w:spacing w:line="500" w:lineRule="exact"/>
        <w:rPr>
          <w:rFonts w:ascii="宋体" w:hAnsi="宋体"/>
          <w:b/>
          <w:bCs/>
          <w:szCs w:val="21"/>
        </w:rPr>
      </w:pPr>
      <w:r>
        <w:rPr>
          <w:rFonts w:hint="eastAsia" w:ascii="宋体" w:hAnsi="宋体" w:cs="仿宋"/>
          <w:b/>
          <w:bCs/>
          <w:szCs w:val="21"/>
        </w:rPr>
        <w:t>6.3  办理有关手续</w:t>
      </w:r>
    </w:p>
    <w:p>
      <w:pPr>
        <w:tabs>
          <w:tab w:val="left" w:pos="1276"/>
        </w:tabs>
        <w:spacing w:line="500" w:lineRule="exact"/>
        <w:ind w:firstLine="482"/>
        <w:rPr>
          <w:rFonts w:ascii="宋体" w:hAnsi="宋体"/>
          <w:szCs w:val="21"/>
        </w:rPr>
      </w:pPr>
      <w:r>
        <w:rPr>
          <w:rFonts w:hint="eastAsia" w:ascii="宋体" w:hAnsi="宋体" w:cs="仿宋"/>
          <w:b/>
          <w:szCs w:val="21"/>
        </w:rPr>
        <w:t>6.3.1</w:t>
      </w:r>
      <w:r>
        <w:rPr>
          <w:rFonts w:hint="eastAsia" w:ascii="宋体" w:hAnsi="宋体" w:cs="仿宋"/>
          <w:szCs w:val="21"/>
        </w:rPr>
        <w:t xml:space="preserve">  现行工程建设管理规定要求办理的各项报批手续，甲方应配合乙方按时办理。甲方负责办理的手续在合同专用条款明确。</w:t>
      </w:r>
    </w:p>
    <w:p>
      <w:pPr>
        <w:spacing w:line="500" w:lineRule="exact"/>
        <w:ind w:firstLine="482"/>
        <w:rPr>
          <w:rFonts w:ascii="宋体" w:hAnsi="宋体"/>
          <w:szCs w:val="21"/>
        </w:rPr>
      </w:pPr>
      <w:r>
        <w:rPr>
          <w:rFonts w:hint="eastAsia" w:ascii="宋体" w:hAnsi="宋体" w:cs="仿宋"/>
          <w:b/>
          <w:szCs w:val="21"/>
        </w:rPr>
        <w:t>6.3.2</w:t>
      </w:r>
      <w:r>
        <w:rPr>
          <w:rFonts w:hint="eastAsia" w:ascii="宋体" w:hAnsi="宋体" w:cs="仿宋"/>
          <w:szCs w:val="21"/>
        </w:rPr>
        <w:t xml:space="preserve">  配合因甲方原因导致的设计及概算调整的报批。</w:t>
      </w:r>
    </w:p>
    <w:p>
      <w:pPr>
        <w:tabs>
          <w:tab w:val="left" w:pos="1440"/>
        </w:tabs>
        <w:spacing w:line="500" w:lineRule="exact"/>
        <w:rPr>
          <w:rFonts w:ascii="宋体" w:hAnsi="宋体"/>
          <w:b/>
          <w:bCs/>
          <w:szCs w:val="21"/>
        </w:rPr>
      </w:pPr>
      <w:r>
        <w:rPr>
          <w:rFonts w:hint="eastAsia" w:ascii="宋体" w:hAnsi="宋体" w:cs="仿宋"/>
          <w:b/>
          <w:bCs/>
          <w:szCs w:val="21"/>
        </w:rPr>
        <w:t>6.4  资金支付</w:t>
      </w:r>
    </w:p>
    <w:p>
      <w:pPr>
        <w:spacing w:line="500" w:lineRule="exact"/>
        <w:ind w:firstLine="482"/>
        <w:rPr>
          <w:rFonts w:ascii="宋体" w:hAnsi="宋体"/>
          <w:szCs w:val="21"/>
        </w:rPr>
      </w:pPr>
      <w:r>
        <w:rPr>
          <w:rFonts w:hint="eastAsia" w:ascii="宋体" w:hAnsi="宋体" w:cs="仿宋"/>
          <w:b/>
          <w:szCs w:val="21"/>
        </w:rPr>
        <w:t xml:space="preserve">6.4.1 </w:t>
      </w:r>
      <w:r>
        <w:rPr>
          <w:rFonts w:hint="eastAsia" w:ascii="宋体" w:hAnsi="宋体" w:cs="仿宋"/>
          <w:szCs w:val="21"/>
        </w:rPr>
        <w:t xml:space="preserve"> 按照合同约定向乙方及时支付代建服务费。</w:t>
      </w:r>
    </w:p>
    <w:p>
      <w:pPr>
        <w:spacing w:line="500" w:lineRule="exact"/>
        <w:ind w:firstLine="482"/>
        <w:rPr>
          <w:rFonts w:ascii="宋体" w:hAnsi="宋体"/>
          <w:szCs w:val="21"/>
        </w:rPr>
      </w:pPr>
      <w:r>
        <w:rPr>
          <w:rFonts w:hint="eastAsia" w:ascii="宋体" w:hAnsi="宋体" w:cs="仿宋"/>
          <w:b/>
          <w:szCs w:val="21"/>
        </w:rPr>
        <w:t>6.4.2</w:t>
      </w:r>
      <w:r>
        <w:rPr>
          <w:rFonts w:hint="eastAsia" w:ascii="宋体" w:hAnsi="宋体" w:cs="仿宋"/>
          <w:szCs w:val="21"/>
        </w:rPr>
        <w:t xml:space="preserve">  按照乙方签核的价款在合同约定的期限内及时向财政部门申报支付，确保项目建设价款及时拨付到位。</w:t>
      </w:r>
    </w:p>
    <w:p>
      <w:pPr>
        <w:spacing w:line="500" w:lineRule="exact"/>
        <w:ind w:firstLine="482"/>
        <w:rPr>
          <w:rFonts w:ascii="宋体" w:hAnsi="宋体"/>
          <w:szCs w:val="21"/>
        </w:rPr>
      </w:pPr>
      <w:r>
        <w:rPr>
          <w:rFonts w:hint="eastAsia" w:ascii="宋体" w:hAnsi="宋体" w:cs="仿宋"/>
          <w:b/>
          <w:szCs w:val="21"/>
        </w:rPr>
        <w:t>6.4.3</w:t>
      </w:r>
      <w:r>
        <w:rPr>
          <w:rFonts w:hint="eastAsia" w:ascii="宋体" w:hAnsi="宋体" w:cs="仿宋"/>
          <w:szCs w:val="21"/>
        </w:rPr>
        <w:t xml:space="preserve">  做好自筹资金的管理，按照乙方签核的价款及时支付。</w:t>
      </w:r>
    </w:p>
    <w:p>
      <w:pPr>
        <w:tabs>
          <w:tab w:val="left" w:pos="1440"/>
        </w:tabs>
        <w:spacing w:line="500" w:lineRule="exact"/>
        <w:rPr>
          <w:rFonts w:ascii="宋体" w:hAnsi="宋体"/>
          <w:b/>
          <w:bCs/>
          <w:szCs w:val="21"/>
        </w:rPr>
      </w:pPr>
      <w:r>
        <w:rPr>
          <w:rFonts w:hint="eastAsia" w:ascii="宋体" w:hAnsi="宋体" w:cs="仿宋"/>
          <w:b/>
          <w:bCs/>
          <w:szCs w:val="21"/>
        </w:rPr>
        <w:t>6.5  支持协助乙方工作</w:t>
      </w:r>
    </w:p>
    <w:p>
      <w:pPr>
        <w:spacing w:line="500" w:lineRule="exact"/>
        <w:ind w:firstLine="482"/>
        <w:rPr>
          <w:rFonts w:ascii="宋体" w:hAnsi="宋体"/>
          <w:szCs w:val="21"/>
        </w:rPr>
      </w:pPr>
      <w:r>
        <w:rPr>
          <w:rFonts w:hint="eastAsia" w:ascii="宋体" w:hAnsi="宋体" w:cs="仿宋"/>
          <w:b/>
          <w:szCs w:val="21"/>
        </w:rPr>
        <w:t>6.5.1</w:t>
      </w:r>
      <w:r>
        <w:rPr>
          <w:rFonts w:hint="eastAsia" w:ascii="宋体" w:hAnsi="宋体" w:cs="仿宋"/>
          <w:szCs w:val="21"/>
        </w:rPr>
        <w:t xml:space="preserve">  根据项目建设的需要，提供甲方掌握的文件资料，积极做好有关协调工作，为乙方办理建设用地、规划、施工、节能、环保、消防、市政等报批报建工作提供必要的协助和便利，及时提供政府有关部门依法要求的甲方文件。</w:t>
      </w:r>
    </w:p>
    <w:p>
      <w:pPr>
        <w:spacing w:line="500" w:lineRule="exact"/>
        <w:ind w:firstLine="482"/>
        <w:rPr>
          <w:rFonts w:ascii="宋体" w:hAnsi="宋体"/>
          <w:szCs w:val="21"/>
        </w:rPr>
      </w:pPr>
      <w:r>
        <w:rPr>
          <w:rFonts w:hint="eastAsia" w:ascii="宋体" w:hAnsi="宋体" w:cs="仿宋"/>
          <w:b/>
          <w:szCs w:val="21"/>
        </w:rPr>
        <w:t>6.5.2</w:t>
      </w:r>
      <w:r>
        <w:rPr>
          <w:rFonts w:hint="eastAsia" w:ascii="宋体" w:hAnsi="宋体" w:cs="仿宋"/>
          <w:szCs w:val="21"/>
        </w:rPr>
        <w:t xml:space="preserve">  尊重乙方代建周期内的管理权责，不直接作为甲方与专业工作单位签订合同，不直接干预专业单位工作。</w:t>
      </w:r>
    </w:p>
    <w:p>
      <w:pPr>
        <w:spacing w:line="500" w:lineRule="exact"/>
        <w:ind w:firstLine="482"/>
        <w:rPr>
          <w:rFonts w:ascii="宋体" w:hAnsi="宋体"/>
          <w:szCs w:val="21"/>
        </w:rPr>
      </w:pPr>
      <w:r>
        <w:rPr>
          <w:rFonts w:hint="eastAsia" w:ascii="宋体" w:hAnsi="宋体" w:cs="仿宋"/>
          <w:b/>
          <w:szCs w:val="21"/>
        </w:rPr>
        <w:t>6.5.3</w:t>
      </w:r>
      <w:r>
        <w:rPr>
          <w:rFonts w:hint="eastAsia" w:ascii="宋体" w:hAnsi="宋体" w:cs="仿宋"/>
          <w:szCs w:val="21"/>
        </w:rPr>
        <w:t xml:space="preserve">  书面指派专人负责项目的联络工作，对乙方提交并要求作出决定的事宜在专用条款约定的时间内及时予以书面答复。</w:t>
      </w:r>
    </w:p>
    <w:p>
      <w:pPr>
        <w:spacing w:line="500" w:lineRule="exact"/>
        <w:ind w:firstLine="482"/>
        <w:rPr>
          <w:rFonts w:ascii="宋体" w:hAnsi="宋体"/>
          <w:szCs w:val="21"/>
        </w:rPr>
      </w:pPr>
      <w:r>
        <w:rPr>
          <w:rFonts w:hint="eastAsia" w:ascii="宋体" w:hAnsi="宋体" w:cs="仿宋"/>
          <w:b/>
          <w:szCs w:val="21"/>
        </w:rPr>
        <w:t>6.5.4</w:t>
      </w:r>
      <w:r>
        <w:rPr>
          <w:rFonts w:hint="eastAsia" w:ascii="宋体" w:hAnsi="宋体" w:cs="仿宋"/>
          <w:szCs w:val="21"/>
        </w:rPr>
        <w:t xml:space="preserve">  及时书面告知乙方与工程建设相关的行业法规、政策变化情况和其他甲方知晓的影响工程建设的有关情况。</w:t>
      </w:r>
    </w:p>
    <w:p>
      <w:pPr>
        <w:spacing w:line="500" w:lineRule="exact"/>
        <w:ind w:firstLine="482"/>
        <w:rPr>
          <w:rFonts w:ascii="宋体" w:hAnsi="宋体"/>
          <w:szCs w:val="21"/>
        </w:rPr>
      </w:pPr>
      <w:r>
        <w:rPr>
          <w:rFonts w:hint="eastAsia" w:ascii="宋体" w:hAnsi="宋体" w:cs="仿宋"/>
          <w:b/>
          <w:szCs w:val="21"/>
        </w:rPr>
        <w:t xml:space="preserve">6.5.5  </w:t>
      </w:r>
      <w:r>
        <w:rPr>
          <w:rFonts w:hint="eastAsia" w:ascii="宋体" w:hAnsi="宋体" w:cs="仿宋"/>
          <w:szCs w:val="21"/>
        </w:rPr>
        <w:t>及时协助开展竣工验收工作，按合同约定及时办理工程实体移交手续，出具实体移交证书。</w:t>
      </w:r>
    </w:p>
    <w:p>
      <w:pPr>
        <w:spacing w:line="500" w:lineRule="exact"/>
        <w:ind w:firstLine="482"/>
        <w:rPr>
          <w:rFonts w:ascii="宋体" w:hAnsi="宋体"/>
          <w:szCs w:val="21"/>
        </w:rPr>
      </w:pPr>
      <w:r>
        <w:rPr>
          <w:rFonts w:hint="eastAsia" w:ascii="宋体" w:hAnsi="宋体" w:cs="仿宋"/>
          <w:b/>
          <w:szCs w:val="21"/>
        </w:rPr>
        <w:t>6.5.6</w:t>
      </w:r>
      <w:r>
        <w:rPr>
          <w:rFonts w:hint="eastAsia" w:ascii="宋体" w:hAnsi="宋体" w:cs="仿宋"/>
          <w:szCs w:val="21"/>
        </w:rPr>
        <w:t xml:space="preserve">  协助乙方组织编制工程结算、项目竣工财务决算，并报有关部门审查。</w:t>
      </w:r>
    </w:p>
    <w:p>
      <w:pPr>
        <w:tabs>
          <w:tab w:val="left" w:pos="1440"/>
        </w:tabs>
        <w:spacing w:line="500" w:lineRule="exact"/>
        <w:rPr>
          <w:rFonts w:ascii="宋体" w:hAnsi="宋体"/>
          <w:b/>
          <w:bCs/>
          <w:szCs w:val="21"/>
        </w:rPr>
      </w:pPr>
      <w:r>
        <w:rPr>
          <w:rFonts w:hint="eastAsia" w:ascii="宋体" w:hAnsi="宋体" w:cs="仿宋"/>
          <w:b/>
          <w:bCs/>
          <w:szCs w:val="21"/>
        </w:rPr>
        <w:t xml:space="preserve">6.6  </w:t>
      </w:r>
      <w:r>
        <w:rPr>
          <w:rFonts w:hint="eastAsia" w:ascii="宋体" w:hAnsi="宋体" w:cs="仿宋"/>
          <w:b w:val="0"/>
          <w:bCs w:val="0"/>
          <w:szCs w:val="21"/>
        </w:rPr>
        <w:t>在项目建设工作中接受代建主管部门及其他行业主管部门的指导、协调和监督，配合对代建单位和代建项目的监督评价工作。</w:t>
      </w:r>
    </w:p>
    <w:p>
      <w:pPr>
        <w:tabs>
          <w:tab w:val="left" w:pos="1440"/>
        </w:tabs>
        <w:spacing w:line="500" w:lineRule="exact"/>
        <w:rPr>
          <w:rFonts w:ascii="宋体" w:hAnsi="宋体"/>
          <w:b/>
          <w:bCs/>
          <w:szCs w:val="21"/>
        </w:rPr>
      </w:pPr>
      <w:r>
        <w:rPr>
          <w:rFonts w:hint="eastAsia" w:ascii="宋体" w:hAnsi="宋体" w:cs="仿宋"/>
          <w:b/>
          <w:bCs/>
          <w:szCs w:val="21"/>
        </w:rPr>
        <w:t>6.7   其他义务</w:t>
      </w:r>
    </w:p>
    <w:p>
      <w:pPr>
        <w:spacing w:line="500" w:lineRule="exact"/>
        <w:ind w:firstLine="480"/>
        <w:rPr>
          <w:rFonts w:ascii="宋体" w:hAnsi="宋体"/>
          <w:szCs w:val="21"/>
        </w:rPr>
      </w:pPr>
      <w:r>
        <w:rPr>
          <w:rFonts w:hint="eastAsia" w:ascii="宋体" w:hAnsi="宋体" w:cs="仿宋"/>
          <w:szCs w:val="21"/>
        </w:rPr>
        <w:t>履行合同约定的其他义务。</w:t>
      </w:r>
    </w:p>
    <w:p>
      <w:pPr>
        <w:spacing w:line="500" w:lineRule="exact"/>
        <w:ind w:firstLine="480"/>
        <w:rPr>
          <w:rFonts w:ascii="宋体" w:hAnsi="宋体" w:cs="仿宋"/>
          <w:szCs w:val="21"/>
        </w:rPr>
      </w:pPr>
    </w:p>
    <w:p>
      <w:pPr>
        <w:spacing w:line="500" w:lineRule="exact"/>
        <w:jc w:val="left"/>
        <w:rPr>
          <w:rFonts w:ascii="宋体" w:hAnsi="宋体"/>
          <w:b/>
          <w:bCs/>
          <w:szCs w:val="21"/>
        </w:rPr>
      </w:pPr>
      <w:r>
        <w:rPr>
          <w:rFonts w:hint="eastAsia" w:ascii="宋体" w:hAnsi="宋体" w:cs="仿宋"/>
          <w:b/>
          <w:bCs/>
          <w:szCs w:val="21"/>
        </w:rPr>
        <w:t>第7条  乙方义务</w:t>
      </w:r>
    </w:p>
    <w:p>
      <w:pPr>
        <w:tabs>
          <w:tab w:val="left" w:pos="1440"/>
        </w:tabs>
        <w:spacing w:line="500" w:lineRule="exact"/>
        <w:rPr>
          <w:rFonts w:ascii="宋体" w:hAnsi="宋体"/>
          <w:b/>
          <w:bCs/>
          <w:szCs w:val="21"/>
        </w:rPr>
      </w:pPr>
      <w:r>
        <w:rPr>
          <w:rFonts w:hint="eastAsia" w:ascii="宋体" w:hAnsi="宋体" w:cs="仿宋"/>
          <w:b/>
          <w:bCs/>
          <w:szCs w:val="21"/>
        </w:rPr>
        <w:t>7.1  一般义务</w:t>
      </w:r>
    </w:p>
    <w:p>
      <w:pPr>
        <w:spacing w:line="500" w:lineRule="exact"/>
        <w:ind w:firstLine="482"/>
        <w:rPr>
          <w:rFonts w:ascii="宋体" w:hAnsi="宋体"/>
          <w:szCs w:val="21"/>
        </w:rPr>
      </w:pPr>
      <w:r>
        <w:rPr>
          <w:rFonts w:hint="eastAsia" w:ascii="宋体" w:hAnsi="宋体" w:cs="仿宋"/>
          <w:b/>
          <w:szCs w:val="21"/>
        </w:rPr>
        <w:t>7.1.1</w:t>
      </w:r>
      <w:r>
        <w:rPr>
          <w:rFonts w:ascii="宋体" w:hAnsi="宋体" w:cs="仿宋"/>
          <w:b/>
          <w:szCs w:val="21"/>
        </w:rPr>
        <w:t xml:space="preserve">  </w:t>
      </w:r>
      <w:r>
        <w:rPr>
          <w:rFonts w:hint="eastAsia" w:ascii="宋体" w:hAnsi="宋体" w:cs="仿宋"/>
          <w:bCs/>
          <w:szCs w:val="21"/>
        </w:rPr>
        <w:t>遵守法律</w:t>
      </w:r>
    </w:p>
    <w:p>
      <w:pPr>
        <w:spacing w:line="500" w:lineRule="exact"/>
        <w:ind w:firstLine="480"/>
        <w:rPr>
          <w:rFonts w:ascii="宋体" w:hAnsi="宋体"/>
          <w:szCs w:val="21"/>
        </w:rPr>
      </w:pPr>
      <w:r>
        <w:rPr>
          <w:rFonts w:hint="eastAsia" w:ascii="宋体" w:hAnsi="宋体" w:cs="仿宋"/>
          <w:szCs w:val="21"/>
        </w:rPr>
        <w:t>乙方在履行合同过程中应遵守法律，并保证甲方免于承担因乙方违反法律而引起的任何责任。</w:t>
      </w:r>
    </w:p>
    <w:p>
      <w:pPr>
        <w:spacing w:line="500" w:lineRule="exact"/>
        <w:ind w:firstLine="482"/>
        <w:rPr>
          <w:rFonts w:ascii="宋体" w:hAnsi="宋体"/>
          <w:szCs w:val="21"/>
        </w:rPr>
      </w:pPr>
      <w:r>
        <w:rPr>
          <w:rFonts w:hint="eastAsia" w:ascii="宋体" w:hAnsi="宋体" w:cs="仿宋"/>
          <w:b/>
          <w:szCs w:val="21"/>
        </w:rPr>
        <w:t>7.1.2</w:t>
      </w:r>
      <w:r>
        <w:rPr>
          <w:rFonts w:hint="eastAsia" w:ascii="宋体" w:hAnsi="宋体" w:cs="仿宋"/>
          <w:szCs w:val="21"/>
        </w:rPr>
        <w:t xml:space="preserve">  依法纳税</w:t>
      </w:r>
    </w:p>
    <w:p>
      <w:pPr>
        <w:spacing w:line="500" w:lineRule="exact"/>
        <w:ind w:firstLine="480"/>
        <w:rPr>
          <w:rFonts w:ascii="宋体" w:hAnsi="宋体"/>
          <w:szCs w:val="21"/>
        </w:rPr>
      </w:pPr>
      <w:r>
        <w:rPr>
          <w:rFonts w:hint="eastAsia" w:ascii="宋体" w:hAnsi="宋体" w:cs="仿宋"/>
          <w:szCs w:val="21"/>
        </w:rPr>
        <w:t>乙方应按有关法律规定纳税，承担本项目代建服务应缴纳的税金包含在代建合同价款内。</w:t>
      </w:r>
    </w:p>
    <w:p>
      <w:pPr>
        <w:spacing w:line="500" w:lineRule="exact"/>
        <w:ind w:firstLine="482"/>
        <w:rPr>
          <w:rFonts w:ascii="宋体" w:hAnsi="宋体"/>
          <w:szCs w:val="21"/>
        </w:rPr>
      </w:pPr>
      <w:r>
        <w:rPr>
          <w:rFonts w:hint="eastAsia" w:ascii="宋体" w:hAnsi="宋体" w:cs="仿宋"/>
          <w:b/>
          <w:szCs w:val="21"/>
        </w:rPr>
        <w:t>7.1.3</w:t>
      </w:r>
      <w:r>
        <w:rPr>
          <w:rFonts w:hint="eastAsia" w:ascii="宋体" w:hAnsi="宋体" w:cs="仿宋"/>
          <w:szCs w:val="21"/>
        </w:rPr>
        <w:t xml:space="preserve">  保证项目和人员的安全</w:t>
      </w:r>
    </w:p>
    <w:p>
      <w:pPr>
        <w:spacing w:line="500" w:lineRule="exact"/>
        <w:ind w:firstLine="480"/>
        <w:rPr>
          <w:rFonts w:ascii="宋体" w:hAnsi="宋体"/>
          <w:szCs w:val="21"/>
        </w:rPr>
      </w:pPr>
      <w:r>
        <w:rPr>
          <w:rFonts w:hint="eastAsia" w:ascii="宋体" w:hAnsi="宋体" w:cs="仿宋"/>
          <w:szCs w:val="21"/>
        </w:rPr>
        <w:t>按法律法规及行业现行规定，承担建设单位的安全管理和监督责任。</w:t>
      </w:r>
    </w:p>
    <w:p>
      <w:pPr>
        <w:spacing w:line="500" w:lineRule="exact"/>
        <w:ind w:firstLine="482"/>
        <w:rPr>
          <w:rFonts w:ascii="宋体" w:hAnsi="宋体"/>
          <w:szCs w:val="21"/>
        </w:rPr>
      </w:pPr>
      <w:r>
        <w:rPr>
          <w:rFonts w:hint="eastAsia" w:ascii="宋体" w:hAnsi="宋体" w:cs="仿宋"/>
          <w:b/>
          <w:szCs w:val="21"/>
        </w:rPr>
        <w:t>7.1.4</w:t>
      </w:r>
      <w:r>
        <w:rPr>
          <w:rFonts w:hint="eastAsia" w:ascii="宋体" w:hAnsi="宋体" w:cs="仿宋"/>
          <w:szCs w:val="21"/>
        </w:rPr>
        <w:t xml:space="preserve">  避免项目对公众与他人的利益造成损害</w:t>
      </w:r>
    </w:p>
    <w:p>
      <w:pPr>
        <w:spacing w:line="500" w:lineRule="exact"/>
        <w:ind w:firstLine="480"/>
        <w:rPr>
          <w:rFonts w:ascii="宋体" w:hAnsi="宋体"/>
          <w:szCs w:val="21"/>
        </w:rPr>
      </w:pPr>
      <w:r>
        <w:rPr>
          <w:rFonts w:hint="eastAsia" w:ascii="宋体" w:hAnsi="宋体" w:cs="仿宋"/>
          <w:szCs w:val="21"/>
        </w:rPr>
        <w:t>（1）组织协调文明施工，避免对周围环境造成任何不利影响，对非文明施工行为承担项目建设单位的责任。</w:t>
      </w:r>
    </w:p>
    <w:p>
      <w:pPr>
        <w:spacing w:line="500" w:lineRule="exact"/>
        <w:ind w:firstLine="480"/>
        <w:rPr>
          <w:rFonts w:ascii="宋体" w:hAnsi="宋体"/>
          <w:szCs w:val="21"/>
        </w:rPr>
      </w:pPr>
      <w:r>
        <w:rPr>
          <w:rFonts w:hint="eastAsia" w:ascii="宋体" w:hAnsi="宋体" w:cs="仿宋"/>
          <w:szCs w:val="21"/>
        </w:rPr>
        <w:t>（2）在工程建设实施过程中，应约束参建各方不得侵害他人使用公用道路、水源、管网等公共设施的权利，避免对邻近的公共设施产生干扰。</w:t>
      </w:r>
    </w:p>
    <w:p>
      <w:pPr>
        <w:spacing w:line="500" w:lineRule="exact"/>
        <w:ind w:firstLine="480"/>
        <w:rPr>
          <w:rFonts w:ascii="宋体" w:hAnsi="宋体"/>
          <w:szCs w:val="21"/>
        </w:rPr>
      </w:pPr>
      <w:r>
        <w:rPr>
          <w:rFonts w:hint="eastAsia" w:ascii="宋体" w:hAnsi="宋体" w:cs="仿宋"/>
          <w:szCs w:val="21"/>
        </w:rPr>
        <w:t>（3）采取有效措施督促各专业工作单位向其员工及时、足额发放工资及福利。</w:t>
      </w:r>
    </w:p>
    <w:p>
      <w:pPr>
        <w:spacing w:line="500" w:lineRule="exact"/>
        <w:ind w:firstLine="482"/>
        <w:rPr>
          <w:rFonts w:ascii="宋体" w:hAnsi="宋体"/>
          <w:szCs w:val="21"/>
        </w:rPr>
      </w:pPr>
      <w:r>
        <w:rPr>
          <w:rFonts w:hint="eastAsia" w:ascii="宋体" w:hAnsi="宋体" w:cs="仿宋"/>
          <w:b/>
          <w:szCs w:val="21"/>
        </w:rPr>
        <w:t>7.1.5</w:t>
      </w:r>
      <w:r>
        <w:rPr>
          <w:rFonts w:hint="eastAsia" w:ascii="宋体" w:hAnsi="宋体" w:cs="仿宋"/>
          <w:szCs w:val="21"/>
        </w:rPr>
        <w:t xml:space="preserve">  保障乙方人员的合法权益</w:t>
      </w:r>
    </w:p>
    <w:p>
      <w:pPr>
        <w:spacing w:line="500" w:lineRule="exact"/>
        <w:ind w:firstLine="480"/>
        <w:rPr>
          <w:rFonts w:ascii="宋体" w:hAnsi="宋体"/>
          <w:szCs w:val="21"/>
        </w:rPr>
      </w:pPr>
      <w:r>
        <w:rPr>
          <w:rFonts w:hint="eastAsia" w:ascii="宋体" w:hAnsi="宋体" w:cs="仿宋"/>
          <w:szCs w:val="21"/>
        </w:rPr>
        <w:t>乙方应按有关法律规定保障代建项目管理团队人员合法权益，办理保险，并按时发放工资。</w:t>
      </w:r>
    </w:p>
    <w:p>
      <w:pPr>
        <w:tabs>
          <w:tab w:val="left" w:pos="1440"/>
        </w:tabs>
        <w:spacing w:line="500" w:lineRule="exact"/>
        <w:rPr>
          <w:rFonts w:ascii="宋体" w:hAnsi="宋体"/>
          <w:b/>
          <w:bCs/>
          <w:szCs w:val="21"/>
        </w:rPr>
      </w:pPr>
      <w:r>
        <w:rPr>
          <w:rFonts w:hint="eastAsia" w:ascii="宋体" w:hAnsi="宋体" w:cs="仿宋"/>
          <w:b/>
          <w:bCs/>
          <w:szCs w:val="21"/>
        </w:rPr>
        <w:t>7.2  在代建周期内承担建设单位的义务和责任</w:t>
      </w:r>
    </w:p>
    <w:p>
      <w:pPr>
        <w:spacing w:line="500" w:lineRule="exact"/>
        <w:ind w:firstLine="482"/>
        <w:rPr>
          <w:rFonts w:ascii="宋体" w:hAnsi="宋体"/>
          <w:szCs w:val="21"/>
        </w:rPr>
      </w:pPr>
      <w:r>
        <w:rPr>
          <w:rFonts w:hint="eastAsia" w:ascii="宋体" w:hAnsi="宋体" w:cs="仿宋"/>
          <w:b/>
          <w:szCs w:val="21"/>
        </w:rPr>
        <w:t>7.2.1</w:t>
      </w:r>
      <w:r>
        <w:rPr>
          <w:rFonts w:hint="eastAsia" w:ascii="宋体" w:hAnsi="宋体" w:cs="仿宋"/>
          <w:szCs w:val="21"/>
        </w:rPr>
        <w:t xml:space="preserve">  切实履行代建职责，根据合同和投标提交的代建管理方案，在约定的代建工作范围内，保质保量保廉如期完成代建工作内容，实现项目功能要求，确保代建范围内项目总投资决算不超过批准的概算投资。</w:t>
      </w:r>
    </w:p>
    <w:p>
      <w:pPr>
        <w:spacing w:line="500" w:lineRule="exact"/>
        <w:ind w:firstLine="482"/>
        <w:rPr>
          <w:rFonts w:ascii="宋体" w:hAnsi="宋体"/>
          <w:szCs w:val="21"/>
        </w:rPr>
      </w:pPr>
      <w:r>
        <w:rPr>
          <w:rFonts w:hint="eastAsia" w:ascii="宋体" w:hAnsi="宋体" w:cs="仿宋"/>
          <w:b/>
          <w:szCs w:val="21"/>
        </w:rPr>
        <w:t>7.2.2</w:t>
      </w:r>
      <w:r>
        <w:rPr>
          <w:rFonts w:hint="eastAsia" w:ascii="宋体" w:hAnsi="宋体" w:cs="仿宋"/>
          <w:szCs w:val="21"/>
        </w:rPr>
        <w:t xml:space="preserve">  根据法律法规、政策要求和投标提交的代建管理方案，科学制定并执行书面的代建管理工作制度，建立管理例会、管理工作日志和月报、人员管理、现场管理、进度管理、质量安全、环境保护和职业健康管理、资金财务管理、档案管理、廉政管理、办公场地管理等具体工作制度和工作流程，管理团队应每日如实记录代建管理发生、处理的事项，管理例会应有书面会议纪要，各项文件资料档案管理应按项目进度完整齐全、规范有序。</w:t>
      </w:r>
    </w:p>
    <w:p>
      <w:pPr>
        <w:spacing w:line="500" w:lineRule="exact"/>
        <w:ind w:firstLine="482"/>
        <w:rPr>
          <w:rFonts w:ascii="宋体" w:hAnsi="宋体" w:cs="仿宋"/>
          <w:szCs w:val="21"/>
        </w:rPr>
      </w:pPr>
      <w:r>
        <w:rPr>
          <w:rFonts w:hint="eastAsia" w:ascii="宋体" w:hAnsi="宋体" w:cs="仿宋"/>
          <w:b/>
          <w:szCs w:val="21"/>
        </w:rPr>
        <w:t xml:space="preserve">7.2.3  </w:t>
      </w:r>
      <w:r>
        <w:rPr>
          <w:rFonts w:hint="eastAsia" w:ascii="宋体" w:hAnsi="宋体" w:cs="仿宋"/>
          <w:szCs w:val="21"/>
        </w:rPr>
        <w:t>严格按国家和省招投标、政府采购的规定组织招标和采购活动。代建过程中的评标由招标人依法组建的评标委员会负责。依法必须进行招标的项目，其评标委员会由招标人的代表和有关技术、经济等方面的专家组成，成员人数为五人以上单数，其中技术、经济等方面的专家不得少于成员总数的三分之二。评标委员会专家应当从陕西省综合评标评审专家库内随机抽取。依法依规与各专业工作单位洽谈、签订合同，并负责合同的组织实施，切实依法履约。</w:t>
      </w:r>
    </w:p>
    <w:p>
      <w:pPr>
        <w:spacing w:line="500" w:lineRule="exact"/>
        <w:ind w:firstLine="482"/>
        <w:rPr>
          <w:rFonts w:ascii="宋体" w:hAnsi="宋体"/>
          <w:szCs w:val="21"/>
        </w:rPr>
      </w:pPr>
      <w:r>
        <w:rPr>
          <w:rFonts w:hint="eastAsia" w:ascii="宋体" w:hAnsi="宋体" w:cs="仿宋"/>
          <w:b/>
          <w:szCs w:val="21"/>
        </w:rPr>
        <w:t xml:space="preserve">7.2.4 </w:t>
      </w:r>
      <w:r>
        <w:rPr>
          <w:rFonts w:hint="eastAsia" w:ascii="宋体" w:hAnsi="宋体" w:cs="仿宋"/>
          <w:szCs w:val="21"/>
        </w:rPr>
        <w:t xml:space="preserve"> 严格执行国家和我省的基建财务会计等制度，协助甲方对代建项目单独建账、核算，完整反映费用开支和物资购置情况。严格按政府财政支付管理和基建财务管理的规定办理项目建设应付款项的申报支付，根据有关规定和合同约定与甲方共同协商，编制详细的资金支付制度，明确支付审核流程、支付凭证要求、支付申请格式等，甲乙双方一致认可的资金支付制度可作为合同的组成部分。及时审核申报应付款项。按要求组织完成工程结算，配合甲方做好工程决算及报批。</w:t>
      </w:r>
    </w:p>
    <w:p>
      <w:pPr>
        <w:spacing w:line="500" w:lineRule="exact"/>
        <w:ind w:firstLine="482"/>
        <w:rPr>
          <w:rFonts w:ascii="宋体" w:hAnsi="宋体"/>
          <w:szCs w:val="21"/>
        </w:rPr>
      </w:pPr>
      <w:r>
        <w:rPr>
          <w:rFonts w:hint="eastAsia" w:ascii="宋体" w:hAnsi="宋体" w:cs="仿宋"/>
          <w:b/>
          <w:szCs w:val="21"/>
        </w:rPr>
        <w:t>7.2.5</w:t>
      </w:r>
      <w:r>
        <w:rPr>
          <w:rFonts w:hint="eastAsia" w:ascii="宋体" w:hAnsi="宋体" w:cs="仿宋"/>
          <w:szCs w:val="21"/>
        </w:rPr>
        <w:t xml:space="preserve">  按照国家法律与省相关规定对工程质量承担建设单位的责任，代建项目经理承担相应的质量终身责任，采取措施有效控制项目质量、功能，对发生的质量缺陷、质量隐患、质量事故及时调查、处理或督促第三方按规定报告有关部门。</w:t>
      </w:r>
    </w:p>
    <w:p>
      <w:pPr>
        <w:spacing w:line="500" w:lineRule="exact"/>
        <w:ind w:firstLine="482"/>
        <w:rPr>
          <w:rFonts w:ascii="宋体" w:hAnsi="宋体"/>
          <w:szCs w:val="21"/>
        </w:rPr>
      </w:pPr>
      <w:r>
        <w:rPr>
          <w:rFonts w:hint="eastAsia" w:ascii="宋体" w:hAnsi="宋体" w:cs="仿宋"/>
          <w:b/>
          <w:szCs w:val="21"/>
        </w:rPr>
        <w:t xml:space="preserve">7.2.6  </w:t>
      </w:r>
      <w:r>
        <w:rPr>
          <w:rFonts w:hint="eastAsia" w:ascii="宋体" w:hAnsi="宋体" w:cs="仿宋"/>
          <w:szCs w:val="21"/>
        </w:rPr>
        <w:t>乙方应按合同约定的内容和期限，编制详细的进度计划，包括专业工作单位工作的各个阶段的预期时间，做好工期控制，确保项目如期实施并交付。现场管理办公室应有显著的进度计划图示，并根据实际情况及时优化调整。</w:t>
      </w:r>
    </w:p>
    <w:p>
      <w:pPr>
        <w:spacing w:line="500" w:lineRule="exact"/>
        <w:ind w:firstLine="482"/>
        <w:rPr>
          <w:rFonts w:ascii="宋体" w:hAnsi="宋体"/>
          <w:szCs w:val="21"/>
        </w:rPr>
      </w:pPr>
      <w:r>
        <w:rPr>
          <w:rFonts w:hint="eastAsia" w:ascii="宋体" w:hAnsi="宋体" w:cs="仿宋"/>
          <w:b/>
          <w:szCs w:val="21"/>
        </w:rPr>
        <w:t>7.2.7</w:t>
      </w:r>
      <w:r>
        <w:rPr>
          <w:rFonts w:hint="eastAsia" w:ascii="宋体" w:hAnsi="宋体" w:cs="仿宋"/>
          <w:szCs w:val="21"/>
        </w:rPr>
        <w:t xml:space="preserve">  承担建设单位的安全责任，按照有关规定和合同约定及时申请并督促使用单位向施工单位拨付建设工程现场安全文明施工措施费，负责牵头组织签订建设工程项目施工安全责任保证书及两个以上施工单位在同一作业区域进行施工作业时双方之间的安全生产管理协议。对各专业单位的安全管理、环境保护、职业健康工作进行指导、检查和监督，责成各专业工作单位做好项目现场的社会治安、环境保护、职业健康工作。</w:t>
      </w:r>
    </w:p>
    <w:p>
      <w:pPr>
        <w:spacing w:line="500" w:lineRule="exact"/>
        <w:ind w:firstLine="482"/>
        <w:rPr>
          <w:rFonts w:ascii="宋体" w:hAnsi="宋体"/>
          <w:szCs w:val="21"/>
        </w:rPr>
      </w:pPr>
      <w:r>
        <w:rPr>
          <w:rFonts w:hint="eastAsia" w:ascii="宋体" w:hAnsi="宋体" w:cs="仿宋"/>
          <w:b/>
          <w:szCs w:val="21"/>
        </w:rPr>
        <w:t>7.2.8</w:t>
      </w:r>
      <w:r>
        <w:rPr>
          <w:rFonts w:hint="eastAsia" w:ascii="宋体" w:hAnsi="宋体" w:cs="仿宋"/>
          <w:szCs w:val="21"/>
        </w:rPr>
        <w:t xml:space="preserve">  做好项目廉政管理，建立和落实代建周期内相关人员、专业单位廉政责任制，编写廉政管理台账，代建单位和管理团队人员不因代建工作事项发生不廉政行为。</w:t>
      </w:r>
    </w:p>
    <w:p>
      <w:pPr>
        <w:spacing w:line="500" w:lineRule="exact"/>
        <w:ind w:firstLine="482"/>
        <w:rPr>
          <w:rFonts w:ascii="宋体" w:hAnsi="宋体"/>
          <w:szCs w:val="21"/>
        </w:rPr>
      </w:pPr>
      <w:r>
        <w:rPr>
          <w:rFonts w:hint="eastAsia" w:ascii="宋体" w:hAnsi="宋体" w:cs="仿宋"/>
          <w:b/>
          <w:szCs w:val="21"/>
        </w:rPr>
        <w:t xml:space="preserve">7.2.9 </w:t>
      </w:r>
      <w:r>
        <w:rPr>
          <w:rFonts w:hint="eastAsia" w:ascii="宋体" w:hAnsi="宋体" w:cs="仿宋"/>
          <w:szCs w:val="21"/>
        </w:rPr>
        <w:t xml:space="preserve"> 按照专用条款约定，积极落实合理化建议，推进项目采用集成装配、绿色建筑、节能环保等新技术。</w:t>
      </w:r>
    </w:p>
    <w:p>
      <w:pPr>
        <w:spacing w:line="500" w:lineRule="exact"/>
        <w:ind w:firstLine="482"/>
        <w:rPr>
          <w:rFonts w:ascii="宋体" w:hAnsi="宋体"/>
          <w:szCs w:val="21"/>
        </w:rPr>
      </w:pPr>
      <w:r>
        <w:rPr>
          <w:rFonts w:hint="eastAsia" w:ascii="宋体" w:hAnsi="宋体" w:cs="仿宋"/>
          <w:b/>
          <w:szCs w:val="21"/>
        </w:rPr>
        <w:t xml:space="preserve">7.2.10  </w:t>
      </w:r>
      <w:r>
        <w:rPr>
          <w:rFonts w:hint="eastAsia" w:ascii="宋体" w:hAnsi="宋体" w:cs="仿宋"/>
          <w:szCs w:val="21"/>
        </w:rPr>
        <w:t>工程的维护和照管</w:t>
      </w:r>
    </w:p>
    <w:p>
      <w:pPr>
        <w:spacing w:line="500" w:lineRule="exact"/>
        <w:ind w:firstLine="480"/>
        <w:rPr>
          <w:rFonts w:ascii="宋体" w:hAnsi="宋体"/>
          <w:szCs w:val="21"/>
        </w:rPr>
      </w:pPr>
      <w:r>
        <w:rPr>
          <w:rFonts w:hint="eastAsia" w:ascii="宋体" w:hAnsi="宋体" w:cs="仿宋"/>
          <w:szCs w:val="21"/>
        </w:rPr>
        <w:t>各单位工程接收证书签发后、项目实体移交证书颁发前，乙方均应负责做好各单位工程的照管和维护。</w:t>
      </w:r>
      <w:r>
        <w:rPr>
          <w:rFonts w:hint="eastAsia" w:ascii="宋体" w:hAnsi="宋体" w:cs="仿宋"/>
          <w:szCs w:val="21"/>
          <w:shd w:val="clear" w:color="auto" w:fill="FFFFFF"/>
        </w:rPr>
        <w:t>实体移交证书颁发后，乙方不再承担项目的日常照管和维护，</w:t>
      </w:r>
      <w:r>
        <w:rPr>
          <w:rFonts w:hint="eastAsia" w:ascii="宋体" w:hAnsi="宋体" w:cs="仿宋"/>
          <w:szCs w:val="21"/>
        </w:rPr>
        <w:t>但乙方仍应做好合同专用条款约定的服务配合工作。</w:t>
      </w:r>
    </w:p>
    <w:p>
      <w:pPr>
        <w:spacing w:line="500" w:lineRule="exact"/>
        <w:ind w:firstLine="482"/>
        <w:rPr>
          <w:rFonts w:ascii="宋体" w:hAnsi="宋体"/>
          <w:szCs w:val="21"/>
        </w:rPr>
      </w:pPr>
      <w:r>
        <w:rPr>
          <w:rFonts w:hint="eastAsia" w:ascii="宋体" w:hAnsi="宋体" w:cs="仿宋"/>
          <w:b/>
          <w:szCs w:val="21"/>
        </w:rPr>
        <w:t>7.2.11</w:t>
      </w:r>
      <w:r>
        <w:rPr>
          <w:rFonts w:hint="eastAsia" w:ascii="宋体" w:hAnsi="宋体" w:cs="仿宋"/>
          <w:szCs w:val="21"/>
        </w:rPr>
        <w:t xml:space="preserve">  做好缺陷责任期和保修期管理与服务。在与施工、设备安装和装修等专业单位签订合同时，应按专用条款约定设定缺陷责任期与保修期。在实体移交证书颁发前、各单位工程缺陷责任期和保修期内，乙方负责各工程日常维护，采取措施及时做好缺陷修复。实体移交证书颁发后，各单位工程尚在缺陷责任期内的，工程出现新的缺陷或已修复缺陷又遭损坏的，乙方须应甲方要求组织做好修复工作。缺陷期后，工程尚在保修期内的，由甲方为主做好质量保修工作，乙方提供必要的质量责任认定等配合服务。</w:t>
      </w:r>
    </w:p>
    <w:p>
      <w:pPr>
        <w:tabs>
          <w:tab w:val="left" w:pos="1440"/>
        </w:tabs>
        <w:spacing w:line="500" w:lineRule="exact"/>
        <w:rPr>
          <w:rFonts w:ascii="宋体" w:hAnsi="宋体"/>
          <w:b/>
          <w:bCs/>
          <w:szCs w:val="21"/>
        </w:rPr>
      </w:pPr>
      <w:r>
        <w:rPr>
          <w:rFonts w:hint="eastAsia" w:ascii="宋体" w:hAnsi="宋体" w:cs="仿宋"/>
          <w:b/>
          <w:bCs/>
          <w:szCs w:val="21"/>
        </w:rPr>
        <w:t>7.3  乙方人员管理</w:t>
      </w:r>
    </w:p>
    <w:p>
      <w:pPr>
        <w:spacing w:line="500" w:lineRule="exact"/>
        <w:ind w:firstLine="482"/>
        <w:rPr>
          <w:rFonts w:ascii="宋体" w:hAnsi="宋体"/>
          <w:szCs w:val="21"/>
        </w:rPr>
      </w:pPr>
      <w:r>
        <w:rPr>
          <w:rFonts w:hint="eastAsia" w:ascii="宋体" w:hAnsi="宋体" w:cs="仿宋"/>
          <w:b/>
          <w:szCs w:val="21"/>
        </w:rPr>
        <w:t>7.3.1</w:t>
      </w:r>
      <w:r>
        <w:rPr>
          <w:rFonts w:hint="eastAsia" w:ascii="宋体" w:hAnsi="宋体" w:cs="仿宋"/>
          <w:szCs w:val="21"/>
        </w:rPr>
        <w:t xml:space="preserve">  代建管理团队</w:t>
      </w:r>
    </w:p>
    <w:p>
      <w:pPr>
        <w:spacing w:line="500" w:lineRule="exact"/>
        <w:ind w:firstLine="480"/>
        <w:rPr>
          <w:rFonts w:ascii="宋体" w:hAnsi="宋体"/>
          <w:szCs w:val="21"/>
        </w:rPr>
      </w:pPr>
      <w:r>
        <w:rPr>
          <w:rFonts w:hint="eastAsia" w:ascii="宋体" w:hAnsi="宋体" w:cs="仿宋"/>
          <w:szCs w:val="21"/>
        </w:rPr>
        <w:t>（1）乙方应按投标文件中的承诺和方案组建代建管理团队，指派代建项目经理，配备相应岗位人员，并在合同生效后3天内到职，项目代建管理团队应能够满足和胜任项目代建管理服务需要。</w:t>
      </w:r>
    </w:p>
    <w:p>
      <w:pPr>
        <w:spacing w:line="500" w:lineRule="exact"/>
        <w:ind w:firstLine="480"/>
        <w:rPr>
          <w:rFonts w:ascii="宋体" w:hAnsi="宋体"/>
          <w:szCs w:val="21"/>
        </w:rPr>
      </w:pPr>
      <w:r>
        <w:rPr>
          <w:rFonts w:hint="eastAsia" w:ascii="宋体" w:hAnsi="宋体" w:cs="仿宋"/>
          <w:szCs w:val="21"/>
        </w:rPr>
        <w:t>（2）乙方代建项目经理承担建设单位项目负责人的有关工作和责任。</w:t>
      </w:r>
    </w:p>
    <w:p>
      <w:pPr>
        <w:spacing w:line="500" w:lineRule="exact"/>
        <w:ind w:firstLine="480"/>
        <w:rPr>
          <w:rFonts w:ascii="宋体" w:hAnsi="宋体"/>
          <w:szCs w:val="21"/>
        </w:rPr>
      </w:pPr>
      <w:r>
        <w:rPr>
          <w:rFonts w:hint="eastAsia" w:ascii="宋体" w:hAnsi="宋体" w:cs="仿宋"/>
          <w:szCs w:val="21"/>
        </w:rPr>
        <w:t>（3）乙方代建项目经理应按合同约定，负责组织合同工作的实施。乙方为履行合同发出的一切函件均应盖有乙方单位章或由乙方代建项目经理签字。乙方应出具书面文件明确其盖章和签字的具体权限划分。</w:t>
      </w:r>
    </w:p>
    <w:p>
      <w:pPr>
        <w:spacing w:line="500" w:lineRule="exact"/>
        <w:ind w:firstLine="480"/>
        <w:rPr>
          <w:rFonts w:ascii="宋体" w:hAnsi="宋体"/>
          <w:szCs w:val="21"/>
        </w:rPr>
      </w:pPr>
      <w:r>
        <w:rPr>
          <w:rFonts w:hint="eastAsia" w:ascii="宋体" w:hAnsi="宋体" w:cs="仿宋"/>
          <w:szCs w:val="21"/>
        </w:rPr>
        <w:t>（4）乙方代建项目经理可以授权其下属人员履行其某项职责，但事先应将这些人员的姓名和授权范围书面通知甲方。</w:t>
      </w:r>
    </w:p>
    <w:p>
      <w:pPr>
        <w:spacing w:line="500" w:lineRule="exact"/>
        <w:ind w:firstLine="480"/>
        <w:rPr>
          <w:rFonts w:ascii="宋体" w:hAnsi="宋体"/>
          <w:szCs w:val="21"/>
        </w:rPr>
      </w:pPr>
      <w:r>
        <w:rPr>
          <w:rFonts w:hint="eastAsia" w:ascii="宋体" w:hAnsi="宋体" w:cs="仿宋"/>
          <w:szCs w:val="21"/>
        </w:rPr>
        <w:t>（5）项目管理团队其他人员按投标文件承诺与合同约定履行各自职责，代表乙方开展相应工作。</w:t>
      </w:r>
    </w:p>
    <w:p>
      <w:pPr>
        <w:tabs>
          <w:tab w:val="center" w:pos="4393"/>
        </w:tabs>
        <w:spacing w:line="500" w:lineRule="exact"/>
        <w:ind w:firstLine="482"/>
        <w:rPr>
          <w:rFonts w:ascii="宋体" w:hAnsi="宋体"/>
          <w:szCs w:val="21"/>
        </w:rPr>
      </w:pPr>
      <w:r>
        <w:rPr>
          <w:rFonts w:hint="eastAsia" w:ascii="宋体" w:hAnsi="宋体" w:cs="仿宋"/>
          <w:b/>
          <w:szCs w:val="21"/>
        </w:rPr>
        <w:t>7.3.2</w:t>
      </w:r>
      <w:r>
        <w:rPr>
          <w:rFonts w:hint="eastAsia" w:ascii="宋体" w:hAnsi="宋体" w:cs="仿宋"/>
          <w:szCs w:val="21"/>
        </w:rPr>
        <w:t xml:space="preserve">  人员撤换</w:t>
      </w:r>
      <w:r>
        <w:rPr>
          <w:rFonts w:hint="eastAsia" w:ascii="宋体" w:hAnsi="宋体" w:cs="仿宋"/>
          <w:szCs w:val="21"/>
        </w:rPr>
        <w:tab/>
      </w:r>
    </w:p>
    <w:p>
      <w:pPr>
        <w:spacing w:line="500" w:lineRule="exact"/>
        <w:ind w:firstLine="480"/>
        <w:rPr>
          <w:rFonts w:ascii="宋体" w:hAnsi="宋体"/>
          <w:szCs w:val="21"/>
        </w:rPr>
      </w:pPr>
      <w:r>
        <w:rPr>
          <w:rFonts w:hint="eastAsia" w:ascii="宋体" w:hAnsi="宋体" w:cs="仿宋"/>
          <w:szCs w:val="21"/>
        </w:rPr>
        <w:t>（1）除因不可抗力、个人健康原因、国家法律法规规定其他情形等原因，或因履职水平过低而被甲方及有权的政府机构要求撤换的情况外，投标时明确的乙方代建项目经理、现场管理人员和其他不允许变更或承诺不变更的人员不得更换；因上述原因确需更换的，应征得甲方同意并报代建主管部门后，选派不低于原人员技术实力及经验者接替其工作。乙方代建项目经理连续3天以上不能履行职责的，应事先征得甲方同意，并委派代表临时代行其职责。</w:t>
      </w:r>
    </w:p>
    <w:p>
      <w:pPr>
        <w:spacing w:line="500" w:lineRule="exact"/>
        <w:ind w:firstLine="480"/>
        <w:rPr>
          <w:rFonts w:ascii="宋体" w:hAnsi="宋体"/>
          <w:szCs w:val="21"/>
        </w:rPr>
      </w:pPr>
      <w:r>
        <w:rPr>
          <w:rFonts w:hint="eastAsia" w:ascii="宋体" w:hAnsi="宋体" w:cs="仿宋"/>
          <w:szCs w:val="21"/>
        </w:rPr>
        <w:t>（2）乙方应对其他人员进行有效管理。对投标时允许变更的人员进行更换时，替换人员的资格条件和要求应不低于原投标文件中拟任人员的资格条件和要求，并须书面告知甲方和代建主管部门。</w:t>
      </w:r>
    </w:p>
    <w:p>
      <w:pPr>
        <w:spacing w:line="500" w:lineRule="exact"/>
        <w:rPr>
          <w:rFonts w:ascii="宋体" w:hAnsi="宋体"/>
          <w:szCs w:val="21"/>
        </w:rPr>
      </w:pPr>
      <w:r>
        <w:rPr>
          <w:rFonts w:hint="eastAsia" w:ascii="宋体" w:hAnsi="宋体" w:cs="仿宋"/>
          <w:b/>
          <w:szCs w:val="21"/>
        </w:rPr>
        <w:t>7.4 分包和转包</w:t>
      </w:r>
    </w:p>
    <w:p>
      <w:pPr>
        <w:spacing w:line="500" w:lineRule="exact"/>
        <w:ind w:firstLine="480"/>
        <w:rPr>
          <w:rFonts w:ascii="宋体" w:hAnsi="宋体"/>
          <w:szCs w:val="21"/>
        </w:rPr>
      </w:pPr>
      <w:r>
        <w:rPr>
          <w:rFonts w:hint="eastAsia" w:ascii="宋体" w:hAnsi="宋体" w:cs="仿宋"/>
          <w:szCs w:val="21"/>
        </w:rPr>
        <w:t>乙方不得将其代建工作的全部或部分分包或转包给第三人。</w:t>
      </w:r>
    </w:p>
    <w:p>
      <w:pPr>
        <w:spacing w:line="500" w:lineRule="exact"/>
        <w:rPr>
          <w:rFonts w:ascii="宋体" w:hAnsi="宋体"/>
          <w:szCs w:val="21"/>
        </w:rPr>
      </w:pPr>
      <w:r>
        <w:rPr>
          <w:rFonts w:hint="eastAsia" w:ascii="宋体" w:hAnsi="宋体" w:cs="仿宋"/>
          <w:b/>
          <w:szCs w:val="21"/>
        </w:rPr>
        <w:t>7.5  报告制度和接受监督</w:t>
      </w:r>
    </w:p>
    <w:p>
      <w:pPr>
        <w:spacing w:line="500" w:lineRule="exact"/>
        <w:ind w:firstLine="480"/>
        <w:rPr>
          <w:rFonts w:ascii="宋体" w:hAnsi="宋体"/>
          <w:szCs w:val="21"/>
        </w:rPr>
      </w:pPr>
      <w:r>
        <w:rPr>
          <w:rFonts w:hint="eastAsia" w:ascii="宋体" w:hAnsi="宋体" w:cs="仿宋"/>
          <w:szCs w:val="21"/>
        </w:rPr>
        <w:t>乙方应按代建主管部门的要求，每季度按时报送项目实施情况，并将招投标、政府采购情况、合同签订情况按有关规定及时报告发展改革、财政以及相关行业管理部门，遇到合同专用条款约定的重大事项应按规定的时间提前报告。在代建周期内接受代建主管部门的监管评价。</w:t>
      </w:r>
    </w:p>
    <w:p>
      <w:pPr>
        <w:tabs>
          <w:tab w:val="left" w:pos="1440"/>
        </w:tabs>
        <w:spacing w:line="500" w:lineRule="exact"/>
        <w:ind w:left="834" w:hanging="834"/>
        <w:rPr>
          <w:rFonts w:ascii="宋体" w:hAnsi="宋体"/>
          <w:b/>
          <w:bCs/>
          <w:szCs w:val="21"/>
        </w:rPr>
      </w:pPr>
      <w:r>
        <w:rPr>
          <w:rFonts w:hint="eastAsia" w:ascii="宋体" w:hAnsi="宋体" w:cs="仿宋"/>
          <w:b/>
          <w:bCs/>
          <w:szCs w:val="21"/>
        </w:rPr>
        <w:t>7.6  其他义务</w:t>
      </w:r>
    </w:p>
    <w:p>
      <w:pPr>
        <w:spacing w:line="500" w:lineRule="exact"/>
        <w:ind w:firstLine="480"/>
        <w:rPr>
          <w:rFonts w:ascii="宋体" w:hAnsi="宋体"/>
          <w:szCs w:val="21"/>
        </w:rPr>
      </w:pPr>
      <w:r>
        <w:rPr>
          <w:rFonts w:hint="eastAsia" w:ascii="宋体" w:hAnsi="宋体" w:cs="仿宋"/>
          <w:szCs w:val="21"/>
        </w:rPr>
        <w:t>履行合同其他条款约定的义务。</w:t>
      </w:r>
    </w:p>
    <w:p>
      <w:pPr>
        <w:spacing w:line="500" w:lineRule="exact"/>
        <w:ind w:hanging="420"/>
        <w:rPr>
          <w:rFonts w:ascii="宋体" w:hAnsi="宋体" w:cs="仿宋"/>
          <w:kern w:val="0"/>
          <w:szCs w:val="21"/>
        </w:rPr>
      </w:pPr>
    </w:p>
    <w:p>
      <w:pPr>
        <w:numPr>
          <w:ilvl w:val="0"/>
          <w:numId w:val="12"/>
        </w:numPr>
        <w:spacing w:line="500" w:lineRule="exact"/>
        <w:jc w:val="center"/>
        <w:rPr>
          <w:rFonts w:ascii="宋体" w:hAnsi="宋体"/>
          <w:b/>
          <w:bCs/>
          <w:szCs w:val="21"/>
        </w:rPr>
      </w:pPr>
      <w:r>
        <w:rPr>
          <w:rFonts w:hint="eastAsia" w:ascii="宋体" w:hAnsi="宋体"/>
          <w:b/>
          <w:bCs/>
          <w:szCs w:val="21"/>
        </w:rPr>
        <w:t xml:space="preserve"> 代建过程管理</w:t>
      </w:r>
    </w:p>
    <w:p>
      <w:pPr>
        <w:pStyle w:val="2"/>
        <w:spacing w:line="500" w:lineRule="exact"/>
        <w:outlineLvl w:val="9"/>
        <w:rPr>
          <w:rFonts w:ascii="宋体" w:hAnsi="宋体"/>
          <w:szCs w:val="21"/>
        </w:rPr>
      </w:pPr>
    </w:p>
    <w:p>
      <w:pPr>
        <w:spacing w:line="500" w:lineRule="exact"/>
        <w:jc w:val="left"/>
        <w:rPr>
          <w:rFonts w:ascii="宋体" w:hAnsi="宋体"/>
          <w:b/>
          <w:bCs/>
          <w:szCs w:val="21"/>
        </w:rPr>
      </w:pPr>
      <w:r>
        <w:rPr>
          <w:rFonts w:hint="eastAsia" w:ascii="宋体" w:hAnsi="宋体" w:cs="仿宋"/>
          <w:b/>
          <w:bCs/>
          <w:szCs w:val="21"/>
        </w:rPr>
        <w:t>第8条  开始工作和代建周期</w:t>
      </w:r>
    </w:p>
    <w:p>
      <w:pPr>
        <w:tabs>
          <w:tab w:val="left" w:pos="1440"/>
        </w:tabs>
        <w:spacing w:line="500" w:lineRule="exact"/>
        <w:ind w:left="834" w:hanging="834"/>
        <w:rPr>
          <w:rFonts w:ascii="宋体" w:hAnsi="宋体"/>
          <w:b/>
          <w:bCs/>
          <w:szCs w:val="21"/>
        </w:rPr>
      </w:pPr>
      <w:r>
        <w:rPr>
          <w:rFonts w:hint="eastAsia" w:ascii="宋体" w:hAnsi="宋体" w:cs="仿宋"/>
          <w:b/>
          <w:bCs/>
          <w:szCs w:val="21"/>
        </w:rPr>
        <w:t>8.1  开始工作</w:t>
      </w:r>
    </w:p>
    <w:p>
      <w:pPr>
        <w:spacing w:line="500" w:lineRule="exact"/>
        <w:ind w:firstLine="480"/>
        <w:rPr>
          <w:rFonts w:ascii="宋体" w:hAnsi="宋体"/>
          <w:szCs w:val="21"/>
        </w:rPr>
      </w:pPr>
      <w:r>
        <w:rPr>
          <w:rFonts w:hint="eastAsia" w:ascii="宋体" w:hAnsi="宋体" w:cs="仿宋"/>
          <w:szCs w:val="21"/>
        </w:rPr>
        <w:t>代建合同生效之日即是代建工作开始之时。</w:t>
      </w:r>
    </w:p>
    <w:p>
      <w:pPr>
        <w:tabs>
          <w:tab w:val="left" w:pos="1440"/>
        </w:tabs>
        <w:spacing w:line="500" w:lineRule="exact"/>
        <w:ind w:left="834" w:hanging="834"/>
        <w:rPr>
          <w:rFonts w:ascii="宋体" w:hAnsi="宋体"/>
          <w:b/>
          <w:bCs/>
          <w:szCs w:val="21"/>
        </w:rPr>
      </w:pPr>
      <w:r>
        <w:rPr>
          <w:rFonts w:hint="eastAsia" w:ascii="宋体" w:hAnsi="宋体" w:cs="仿宋"/>
          <w:b/>
          <w:bCs/>
          <w:szCs w:val="21"/>
        </w:rPr>
        <w:t>8.2  代建周期的完成</w:t>
      </w:r>
    </w:p>
    <w:p>
      <w:pPr>
        <w:spacing w:line="500" w:lineRule="exact"/>
        <w:ind w:firstLine="480"/>
        <w:rPr>
          <w:rFonts w:ascii="宋体" w:hAnsi="宋体"/>
          <w:szCs w:val="21"/>
        </w:rPr>
      </w:pPr>
      <w:r>
        <w:rPr>
          <w:rFonts w:hint="eastAsia" w:ascii="宋体" w:hAnsi="宋体" w:cs="仿宋"/>
          <w:szCs w:val="21"/>
        </w:rPr>
        <w:t>从甲方颁发实体移交证书之日起，代建周期完成，乙方应向代建主管部门报告申请实体移交登记和更新省代建机构库、代建项目库中有关内容，但乙方仍须做好应配合甲方的后续服务，按合同约定在工程缺陷责任期、保修期内提供必要的服务。</w:t>
      </w:r>
    </w:p>
    <w:p>
      <w:pPr>
        <w:tabs>
          <w:tab w:val="left" w:pos="1440"/>
        </w:tabs>
        <w:spacing w:line="500" w:lineRule="exact"/>
        <w:ind w:left="834" w:hanging="834"/>
        <w:rPr>
          <w:rFonts w:ascii="宋体" w:hAnsi="宋体"/>
          <w:b/>
          <w:bCs/>
          <w:szCs w:val="21"/>
        </w:rPr>
      </w:pPr>
      <w:r>
        <w:rPr>
          <w:rFonts w:hint="eastAsia" w:ascii="宋体" w:hAnsi="宋体" w:cs="仿宋"/>
          <w:b/>
          <w:bCs/>
          <w:szCs w:val="21"/>
        </w:rPr>
        <w:t>8.3  甲方引起的工期延误</w:t>
      </w:r>
    </w:p>
    <w:p>
      <w:pPr>
        <w:spacing w:line="500" w:lineRule="exact"/>
        <w:ind w:firstLine="480"/>
        <w:rPr>
          <w:rFonts w:ascii="宋体" w:hAnsi="宋体"/>
          <w:szCs w:val="21"/>
        </w:rPr>
      </w:pPr>
      <w:r>
        <w:rPr>
          <w:rFonts w:hint="eastAsia" w:ascii="宋体" w:hAnsi="宋体" w:cs="仿宋"/>
          <w:szCs w:val="21"/>
        </w:rPr>
        <w:t>在履行合同过程中，由于甲方原因造成工期延误，经甲乙方共同确认，相应调整补充代建周期约定，报代建主管部门，甲方按合同约定办法向乙方支付违约补偿费用。</w:t>
      </w:r>
    </w:p>
    <w:p>
      <w:pPr>
        <w:tabs>
          <w:tab w:val="left" w:pos="1440"/>
        </w:tabs>
        <w:spacing w:line="500" w:lineRule="exact"/>
        <w:ind w:left="834" w:hanging="834"/>
        <w:rPr>
          <w:rFonts w:ascii="宋体" w:hAnsi="宋体"/>
          <w:b/>
          <w:bCs/>
          <w:szCs w:val="21"/>
        </w:rPr>
      </w:pPr>
      <w:r>
        <w:rPr>
          <w:rFonts w:hint="eastAsia" w:ascii="宋体" w:hAnsi="宋体" w:cs="仿宋"/>
          <w:b/>
          <w:bCs/>
          <w:szCs w:val="21"/>
        </w:rPr>
        <w:t>8.4  不可抗力引起的工期延误</w:t>
      </w:r>
    </w:p>
    <w:p>
      <w:pPr>
        <w:spacing w:line="500" w:lineRule="exact"/>
        <w:ind w:firstLine="480"/>
        <w:rPr>
          <w:rFonts w:ascii="宋体" w:hAnsi="宋体"/>
          <w:szCs w:val="21"/>
        </w:rPr>
      </w:pPr>
      <w:r>
        <w:rPr>
          <w:rFonts w:hint="eastAsia" w:ascii="宋体" w:hAnsi="宋体" w:cs="仿宋"/>
          <w:szCs w:val="21"/>
        </w:rPr>
        <w:t>因不可抗力导致工期延误的，甲乙双方协商调整代建周期，报代建主管部门，代建服务费不变（概算发生调整的除外）。</w:t>
      </w:r>
    </w:p>
    <w:p>
      <w:pPr>
        <w:tabs>
          <w:tab w:val="left" w:pos="1440"/>
        </w:tabs>
        <w:spacing w:line="500" w:lineRule="exact"/>
        <w:ind w:left="834" w:hanging="834"/>
        <w:rPr>
          <w:rFonts w:ascii="宋体" w:hAnsi="宋体"/>
          <w:b/>
          <w:bCs/>
          <w:szCs w:val="21"/>
        </w:rPr>
      </w:pPr>
      <w:r>
        <w:rPr>
          <w:rFonts w:hint="eastAsia" w:ascii="宋体" w:hAnsi="宋体" w:cs="仿宋"/>
          <w:b/>
          <w:bCs/>
          <w:szCs w:val="21"/>
        </w:rPr>
        <w:t>8.5  乙方引起的工期延误</w:t>
      </w:r>
    </w:p>
    <w:p>
      <w:pPr>
        <w:spacing w:line="500" w:lineRule="exact"/>
        <w:ind w:firstLine="480"/>
        <w:rPr>
          <w:rFonts w:ascii="宋体" w:hAnsi="宋体"/>
          <w:szCs w:val="21"/>
        </w:rPr>
      </w:pPr>
      <w:r>
        <w:rPr>
          <w:rFonts w:hint="eastAsia" w:ascii="宋体" w:hAnsi="宋体" w:cs="仿宋"/>
          <w:szCs w:val="21"/>
        </w:rPr>
        <w:t>由于乙方原因造成工期延误的，乙方承担违约责任，并支付违约金。</w:t>
      </w:r>
    </w:p>
    <w:p>
      <w:pPr>
        <w:tabs>
          <w:tab w:val="left" w:pos="1440"/>
        </w:tabs>
        <w:spacing w:line="500" w:lineRule="exact"/>
        <w:ind w:left="834" w:hanging="834"/>
        <w:rPr>
          <w:rFonts w:ascii="宋体" w:hAnsi="宋体"/>
          <w:b/>
          <w:bCs/>
          <w:szCs w:val="21"/>
        </w:rPr>
      </w:pPr>
      <w:r>
        <w:rPr>
          <w:rFonts w:hint="eastAsia" w:ascii="宋体" w:hAnsi="宋体" w:cs="仿宋"/>
          <w:b/>
          <w:bCs/>
          <w:szCs w:val="21"/>
        </w:rPr>
        <w:t>8.6  工期提前</w:t>
      </w:r>
    </w:p>
    <w:p>
      <w:pPr>
        <w:spacing w:line="500" w:lineRule="exact"/>
        <w:ind w:firstLine="480"/>
        <w:rPr>
          <w:rFonts w:ascii="宋体" w:hAnsi="宋体"/>
          <w:szCs w:val="21"/>
        </w:rPr>
      </w:pPr>
      <w:r>
        <w:rPr>
          <w:rFonts w:hint="eastAsia" w:ascii="宋体" w:hAnsi="宋体" w:cs="仿宋"/>
          <w:szCs w:val="21"/>
        </w:rPr>
        <w:t>乙方采取有效措施，在满足合同约定的质量要求、投资要求的前提下，提前完成代建工作的，甲方按合同约定办法给予奖励。</w:t>
      </w:r>
    </w:p>
    <w:p>
      <w:pPr>
        <w:spacing w:line="500" w:lineRule="exact"/>
        <w:ind w:firstLine="480"/>
        <w:rPr>
          <w:rFonts w:ascii="宋体" w:hAnsi="宋体" w:cs="仿宋"/>
          <w:szCs w:val="21"/>
          <w:u w:val="single"/>
        </w:rPr>
      </w:pPr>
    </w:p>
    <w:p>
      <w:pPr>
        <w:spacing w:line="500" w:lineRule="exact"/>
        <w:jc w:val="left"/>
        <w:rPr>
          <w:rFonts w:ascii="宋体" w:hAnsi="宋体" w:cs="仿宋"/>
          <w:b/>
          <w:szCs w:val="21"/>
        </w:rPr>
      </w:pPr>
      <w:r>
        <w:rPr>
          <w:rFonts w:hint="eastAsia" w:ascii="宋体" w:hAnsi="宋体" w:cs="仿宋"/>
          <w:b/>
          <w:bCs/>
          <w:szCs w:val="21"/>
        </w:rPr>
        <w:t>第9条  工程变更</w:t>
      </w:r>
    </w:p>
    <w:p>
      <w:pPr>
        <w:spacing w:line="500" w:lineRule="exact"/>
        <w:rPr>
          <w:rFonts w:ascii="宋体" w:hAnsi="宋体"/>
          <w:b/>
          <w:szCs w:val="21"/>
        </w:rPr>
      </w:pPr>
      <w:r>
        <w:rPr>
          <w:rFonts w:hint="eastAsia" w:ascii="宋体" w:hAnsi="宋体" w:cs="仿宋"/>
          <w:b/>
          <w:szCs w:val="21"/>
        </w:rPr>
        <w:t xml:space="preserve">9.1  </w:t>
      </w:r>
      <w:r>
        <w:rPr>
          <w:rFonts w:hint="eastAsia" w:ascii="宋体" w:hAnsi="宋体" w:cs="仿宋"/>
          <w:b w:val="0"/>
          <w:bCs/>
          <w:szCs w:val="21"/>
        </w:rPr>
        <w:t>应甲方或乙方的请求，在不改变项目的主要功能、技术标准、建设规模和使用安全且不超出总概算的前提下，可对项目进行适度的优化变更，另一方应积极配合。经设计、监理及甲乙双方共同签认并按规定报相关部门审核同意后方可实施。</w:t>
      </w:r>
    </w:p>
    <w:p>
      <w:pPr>
        <w:spacing w:line="500" w:lineRule="exact"/>
        <w:rPr>
          <w:rFonts w:ascii="宋体" w:hAnsi="宋体"/>
          <w:b w:val="0"/>
          <w:bCs/>
          <w:szCs w:val="21"/>
        </w:rPr>
      </w:pPr>
      <w:r>
        <w:rPr>
          <w:rFonts w:hint="eastAsia" w:ascii="宋体" w:hAnsi="宋体" w:cs="仿宋"/>
          <w:b/>
          <w:szCs w:val="21"/>
        </w:rPr>
        <w:t xml:space="preserve">9.2  </w:t>
      </w:r>
      <w:r>
        <w:rPr>
          <w:rFonts w:hint="eastAsia" w:ascii="宋体" w:hAnsi="宋体" w:cs="仿宋"/>
          <w:b w:val="0"/>
          <w:bCs/>
          <w:szCs w:val="21"/>
        </w:rPr>
        <w:t>因水文地质等自然条件制约造成重大技术调整，涉及项目技术标准、使用功能、建设规模和投资规模的重大变更，以及概算中计列的大宗设备、材料、分项工程单价比市场价明显偏低等，导致相应的招标不能正常进行、相应合同无法履行时，乙方应及时书面通报甲方。双方协商一致后，经代建主管部门核实并提出意见，报原审批部门复核批准后方可实施。对合理要求不能及时核批而导致工期延误时，甲方应支持乙方合理调整延长代建周期并报代建主管部门同意。</w:t>
      </w:r>
    </w:p>
    <w:p>
      <w:pPr>
        <w:spacing w:line="500" w:lineRule="exact"/>
        <w:rPr>
          <w:rFonts w:ascii="宋体" w:hAnsi="宋体"/>
          <w:b w:val="0"/>
          <w:bCs/>
          <w:szCs w:val="21"/>
        </w:rPr>
      </w:pPr>
      <w:r>
        <w:rPr>
          <w:rFonts w:hint="eastAsia" w:ascii="宋体" w:hAnsi="宋体" w:cs="仿宋"/>
          <w:b/>
          <w:szCs w:val="21"/>
        </w:rPr>
        <w:t xml:space="preserve">9.3  </w:t>
      </w:r>
      <w:r>
        <w:rPr>
          <w:rFonts w:hint="eastAsia" w:ascii="宋体" w:hAnsi="宋体" w:cs="仿宋"/>
          <w:b w:val="0"/>
          <w:bCs/>
          <w:szCs w:val="21"/>
        </w:rPr>
        <w:t>在项目建设过程中，因下列原因导致投资增加时，先知情方应及时书面告知另一方，经双方协商一致后报代建主管部门，由代建主管部门组织协调并报原审批部门批准后方可实施：</w:t>
      </w:r>
    </w:p>
    <w:p>
      <w:pPr>
        <w:spacing w:line="500" w:lineRule="exact"/>
        <w:ind w:firstLine="480"/>
        <w:rPr>
          <w:rFonts w:ascii="宋体" w:hAnsi="宋体"/>
          <w:szCs w:val="21"/>
        </w:rPr>
      </w:pPr>
      <w:r>
        <w:rPr>
          <w:rFonts w:hint="eastAsia" w:ascii="宋体" w:hAnsi="宋体" w:cs="仿宋"/>
          <w:szCs w:val="21"/>
        </w:rPr>
        <w:t>（1）不可抗力；</w:t>
      </w:r>
    </w:p>
    <w:p>
      <w:pPr>
        <w:spacing w:line="500" w:lineRule="exact"/>
        <w:ind w:firstLine="480"/>
        <w:rPr>
          <w:rFonts w:ascii="宋体" w:hAnsi="宋体"/>
          <w:szCs w:val="21"/>
        </w:rPr>
      </w:pPr>
      <w:r>
        <w:rPr>
          <w:rFonts w:hint="eastAsia" w:ascii="宋体" w:hAnsi="宋体" w:cs="仿宋"/>
          <w:szCs w:val="21"/>
        </w:rPr>
        <w:t>（2）国家法律法规和省相关政策及行业标准调整；</w:t>
      </w:r>
    </w:p>
    <w:p>
      <w:pPr>
        <w:spacing w:line="500" w:lineRule="exact"/>
        <w:ind w:firstLine="480"/>
        <w:rPr>
          <w:rFonts w:ascii="宋体" w:hAnsi="宋体"/>
          <w:szCs w:val="21"/>
        </w:rPr>
      </w:pPr>
      <w:r>
        <w:rPr>
          <w:rFonts w:hint="eastAsia" w:ascii="宋体" w:hAnsi="宋体" w:cs="仿宋"/>
          <w:szCs w:val="21"/>
        </w:rPr>
        <w:t>（3）因受水文地质等自然条件制约造成重大技术调整；</w:t>
      </w:r>
    </w:p>
    <w:p>
      <w:pPr>
        <w:spacing w:line="500" w:lineRule="exact"/>
        <w:ind w:firstLine="480"/>
        <w:rPr>
          <w:rFonts w:ascii="宋体" w:hAnsi="宋体"/>
          <w:szCs w:val="21"/>
        </w:rPr>
      </w:pPr>
      <w:r>
        <w:rPr>
          <w:rFonts w:hint="eastAsia" w:ascii="宋体" w:hAnsi="宋体" w:cs="仿宋"/>
          <w:szCs w:val="21"/>
        </w:rPr>
        <w:t>（4）确因勘察设计存在严重缺陷、概算漏项、功能性设计错误，导致项目建设内容、标准等设计、施工有重大变更；</w:t>
      </w:r>
    </w:p>
    <w:p>
      <w:pPr>
        <w:spacing w:line="500" w:lineRule="exact"/>
        <w:ind w:firstLine="480"/>
        <w:rPr>
          <w:rFonts w:ascii="宋体" w:hAnsi="宋体"/>
          <w:szCs w:val="21"/>
        </w:rPr>
      </w:pPr>
      <w:r>
        <w:rPr>
          <w:rFonts w:hint="eastAsia" w:ascii="宋体" w:hAnsi="宋体" w:cs="仿宋"/>
          <w:szCs w:val="21"/>
        </w:rPr>
        <w:t>（5）其他不可预见的重大原因导致投资发生重大变化的。</w:t>
      </w:r>
    </w:p>
    <w:p>
      <w:pPr>
        <w:spacing w:line="500" w:lineRule="exact"/>
        <w:ind w:hanging="420"/>
        <w:jc w:val="center"/>
        <w:rPr>
          <w:rFonts w:ascii="宋体" w:hAnsi="宋体" w:cs="仿宋"/>
          <w:szCs w:val="21"/>
        </w:rPr>
      </w:pPr>
    </w:p>
    <w:p>
      <w:pPr>
        <w:spacing w:line="500" w:lineRule="exact"/>
        <w:jc w:val="left"/>
        <w:rPr>
          <w:rFonts w:ascii="宋体" w:hAnsi="宋体" w:cs="仿宋"/>
          <w:szCs w:val="21"/>
        </w:rPr>
      </w:pPr>
      <w:r>
        <w:rPr>
          <w:rFonts w:hint="eastAsia" w:ascii="宋体" w:hAnsi="宋体" w:cs="仿宋"/>
          <w:b/>
          <w:bCs/>
          <w:szCs w:val="21"/>
        </w:rPr>
        <w:t>第10条  事故处理</w:t>
      </w:r>
    </w:p>
    <w:p>
      <w:pPr>
        <w:tabs>
          <w:tab w:val="left" w:pos="1440"/>
        </w:tabs>
        <w:spacing w:line="500" w:lineRule="exact"/>
        <w:ind w:left="985" w:hanging="985"/>
        <w:rPr>
          <w:rFonts w:ascii="宋体" w:hAnsi="宋体"/>
          <w:b/>
          <w:bCs/>
          <w:szCs w:val="21"/>
        </w:rPr>
      </w:pPr>
      <w:r>
        <w:rPr>
          <w:rFonts w:hint="eastAsia" w:ascii="宋体" w:hAnsi="宋体" w:cs="仿宋"/>
          <w:b/>
          <w:bCs/>
          <w:szCs w:val="21"/>
        </w:rPr>
        <w:t>10.1  事故现场处理</w:t>
      </w:r>
    </w:p>
    <w:p>
      <w:pPr>
        <w:spacing w:line="500" w:lineRule="exact"/>
        <w:ind w:firstLine="480"/>
        <w:rPr>
          <w:rFonts w:ascii="宋体" w:hAnsi="宋体"/>
          <w:szCs w:val="21"/>
        </w:rPr>
      </w:pPr>
      <w:r>
        <w:rPr>
          <w:rFonts w:hint="eastAsia" w:ascii="宋体" w:hAnsi="宋体" w:cs="仿宋"/>
          <w:szCs w:val="21"/>
        </w:rPr>
        <w:t>合同履行过程中发生事故的，先知情方应立即通知另一方，乙方立即组织人员和设备进行紧急抢救和抢修，减少人员伤亡和财产损失，防止事故扩大，并保护事故现场。需要移动现场物品时，应作出标记和书面记录，妥善保管有关证据。</w:t>
      </w:r>
    </w:p>
    <w:p>
      <w:pPr>
        <w:spacing w:line="500" w:lineRule="exact"/>
        <w:ind w:left="359" w:hanging="359"/>
        <w:rPr>
          <w:rFonts w:ascii="宋体" w:hAnsi="宋体"/>
          <w:szCs w:val="21"/>
        </w:rPr>
      </w:pPr>
      <w:r>
        <w:rPr>
          <w:rFonts w:hint="eastAsia" w:ascii="宋体" w:hAnsi="宋体" w:cs="仿宋"/>
          <w:b/>
          <w:szCs w:val="21"/>
        </w:rPr>
        <w:t>10.2  事故的报告</w:t>
      </w:r>
    </w:p>
    <w:p>
      <w:pPr>
        <w:spacing w:line="500" w:lineRule="exact"/>
        <w:ind w:firstLine="480"/>
        <w:rPr>
          <w:rFonts w:ascii="宋体" w:hAnsi="宋体"/>
          <w:szCs w:val="21"/>
        </w:rPr>
      </w:pPr>
      <w:r>
        <w:rPr>
          <w:rFonts w:hint="eastAsia" w:ascii="宋体" w:hAnsi="宋体" w:cs="仿宋"/>
          <w:szCs w:val="21"/>
        </w:rPr>
        <w:t>甲方和乙方均有责任按国家有关规定，及时如实地向职能主管部门和代建主管部门报告事故发生的情况，以及正在采取的紧急措施等，积极配合有关主管部门查明事故原因。严禁瞒报、迟报事故有关情况，或隐匿、篡改、销毁有关证据，否则承担有关法律责任。</w:t>
      </w:r>
    </w:p>
    <w:p>
      <w:pPr>
        <w:spacing w:line="500" w:lineRule="exact"/>
        <w:ind w:left="359" w:hanging="359"/>
        <w:rPr>
          <w:rFonts w:ascii="宋体" w:hAnsi="宋体"/>
          <w:szCs w:val="21"/>
        </w:rPr>
      </w:pPr>
      <w:r>
        <w:rPr>
          <w:rFonts w:hint="eastAsia" w:ascii="宋体" w:hAnsi="宋体" w:cs="仿宋"/>
          <w:b/>
          <w:szCs w:val="21"/>
        </w:rPr>
        <w:t>10.3  事故的善后</w:t>
      </w:r>
    </w:p>
    <w:p>
      <w:pPr>
        <w:spacing w:line="500" w:lineRule="exact"/>
        <w:ind w:firstLine="480"/>
        <w:rPr>
          <w:rFonts w:ascii="宋体" w:hAnsi="宋体"/>
          <w:szCs w:val="21"/>
        </w:rPr>
      </w:pPr>
      <w:r>
        <w:rPr>
          <w:rFonts w:hint="eastAsia" w:ascii="宋体" w:hAnsi="宋体" w:cs="仿宋"/>
          <w:szCs w:val="21"/>
        </w:rPr>
        <w:t>由乙方为主组织事故的善后事宜，并积极组织有关专业工作单位进行整改，甲方予以配合。根据有关主管部门对事故责任的认定和法律法规规定，各自承担应负的责任。</w:t>
      </w:r>
    </w:p>
    <w:p>
      <w:pPr>
        <w:spacing w:line="500" w:lineRule="exact"/>
        <w:ind w:hanging="420"/>
        <w:jc w:val="center"/>
        <w:rPr>
          <w:rFonts w:ascii="宋体" w:hAnsi="宋体" w:cs="仿宋"/>
          <w:szCs w:val="21"/>
        </w:rPr>
      </w:pPr>
    </w:p>
    <w:p>
      <w:pPr>
        <w:spacing w:line="500" w:lineRule="exact"/>
        <w:jc w:val="left"/>
        <w:rPr>
          <w:rFonts w:ascii="宋体" w:hAnsi="宋体"/>
          <w:b/>
          <w:bCs/>
          <w:szCs w:val="21"/>
        </w:rPr>
      </w:pPr>
      <w:r>
        <w:rPr>
          <w:rFonts w:hint="eastAsia" w:ascii="宋体" w:hAnsi="宋体" w:cs="仿宋"/>
          <w:b/>
          <w:bCs/>
          <w:szCs w:val="21"/>
        </w:rPr>
        <w:t>第11条  暂停工作</w:t>
      </w:r>
    </w:p>
    <w:p>
      <w:pPr>
        <w:tabs>
          <w:tab w:val="left" w:pos="1440"/>
        </w:tabs>
        <w:spacing w:line="500" w:lineRule="exact"/>
        <w:ind w:left="834" w:hanging="834"/>
        <w:rPr>
          <w:rFonts w:ascii="宋体" w:hAnsi="宋体"/>
          <w:b/>
          <w:bCs/>
          <w:szCs w:val="21"/>
        </w:rPr>
      </w:pPr>
      <w:r>
        <w:rPr>
          <w:rFonts w:hint="eastAsia" w:ascii="宋体" w:hAnsi="宋体" w:cs="仿宋"/>
          <w:b/>
          <w:bCs/>
          <w:szCs w:val="21"/>
        </w:rPr>
        <w:t>11.1  由甲方暂停工作</w:t>
      </w:r>
    </w:p>
    <w:p>
      <w:pPr>
        <w:spacing w:line="500" w:lineRule="exact"/>
        <w:ind w:firstLine="482"/>
        <w:rPr>
          <w:rFonts w:ascii="宋体" w:hAnsi="宋体"/>
          <w:szCs w:val="21"/>
        </w:rPr>
      </w:pPr>
      <w:r>
        <w:rPr>
          <w:rFonts w:hint="eastAsia" w:ascii="宋体" w:hAnsi="宋体" w:cs="仿宋"/>
          <w:b/>
          <w:szCs w:val="21"/>
        </w:rPr>
        <w:t xml:space="preserve">11.1.1 </w:t>
      </w:r>
      <w:r>
        <w:rPr>
          <w:rFonts w:hint="eastAsia" w:ascii="宋体" w:hAnsi="宋体" w:cs="仿宋"/>
          <w:szCs w:val="21"/>
        </w:rPr>
        <w:t xml:space="preserve"> 因下列原因，甲方可向乙方书面发出暂停工作的通知，乙方应按通知要求暂停自身及相关专业单位工作，同时甲乙双方报告代建主管部门。由此造成工作延误的甲方应相应延长乙方代建周期并按合同约定给予费用赔偿。</w:t>
      </w:r>
    </w:p>
    <w:p>
      <w:pPr>
        <w:spacing w:line="500" w:lineRule="exact"/>
        <w:ind w:firstLine="480"/>
        <w:rPr>
          <w:rFonts w:ascii="宋体" w:hAnsi="宋体"/>
          <w:szCs w:val="21"/>
        </w:rPr>
      </w:pPr>
      <w:r>
        <w:rPr>
          <w:rFonts w:hint="eastAsia" w:ascii="宋体" w:hAnsi="宋体" w:cs="仿宋"/>
          <w:szCs w:val="21"/>
        </w:rPr>
        <w:t>（1）因与甲方相关的法律法规或政策变化，代建项目不能按原有方案实施的；</w:t>
      </w:r>
    </w:p>
    <w:p>
      <w:pPr>
        <w:spacing w:line="500" w:lineRule="exact"/>
        <w:ind w:firstLine="480"/>
        <w:rPr>
          <w:rFonts w:ascii="宋体" w:hAnsi="宋体"/>
          <w:szCs w:val="21"/>
        </w:rPr>
      </w:pPr>
      <w:r>
        <w:rPr>
          <w:rFonts w:hint="eastAsia" w:ascii="宋体" w:hAnsi="宋体" w:cs="仿宋"/>
          <w:szCs w:val="21"/>
        </w:rPr>
        <w:t>（2）甲方对代建项目的使用功能作重大调整需重新申请项目批准文件或重新报建的。</w:t>
      </w:r>
    </w:p>
    <w:p>
      <w:pPr>
        <w:tabs>
          <w:tab w:val="left" w:pos="1440"/>
        </w:tabs>
        <w:spacing w:line="500" w:lineRule="exact"/>
        <w:ind w:left="834" w:hanging="834"/>
        <w:rPr>
          <w:rFonts w:ascii="宋体" w:hAnsi="宋体"/>
          <w:b/>
          <w:bCs/>
          <w:szCs w:val="21"/>
        </w:rPr>
      </w:pPr>
      <w:r>
        <w:rPr>
          <w:rFonts w:hint="eastAsia" w:ascii="宋体" w:hAnsi="宋体" w:cs="仿宋"/>
          <w:b/>
          <w:bCs/>
          <w:szCs w:val="21"/>
        </w:rPr>
        <w:t>11.2  由乙方暂停工作</w:t>
      </w:r>
    </w:p>
    <w:p>
      <w:pPr>
        <w:spacing w:line="500" w:lineRule="exact"/>
        <w:ind w:firstLine="482"/>
        <w:rPr>
          <w:rFonts w:ascii="宋体" w:hAnsi="宋体"/>
          <w:szCs w:val="21"/>
        </w:rPr>
      </w:pPr>
      <w:r>
        <w:rPr>
          <w:rFonts w:hint="eastAsia" w:ascii="宋体" w:hAnsi="宋体" w:cs="仿宋"/>
          <w:b/>
          <w:szCs w:val="21"/>
        </w:rPr>
        <w:t xml:space="preserve">11.2.1  </w:t>
      </w:r>
      <w:r>
        <w:rPr>
          <w:rFonts w:hint="eastAsia" w:ascii="宋体" w:hAnsi="宋体" w:cs="仿宋"/>
          <w:szCs w:val="21"/>
        </w:rPr>
        <w:t>因甲方原因致使乙方代建工作无法继续推进并可能影响乙方代建周期的，乙方应向代建主管部门书面报告要求暂停工作并协调处理，经确定为甲方原因造成暂停工作的，相应调整延长合同代建周期，甲方按合同规定赔偿乙方直接经济损失和延期补偿费用。</w:t>
      </w:r>
    </w:p>
    <w:p>
      <w:pPr>
        <w:spacing w:line="500" w:lineRule="exact"/>
        <w:ind w:firstLine="480"/>
        <w:rPr>
          <w:rFonts w:ascii="宋体" w:hAnsi="宋体"/>
          <w:szCs w:val="21"/>
        </w:rPr>
      </w:pPr>
      <w:r>
        <w:rPr>
          <w:rFonts w:hint="eastAsia" w:ascii="宋体" w:hAnsi="宋体" w:cs="仿宋"/>
          <w:szCs w:val="21"/>
        </w:rPr>
        <w:t>乙方未履行合同约定程序，擅自暂停工作产生的所有责任由乙方自行承担。</w:t>
      </w:r>
    </w:p>
    <w:p>
      <w:pPr>
        <w:tabs>
          <w:tab w:val="left" w:pos="1440"/>
        </w:tabs>
        <w:spacing w:line="500" w:lineRule="exact"/>
        <w:ind w:left="834" w:hanging="834"/>
        <w:rPr>
          <w:rFonts w:ascii="宋体" w:hAnsi="宋体"/>
          <w:b/>
          <w:bCs/>
          <w:szCs w:val="21"/>
        </w:rPr>
      </w:pPr>
      <w:r>
        <w:rPr>
          <w:rFonts w:hint="eastAsia" w:ascii="宋体" w:hAnsi="宋体" w:cs="仿宋"/>
          <w:b/>
          <w:bCs/>
          <w:szCs w:val="21"/>
        </w:rPr>
        <w:t>11.3  暂停工作后的照管</w:t>
      </w:r>
    </w:p>
    <w:p>
      <w:pPr>
        <w:spacing w:line="500" w:lineRule="exact"/>
        <w:ind w:firstLine="480"/>
        <w:rPr>
          <w:rFonts w:ascii="宋体" w:hAnsi="宋体"/>
          <w:szCs w:val="21"/>
        </w:rPr>
      </w:pPr>
      <w:r>
        <w:rPr>
          <w:rFonts w:hint="eastAsia" w:ascii="宋体" w:hAnsi="宋体" w:cs="仿宋"/>
          <w:szCs w:val="21"/>
        </w:rPr>
        <w:t>不论由于何种原因引起暂停工作的，暂停工作期间，乙方应负责组织相关专业工作单位妥善保护项目并提供安全保障，由此增加的费用由引起暂停的责任方承担。</w:t>
      </w:r>
    </w:p>
    <w:p>
      <w:pPr>
        <w:spacing w:line="500" w:lineRule="exact"/>
        <w:ind w:hanging="420"/>
        <w:jc w:val="center"/>
        <w:rPr>
          <w:rFonts w:ascii="宋体" w:hAnsi="宋体" w:cs="仿宋"/>
          <w:szCs w:val="21"/>
        </w:rPr>
      </w:pPr>
    </w:p>
    <w:p>
      <w:pPr>
        <w:spacing w:line="500" w:lineRule="exact"/>
        <w:jc w:val="left"/>
        <w:rPr>
          <w:rFonts w:ascii="宋体" w:hAnsi="宋体"/>
          <w:b/>
          <w:bCs/>
          <w:szCs w:val="21"/>
        </w:rPr>
      </w:pPr>
      <w:r>
        <w:rPr>
          <w:rFonts w:hint="eastAsia" w:ascii="宋体" w:hAnsi="宋体" w:cs="仿宋"/>
          <w:b/>
          <w:bCs/>
          <w:szCs w:val="21"/>
        </w:rPr>
        <w:t>第12条  代建服务费支付与调整</w:t>
      </w:r>
    </w:p>
    <w:p>
      <w:pPr>
        <w:tabs>
          <w:tab w:val="left" w:pos="1440"/>
        </w:tabs>
        <w:spacing w:line="500" w:lineRule="exact"/>
        <w:ind w:left="834" w:hanging="834"/>
        <w:rPr>
          <w:rFonts w:ascii="宋体" w:hAnsi="宋体"/>
          <w:b/>
          <w:bCs/>
          <w:szCs w:val="21"/>
        </w:rPr>
      </w:pPr>
      <w:r>
        <w:rPr>
          <w:rFonts w:hint="eastAsia" w:ascii="宋体" w:hAnsi="宋体" w:cs="仿宋"/>
          <w:b/>
          <w:bCs/>
          <w:szCs w:val="21"/>
        </w:rPr>
        <w:t>12.1  代建服务费</w:t>
      </w:r>
    </w:p>
    <w:p>
      <w:pPr>
        <w:spacing w:line="500" w:lineRule="exact"/>
        <w:ind w:firstLine="482"/>
        <w:rPr>
          <w:rFonts w:ascii="宋体" w:hAnsi="宋体" w:cs="仿宋"/>
          <w:szCs w:val="21"/>
        </w:rPr>
      </w:pPr>
      <w:r>
        <w:rPr>
          <w:rFonts w:hint="eastAsia" w:ascii="宋体" w:hAnsi="宋体" w:cs="仿宋"/>
          <w:b/>
          <w:szCs w:val="21"/>
        </w:rPr>
        <w:t xml:space="preserve">12.1.1  </w:t>
      </w:r>
      <w:r>
        <w:rPr>
          <w:rFonts w:hint="eastAsia" w:ascii="宋体" w:hAnsi="宋体" w:cs="仿宋"/>
          <w:szCs w:val="21"/>
        </w:rPr>
        <w:t>代建服务费包括乙方在项目前期、实施、验收及后期结算、审计等阶段的管理成本、人员工资及福利、应缴税费和合理利润。不包括可行性研究报告编制、招标代理、造价咨询、勘察等专项服务费用。</w:t>
      </w:r>
    </w:p>
    <w:p>
      <w:pPr>
        <w:spacing w:line="500" w:lineRule="exact"/>
        <w:ind w:firstLine="482"/>
        <w:rPr>
          <w:rFonts w:ascii="宋体" w:hAnsi="宋体" w:cs="仿宋"/>
          <w:szCs w:val="21"/>
        </w:rPr>
      </w:pPr>
      <w:r>
        <w:rPr>
          <w:rFonts w:hint="eastAsia" w:ascii="宋体" w:hAnsi="宋体" w:cs="仿宋"/>
          <w:szCs w:val="21"/>
        </w:rPr>
        <w:t>代建服务费可用于：代建工作人员的基本工资、工资性津贴、社会保险费用（基本养老、基本医疗、失业、工伤保险）、住房公积金、职工福利费等人工费用，代建服务所必需的办公费、差旅费、固定资产使用费等工作费用，为推动项目建设所直接发生的各项管理性质的开支（不超过按同等投资额度计算的建设单位管理费范围），以及应缴的各种税费。其中业务招待费的额度和支出应按国家有关规定执行。</w:t>
      </w:r>
    </w:p>
    <w:p>
      <w:pPr>
        <w:spacing w:line="500" w:lineRule="exact"/>
        <w:ind w:firstLine="482"/>
        <w:rPr>
          <w:rFonts w:ascii="宋体" w:hAnsi="宋体"/>
          <w:szCs w:val="21"/>
        </w:rPr>
      </w:pPr>
      <w:r>
        <w:rPr>
          <w:rFonts w:hint="eastAsia" w:ascii="宋体" w:hAnsi="宋体" w:cs="仿宋"/>
          <w:b/>
          <w:szCs w:val="21"/>
        </w:rPr>
        <w:t>12.1.2</w:t>
      </w:r>
      <w:r>
        <w:rPr>
          <w:rFonts w:hint="eastAsia" w:ascii="宋体" w:hAnsi="宋体" w:cs="仿宋"/>
          <w:szCs w:val="21"/>
        </w:rPr>
        <w:t xml:space="preserve">  乙方投标时承诺的代建服务费综合优惠率在合同执行过程中是固定不变的，不得以任何理由予以变更。</w:t>
      </w:r>
    </w:p>
    <w:p>
      <w:pPr>
        <w:tabs>
          <w:tab w:val="left" w:pos="1440"/>
        </w:tabs>
        <w:spacing w:line="500" w:lineRule="exact"/>
        <w:ind w:left="834" w:hanging="834"/>
        <w:rPr>
          <w:rFonts w:ascii="宋体" w:hAnsi="宋体"/>
          <w:b/>
          <w:bCs/>
          <w:szCs w:val="21"/>
        </w:rPr>
      </w:pPr>
      <w:r>
        <w:rPr>
          <w:rFonts w:hint="eastAsia" w:ascii="宋体" w:hAnsi="宋体" w:cs="仿宋"/>
          <w:b/>
          <w:bCs/>
          <w:szCs w:val="21"/>
        </w:rPr>
        <w:t>12.2  预付款</w:t>
      </w:r>
    </w:p>
    <w:p>
      <w:pPr>
        <w:spacing w:line="500" w:lineRule="exact"/>
        <w:ind w:firstLine="480"/>
        <w:rPr>
          <w:rFonts w:ascii="宋体" w:hAnsi="宋体"/>
          <w:szCs w:val="21"/>
        </w:rPr>
      </w:pPr>
      <w:r>
        <w:rPr>
          <w:rFonts w:hint="eastAsia" w:ascii="宋体" w:hAnsi="宋体" w:cs="仿宋"/>
          <w:szCs w:val="21"/>
        </w:rPr>
        <w:t>预付款用于乙方为完成合同实施的前期准备、工作成本支出等。预付款的额度和支付在合同专用条款中约定。预付款必须专用于代建工作。</w:t>
      </w:r>
    </w:p>
    <w:p>
      <w:pPr>
        <w:tabs>
          <w:tab w:val="left" w:pos="1440"/>
        </w:tabs>
        <w:spacing w:line="500" w:lineRule="exact"/>
        <w:ind w:left="834" w:hanging="834"/>
        <w:rPr>
          <w:rFonts w:ascii="宋体" w:hAnsi="宋体"/>
          <w:b/>
          <w:bCs/>
          <w:szCs w:val="21"/>
        </w:rPr>
      </w:pPr>
      <w:r>
        <w:rPr>
          <w:rFonts w:hint="eastAsia" w:ascii="宋体" w:hAnsi="宋体" w:cs="仿宋"/>
          <w:b/>
          <w:bCs/>
          <w:szCs w:val="21"/>
        </w:rPr>
        <w:t>12.3  进度付款</w:t>
      </w:r>
    </w:p>
    <w:p>
      <w:pPr>
        <w:spacing w:line="500" w:lineRule="exact"/>
        <w:ind w:firstLine="480"/>
        <w:rPr>
          <w:rFonts w:ascii="宋体" w:hAnsi="宋体"/>
          <w:szCs w:val="21"/>
        </w:rPr>
      </w:pPr>
      <w:r>
        <w:rPr>
          <w:rFonts w:hint="eastAsia" w:ascii="宋体" w:hAnsi="宋体" w:cs="仿宋"/>
          <w:szCs w:val="21"/>
        </w:rPr>
        <w:t>除合同专用条款另有约定外，进度付款按形象进度支付。具体见专用条款约定。</w:t>
      </w:r>
    </w:p>
    <w:p>
      <w:pPr>
        <w:tabs>
          <w:tab w:val="left" w:pos="1440"/>
        </w:tabs>
        <w:spacing w:line="500" w:lineRule="exact"/>
        <w:ind w:left="834" w:hanging="834"/>
        <w:rPr>
          <w:rFonts w:ascii="宋体" w:hAnsi="宋体"/>
          <w:b/>
          <w:bCs/>
          <w:szCs w:val="21"/>
        </w:rPr>
      </w:pPr>
      <w:r>
        <w:rPr>
          <w:rFonts w:hint="eastAsia" w:ascii="宋体" w:hAnsi="宋体" w:cs="仿宋"/>
          <w:b/>
          <w:bCs/>
          <w:szCs w:val="21"/>
        </w:rPr>
        <w:t>12.4  物价波动引起的调整</w:t>
      </w:r>
    </w:p>
    <w:p>
      <w:pPr>
        <w:spacing w:line="500" w:lineRule="exact"/>
        <w:ind w:firstLine="480"/>
        <w:rPr>
          <w:rFonts w:ascii="宋体" w:hAnsi="宋体"/>
          <w:szCs w:val="21"/>
        </w:rPr>
      </w:pPr>
      <w:r>
        <w:rPr>
          <w:rFonts w:hint="eastAsia" w:ascii="宋体" w:hAnsi="宋体" w:cs="仿宋"/>
          <w:szCs w:val="21"/>
        </w:rPr>
        <w:t>除法律规定或合同专用条款另有约定外，代建服务费不因物价波动进行调整。</w:t>
      </w:r>
    </w:p>
    <w:p>
      <w:pPr>
        <w:tabs>
          <w:tab w:val="left" w:pos="1440"/>
        </w:tabs>
        <w:spacing w:line="500" w:lineRule="exact"/>
        <w:ind w:left="834" w:hanging="834"/>
        <w:rPr>
          <w:rFonts w:ascii="宋体" w:hAnsi="宋体"/>
          <w:b/>
          <w:bCs/>
          <w:szCs w:val="21"/>
        </w:rPr>
      </w:pPr>
      <w:r>
        <w:rPr>
          <w:rFonts w:hint="eastAsia" w:ascii="宋体" w:hAnsi="宋体" w:cs="仿宋"/>
          <w:b/>
          <w:bCs/>
          <w:szCs w:val="21"/>
        </w:rPr>
        <w:t>12.5  法律变化引起的调整</w:t>
      </w:r>
    </w:p>
    <w:p>
      <w:pPr>
        <w:spacing w:line="500" w:lineRule="exact"/>
        <w:ind w:firstLine="480"/>
        <w:rPr>
          <w:rFonts w:ascii="宋体" w:hAnsi="宋体"/>
          <w:szCs w:val="21"/>
        </w:rPr>
      </w:pPr>
      <w:r>
        <w:rPr>
          <w:rFonts w:hint="eastAsia" w:ascii="宋体" w:hAnsi="宋体" w:cs="仿宋"/>
          <w:szCs w:val="21"/>
        </w:rPr>
        <w:t>因法律变化导致乙方代建服务费发生增减时，甲乙双方应根据法律、法规和政策性文件的规定，协商调整代建服务费，并报代建主管部门和财政部门同意。</w:t>
      </w:r>
    </w:p>
    <w:p>
      <w:pPr>
        <w:spacing w:line="500" w:lineRule="exact"/>
        <w:ind w:firstLine="480"/>
        <w:rPr>
          <w:rFonts w:ascii="宋体" w:hAnsi="宋体" w:cs="仿宋"/>
          <w:szCs w:val="21"/>
        </w:rPr>
      </w:pPr>
    </w:p>
    <w:p>
      <w:pPr>
        <w:spacing w:line="500" w:lineRule="exact"/>
        <w:jc w:val="left"/>
        <w:rPr>
          <w:rFonts w:ascii="宋体" w:hAnsi="宋体" w:cs="仿宋"/>
          <w:b/>
          <w:szCs w:val="21"/>
        </w:rPr>
      </w:pPr>
      <w:r>
        <w:rPr>
          <w:rFonts w:hint="eastAsia" w:ascii="宋体" w:hAnsi="宋体" w:cs="仿宋"/>
          <w:b/>
          <w:bCs/>
          <w:szCs w:val="21"/>
        </w:rPr>
        <w:t>第13条  竣工验收与项目实体移交</w:t>
      </w:r>
    </w:p>
    <w:p>
      <w:pPr>
        <w:spacing w:line="500" w:lineRule="exact"/>
        <w:rPr>
          <w:rFonts w:ascii="宋体" w:hAnsi="宋体"/>
          <w:b w:val="0"/>
          <w:bCs/>
          <w:szCs w:val="21"/>
        </w:rPr>
      </w:pPr>
      <w:r>
        <w:rPr>
          <w:rFonts w:hint="eastAsia" w:ascii="宋体" w:hAnsi="宋体" w:cs="仿宋"/>
          <w:b/>
          <w:szCs w:val="21"/>
        </w:rPr>
        <w:t xml:space="preserve">13.1  </w:t>
      </w:r>
      <w:r>
        <w:rPr>
          <w:rFonts w:hint="eastAsia" w:ascii="宋体" w:hAnsi="宋体" w:cs="仿宋"/>
          <w:b w:val="0"/>
          <w:bCs/>
          <w:szCs w:val="21"/>
        </w:rPr>
        <w:t>乙方收到监理人提交的竣工验收申请报告后28天内组织竣工初步验收，对初步验收中发现的质量和功能缺陷在48小时内提出整改方案，依方案组织相关专业工作单位进行整改并重新组织验收，直至初步验收通过。</w:t>
      </w:r>
    </w:p>
    <w:p>
      <w:pPr>
        <w:spacing w:line="500" w:lineRule="exact"/>
        <w:rPr>
          <w:rFonts w:ascii="宋体" w:hAnsi="宋体"/>
          <w:b/>
          <w:szCs w:val="21"/>
        </w:rPr>
      </w:pPr>
      <w:r>
        <w:rPr>
          <w:rFonts w:hint="eastAsia" w:ascii="宋体" w:hAnsi="宋体" w:cs="仿宋"/>
          <w:b/>
          <w:szCs w:val="21"/>
        </w:rPr>
        <w:t xml:space="preserve">13.2 </w:t>
      </w:r>
      <w:r>
        <w:rPr>
          <w:rFonts w:hint="eastAsia" w:ascii="宋体" w:hAnsi="宋体" w:cs="仿宋"/>
          <w:b w:val="0"/>
          <w:bCs/>
          <w:szCs w:val="21"/>
        </w:rPr>
        <w:t xml:space="preserve"> 竣工初步验收通过后，乙方应报请相关行政主管部门进行规划、用地、环保、消防、人防、档案等专项验收，专项验收完成后，乙方按程序报请项目审批部门进行项目竣工验收，鼓励联合开展专项验收和项目竣工验收。</w:t>
      </w:r>
    </w:p>
    <w:p>
      <w:pPr>
        <w:spacing w:line="500" w:lineRule="exact"/>
        <w:rPr>
          <w:rFonts w:ascii="宋体" w:hAnsi="宋体" w:cs="仿宋"/>
          <w:b w:val="0"/>
          <w:bCs/>
          <w:szCs w:val="21"/>
        </w:rPr>
      </w:pPr>
      <w:r>
        <w:rPr>
          <w:rFonts w:hint="eastAsia" w:ascii="宋体" w:hAnsi="宋体" w:cs="仿宋"/>
          <w:b/>
          <w:szCs w:val="21"/>
        </w:rPr>
        <w:t xml:space="preserve">13.3  </w:t>
      </w:r>
      <w:r>
        <w:rPr>
          <w:rFonts w:hint="eastAsia" w:ascii="宋体" w:hAnsi="宋体" w:cs="仿宋"/>
          <w:b w:val="0"/>
          <w:bCs/>
          <w:szCs w:val="21"/>
        </w:rPr>
        <w:t>竣工验收合格后，乙方应及时办理竣工财务决算，并在30天内向甲方递交项目实体移交申请报告。甲方应在收到乙方项目实体移交申请报告后30天内，依据经批准的项目功能要求和合同约定办理实体移交验收，验收中如发现功能或质量缺陷，可提出整改和完善要求，乙方应组织整改以满足要求。实体移交验收合格后，甲方向乙方出具实体移交证书，工程实体移交甲方负责管理和维护。在具备合同约定的实体移交验收条件，乙方向甲方递交工程实体移交申请报告后30天内，甲方拒不组织移交验收的，乙方可要求按照16.3.1（3）条处理，或要求从乙方递交报告后的第31天起视为甲方已出具实体移交证书，工程管理和维护义务由甲方承担。工程未经实体移交，甲方擅自使用的，应在转移占用工程后14天内向乙方颁发实体移交证书，甲方无正当理由逾期不颁发实体移交证书的，自转移占用后第15天起视为已颁发实体移交证书。</w:t>
      </w:r>
    </w:p>
    <w:p>
      <w:pPr>
        <w:pStyle w:val="2"/>
        <w:spacing w:line="500" w:lineRule="exact"/>
        <w:outlineLvl w:val="9"/>
        <w:rPr>
          <w:rFonts w:ascii="宋体" w:hAnsi="宋体"/>
          <w:szCs w:val="21"/>
        </w:rPr>
      </w:pPr>
    </w:p>
    <w:p>
      <w:pPr>
        <w:numPr>
          <w:ilvl w:val="0"/>
          <w:numId w:val="12"/>
        </w:numPr>
        <w:spacing w:line="500" w:lineRule="exact"/>
        <w:jc w:val="center"/>
        <w:rPr>
          <w:rFonts w:ascii="宋体" w:hAnsi="宋体"/>
          <w:b/>
          <w:bCs/>
          <w:szCs w:val="21"/>
        </w:rPr>
      </w:pPr>
      <w:r>
        <w:rPr>
          <w:rFonts w:hint="eastAsia" w:ascii="宋体" w:hAnsi="宋体"/>
          <w:b/>
          <w:bCs/>
          <w:szCs w:val="21"/>
        </w:rPr>
        <w:t>不可抗力</w:t>
      </w:r>
    </w:p>
    <w:p>
      <w:pPr>
        <w:pStyle w:val="2"/>
        <w:spacing w:line="500" w:lineRule="exact"/>
        <w:outlineLvl w:val="9"/>
        <w:rPr>
          <w:rFonts w:ascii="宋体" w:hAnsi="宋体"/>
          <w:szCs w:val="21"/>
        </w:rPr>
      </w:pPr>
    </w:p>
    <w:p>
      <w:pPr>
        <w:spacing w:line="500" w:lineRule="exact"/>
        <w:jc w:val="left"/>
        <w:rPr>
          <w:rFonts w:ascii="宋体" w:hAnsi="宋体"/>
          <w:b/>
          <w:bCs/>
          <w:szCs w:val="21"/>
        </w:rPr>
      </w:pPr>
      <w:r>
        <w:rPr>
          <w:rFonts w:hint="eastAsia" w:ascii="宋体" w:hAnsi="宋体" w:cs="仿宋"/>
          <w:b/>
          <w:bCs/>
          <w:szCs w:val="21"/>
        </w:rPr>
        <w:t>第14条  不可抗力</w:t>
      </w:r>
    </w:p>
    <w:p>
      <w:pPr>
        <w:tabs>
          <w:tab w:val="left" w:pos="1440"/>
        </w:tabs>
        <w:spacing w:line="500" w:lineRule="exact"/>
        <w:ind w:left="834" w:hanging="834"/>
        <w:rPr>
          <w:rFonts w:ascii="宋体" w:hAnsi="宋体"/>
          <w:b/>
          <w:bCs/>
          <w:szCs w:val="21"/>
        </w:rPr>
      </w:pPr>
      <w:r>
        <w:rPr>
          <w:rFonts w:hint="eastAsia" w:ascii="宋体" w:hAnsi="宋体" w:cs="仿宋"/>
          <w:b/>
          <w:bCs/>
          <w:szCs w:val="21"/>
        </w:rPr>
        <w:t>14.1  不可抗力的确认</w:t>
      </w:r>
    </w:p>
    <w:p>
      <w:pPr>
        <w:spacing w:line="500" w:lineRule="exact"/>
        <w:ind w:firstLine="482"/>
        <w:rPr>
          <w:rFonts w:ascii="宋体" w:hAnsi="宋体"/>
          <w:szCs w:val="21"/>
        </w:rPr>
      </w:pPr>
      <w:r>
        <w:rPr>
          <w:rFonts w:hint="eastAsia" w:ascii="宋体" w:hAnsi="宋体" w:cs="仿宋"/>
          <w:b/>
          <w:szCs w:val="21"/>
        </w:rPr>
        <w:t>14.1.1</w:t>
      </w:r>
      <w:r>
        <w:rPr>
          <w:rFonts w:hint="eastAsia" w:ascii="宋体" w:hAnsi="宋体" w:cs="仿宋"/>
          <w:szCs w:val="21"/>
        </w:rPr>
        <w:t xml:space="preserve">  不可抗力是指乙方和甲方在订立合同时不可预见，在履行合同过程中不可避免发生并不能克服的自然灾害和社会性突发事件，如地震、海啸、瘟疫、水灾、骚乱、暴动、战争和合同专用条款约定的其他情形。</w:t>
      </w:r>
    </w:p>
    <w:p>
      <w:pPr>
        <w:spacing w:line="500" w:lineRule="exact"/>
        <w:ind w:firstLine="482"/>
        <w:rPr>
          <w:rFonts w:ascii="宋体" w:hAnsi="宋体"/>
          <w:szCs w:val="21"/>
        </w:rPr>
      </w:pPr>
      <w:r>
        <w:rPr>
          <w:rFonts w:hint="eastAsia" w:ascii="宋体" w:hAnsi="宋体" w:cs="仿宋"/>
          <w:b/>
          <w:szCs w:val="21"/>
        </w:rPr>
        <w:t>14.1.2</w:t>
      </w:r>
      <w:r>
        <w:rPr>
          <w:rFonts w:hint="eastAsia" w:ascii="宋体" w:hAnsi="宋体" w:cs="仿宋"/>
          <w:szCs w:val="21"/>
        </w:rPr>
        <w:t xml:space="preserve">  不可抗力发生后，乙方和甲方应及时认真统计所造成的损失，收集不可抗力造成损失的证据。</w:t>
      </w:r>
    </w:p>
    <w:p>
      <w:pPr>
        <w:tabs>
          <w:tab w:val="left" w:pos="1440"/>
        </w:tabs>
        <w:spacing w:line="500" w:lineRule="exact"/>
        <w:ind w:left="834" w:hanging="834"/>
        <w:rPr>
          <w:rFonts w:ascii="宋体" w:hAnsi="宋体"/>
          <w:b/>
          <w:bCs/>
          <w:szCs w:val="21"/>
        </w:rPr>
      </w:pPr>
      <w:r>
        <w:rPr>
          <w:rFonts w:hint="eastAsia" w:ascii="宋体" w:hAnsi="宋体" w:cs="仿宋"/>
          <w:b/>
          <w:bCs/>
          <w:szCs w:val="21"/>
        </w:rPr>
        <w:t>14.2  不可抗力的通知</w:t>
      </w:r>
    </w:p>
    <w:p>
      <w:pPr>
        <w:spacing w:line="500" w:lineRule="exact"/>
        <w:ind w:firstLine="482"/>
        <w:rPr>
          <w:rFonts w:ascii="宋体" w:hAnsi="宋体"/>
          <w:szCs w:val="21"/>
        </w:rPr>
      </w:pPr>
      <w:r>
        <w:rPr>
          <w:rFonts w:hint="eastAsia" w:ascii="宋体" w:hAnsi="宋体" w:cs="仿宋"/>
          <w:b/>
          <w:szCs w:val="21"/>
        </w:rPr>
        <w:t>14.2.1</w:t>
      </w:r>
      <w:r>
        <w:rPr>
          <w:rFonts w:hint="eastAsia" w:ascii="宋体" w:hAnsi="宋体" w:cs="仿宋"/>
          <w:szCs w:val="21"/>
        </w:rPr>
        <w:t xml:space="preserve">  合同一方当事人遇到不可抗力事件，使其履行合同义务受到阻碍时，应立即通知合同另一方当事人和代建主管部门，书面说明不可抗力和受阻碍的详细情况，并提供必要的证明。</w:t>
      </w:r>
    </w:p>
    <w:p>
      <w:pPr>
        <w:spacing w:line="500" w:lineRule="exact"/>
        <w:ind w:firstLine="482"/>
        <w:rPr>
          <w:rFonts w:ascii="宋体" w:hAnsi="宋体"/>
          <w:szCs w:val="21"/>
        </w:rPr>
      </w:pPr>
      <w:r>
        <w:rPr>
          <w:rFonts w:hint="eastAsia" w:ascii="宋体" w:hAnsi="宋体" w:cs="仿宋"/>
          <w:b/>
          <w:szCs w:val="21"/>
        </w:rPr>
        <w:t>14.2.2</w:t>
      </w:r>
      <w:r>
        <w:rPr>
          <w:rFonts w:hint="eastAsia" w:ascii="宋体" w:hAnsi="宋体" w:cs="仿宋"/>
          <w:szCs w:val="21"/>
        </w:rPr>
        <w:t xml:space="preserve">  如不可抗力持续发生，合同一方当事人应及时向合同另一方当事人和代建主管部门提交中间报告，说明不可抗力和履行合同受阻的情况，并于不可抗力事件结束后28天内提交最终报告及有关资料。</w:t>
      </w:r>
    </w:p>
    <w:p>
      <w:pPr>
        <w:tabs>
          <w:tab w:val="left" w:pos="1440"/>
        </w:tabs>
        <w:spacing w:line="500" w:lineRule="exact"/>
        <w:ind w:left="834" w:hanging="834"/>
        <w:rPr>
          <w:rFonts w:ascii="宋体" w:hAnsi="宋体"/>
          <w:b/>
          <w:bCs/>
          <w:szCs w:val="21"/>
        </w:rPr>
      </w:pPr>
      <w:r>
        <w:rPr>
          <w:rFonts w:hint="eastAsia" w:ascii="宋体" w:hAnsi="宋体" w:cs="仿宋"/>
          <w:b/>
          <w:bCs/>
          <w:szCs w:val="21"/>
        </w:rPr>
        <w:t>14.3 不可抗力后果及其处理</w:t>
      </w:r>
    </w:p>
    <w:p>
      <w:pPr>
        <w:spacing w:line="500" w:lineRule="exact"/>
        <w:ind w:firstLine="480"/>
        <w:rPr>
          <w:rFonts w:ascii="宋体" w:hAnsi="宋体"/>
          <w:szCs w:val="21"/>
        </w:rPr>
      </w:pPr>
      <w:r>
        <w:rPr>
          <w:rFonts w:hint="eastAsia" w:ascii="宋体" w:hAnsi="宋体" w:cs="仿宋"/>
          <w:szCs w:val="21"/>
        </w:rPr>
        <w:t>除合同专用条款另有约定外，不可抗力导致的人员伤亡、财产损失、费用增加和代建周期延误等后果，由合同双方按以下原则承担：</w:t>
      </w:r>
    </w:p>
    <w:p>
      <w:pPr>
        <w:spacing w:line="500" w:lineRule="exact"/>
        <w:ind w:firstLine="480"/>
        <w:rPr>
          <w:rFonts w:ascii="宋体" w:hAnsi="宋体"/>
          <w:szCs w:val="21"/>
        </w:rPr>
      </w:pPr>
      <w:r>
        <w:rPr>
          <w:rFonts w:hint="eastAsia" w:ascii="宋体" w:hAnsi="宋体" w:cs="仿宋"/>
          <w:szCs w:val="21"/>
        </w:rPr>
        <w:t>（1）工程的损害，以及因工程损害造成的第三者人员伤亡和财产损失，由甲乙方协商确认后上报有关主管部门，再确定处理意见；</w:t>
      </w:r>
    </w:p>
    <w:p>
      <w:pPr>
        <w:spacing w:line="500" w:lineRule="exact"/>
        <w:ind w:firstLine="480"/>
        <w:rPr>
          <w:rFonts w:ascii="宋体" w:hAnsi="宋体"/>
          <w:szCs w:val="21"/>
        </w:rPr>
      </w:pPr>
      <w:r>
        <w:rPr>
          <w:rFonts w:hint="eastAsia" w:ascii="宋体" w:hAnsi="宋体" w:cs="仿宋"/>
          <w:szCs w:val="21"/>
        </w:rPr>
        <w:t>（2）甲方和乙方各自承担其人员伤亡和其他财产损失及其相关费用；</w:t>
      </w:r>
    </w:p>
    <w:p>
      <w:pPr>
        <w:spacing w:line="500" w:lineRule="exact"/>
        <w:ind w:firstLine="480"/>
        <w:rPr>
          <w:rFonts w:ascii="宋体" w:hAnsi="宋体"/>
          <w:szCs w:val="21"/>
        </w:rPr>
      </w:pPr>
      <w:r>
        <w:rPr>
          <w:rFonts w:hint="eastAsia" w:ascii="宋体" w:hAnsi="宋体" w:cs="仿宋"/>
          <w:szCs w:val="21"/>
        </w:rPr>
        <w:t>（3）不能在代建周期完成代建工作的，甲乙双方应报请代建主管部门同意合理延长工期，不需支付违约金。</w:t>
      </w:r>
    </w:p>
    <w:p>
      <w:pPr>
        <w:snapToGrid w:val="0"/>
        <w:spacing w:line="500" w:lineRule="exact"/>
        <w:ind w:firstLine="480"/>
        <w:rPr>
          <w:rFonts w:ascii="宋体" w:hAnsi="宋体"/>
          <w:szCs w:val="21"/>
        </w:rPr>
      </w:pPr>
      <w:r>
        <w:rPr>
          <w:rFonts w:hint="eastAsia" w:ascii="宋体" w:hAnsi="宋体" w:cs="仿宋"/>
          <w:szCs w:val="21"/>
        </w:rPr>
        <w:t xml:space="preserve">（4）合同一方当事人因不可抗力不能履行合同的，应当及时通知对方解除合同并报告代建主管部门。解除合同产生的损害、损失或延误，双方各负其责。合同解除后28天内，乙方应根据在合同解除前实际完成的工作向甲方提交要求支付尚未支付的代建服务费的有关资料和凭证，甲方应予支付；合同解除前甲方已支付的代建服务费超过应付金额的，超出部分乙方应予退还。同时甲方应及时向乙方返还剩余的履约担保。 </w:t>
      </w:r>
    </w:p>
    <w:p>
      <w:pPr>
        <w:spacing w:line="500" w:lineRule="exact"/>
        <w:ind w:firstLine="480"/>
        <w:rPr>
          <w:rFonts w:ascii="宋体" w:hAnsi="宋体" w:cs="仿宋"/>
          <w:szCs w:val="21"/>
        </w:rPr>
      </w:pPr>
    </w:p>
    <w:p>
      <w:pPr>
        <w:numPr>
          <w:ilvl w:val="0"/>
          <w:numId w:val="12"/>
        </w:numPr>
        <w:spacing w:line="500" w:lineRule="exact"/>
        <w:jc w:val="center"/>
        <w:rPr>
          <w:rFonts w:ascii="宋体" w:hAnsi="宋体"/>
          <w:b/>
          <w:bCs/>
          <w:szCs w:val="21"/>
        </w:rPr>
      </w:pPr>
      <w:r>
        <w:rPr>
          <w:rFonts w:hint="eastAsia" w:ascii="宋体" w:hAnsi="宋体"/>
          <w:b/>
          <w:bCs/>
          <w:szCs w:val="21"/>
        </w:rPr>
        <w:t xml:space="preserve"> 履约担保、违约及赔偿责任与争议解决</w:t>
      </w:r>
    </w:p>
    <w:p>
      <w:pPr>
        <w:pStyle w:val="2"/>
        <w:spacing w:line="500" w:lineRule="exact"/>
        <w:outlineLvl w:val="9"/>
        <w:rPr>
          <w:rFonts w:ascii="宋体" w:hAnsi="宋体"/>
          <w:szCs w:val="21"/>
        </w:rPr>
      </w:pPr>
    </w:p>
    <w:p>
      <w:pPr>
        <w:spacing w:line="500" w:lineRule="exact"/>
        <w:jc w:val="left"/>
        <w:rPr>
          <w:rFonts w:ascii="宋体" w:hAnsi="宋体"/>
          <w:b/>
          <w:bCs/>
          <w:szCs w:val="21"/>
        </w:rPr>
      </w:pPr>
      <w:r>
        <w:rPr>
          <w:rFonts w:hint="eastAsia" w:ascii="宋体" w:hAnsi="宋体" w:cs="仿宋"/>
          <w:b/>
          <w:bCs/>
          <w:szCs w:val="21"/>
        </w:rPr>
        <w:t>第15条  履约担保</w:t>
      </w:r>
    </w:p>
    <w:p>
      <w:pPr>
        <w:tabs>
          <w:tab w:val="left" w:pos="1440"/>
        </w:tabs>
        <w:spacing w:line="500" w:lineRule="exact"/>
        <w:ind w:left="834" w:hanging="834"/>
        <w:rPr>
          <w:rFonts w:ascii="宋体" w:hAnsi="宋体"/>
          <w:b/>
          <w:bCs/>
          <w:szCs w:val="21"/>
        </w:rPr>
      </w:pPr>
      <w:r>
        <w:rPr>
          <w:rFonts w:hint="eastAsia" w:ascii="宋体" w:hAnsi="宋体" w:cs="仿宋"/>
          <w:b/>
          <w:bCs/>
          <w:szCs w:val="21"/>
        </w:rPr>
        <w:t>15.1  履约担保</w:t>
      </w:r>
    </w:p>
    <w:p>
      <w:pPr>
        <w:spacing w:line="500" w:lineRule="exact"/>
        <w:ind w:firstLine="482"/>
        <w:rPr>
          <w:rFonts w:ascii="宋体" w:hAnsi="宋体"/>
          <w:szCs w:val="21"/>
        </w:rPr>
      </w:pPr>
      <w:r>
        <w:rPr>
          <w:rFonts w:hint="eastAsia" w:ascii="宋体" w:hAnsi="宋体" w:cs="仿宋"/>
          <w:b/>
          <w:szCs w:val="21"/>
        </w:rPr>
        <w:t>15.1.1</w:t>
      </w:r>
      <w:r>
        <w:rPr>
          <w:rFonts w:hint="eastAsia" w:ascii="宋体" w:hAnsi="宋体" w:cs="仿宋"/>
          <w:szCs w:val="21"/>
        </w:rPr>
        <w:t xml:space="preserve">  乙方应按照投标时承诺的数额和方式及时提交履约担保，并保证其履约担保在代建范围内工程决算完成前一直有效。如乙方因自身工作原因全部或部分不能履行本合同时，甲方有权根据具体情况没收全部或部分履约担保。乙方未提交履约担保或中途撤回履约担保的，本合同失效，造成的有关损失由乙方承担。</w:t>
      </w:r>
    </w:p>
    <w:p>
      <w:pPr>
        <w:spacing w:line="500" w:lineRule="exact"/>
        <w:ind w:firstLine="482"/>
        <w:rPr>
          <w:rFonts w:ascii="宋体" w:hAnsi="宋体"/>
          <w:szCs w:val="21"/>
        </w:rPr>
      </w:pPr>
      <w:r>
        <w:rPr>
          <w:rFonts w:hint="eastAsia" w:ascii="宋体" w:hAnsi="宋体" w:cs="仿宋"/>
          <w:b/>
          <w:szCs w:val="21"/>
        </w:rPr>
        <w:t>15.1.2</w:t>
      </w:r>
      <w:r>
        <w:rPr>
          <w:rFonts w:hint="eastAsia" w:ascii="宋体" w:hAnsi="宋体" w:cs="仿宋"/>
          <w:szCs w:val="21"/>
        </w:rPr>
        <w:t xml:space="preserve">  如合同发生代建周期延期调整，其中由于甲方原因导致延期的，履约担保相应延期所需增加的费用由甲方承担；由于乙方原因导致延期的，履约担保所需费用均由乙方承担。</w:t>
      </w:r>
    </w:p>
    <w:p>
      <w:pPr>
        <w:spacing w:line="500" w:lineRule="exact"/>
        <w:ind w:firstLine="482"/>
        <w:rPr>
          <w:rFonts w:ascii="宋体" w:hAnsi="宋体"/>
          <w:szCs w:val="21"/>
        </w:rPr>
      </w:pPr>
      <w:r>
        <w:rPr>
          <w:rFonts w:hint="eastAsia" w:ascii="宋体" w:hAnsi="宋体" w:cs="仿宋"/>
          <w:b/>
          <w:szCs w:val="21"/>
        </w:rPr>
        <w:t xml:space="preserve">15.1.3 </w:t>
      </w:r>
      <w:r>
        <w:rPr>
          <w:rFonts w:hint="eastAsia" w:ascii="宋体" w:hAnsi="宋体" w:cs="仿宋"/>
          <w:szCs w:val="21"/>
        </w:rPr>
        <w:t>代建范围内工程决算完成后，如仍有工程在缺陷责任期内的，乙方应按甲方格式要求，以履约担保金额的10%为额度向甲方提交缺陷责任期保函。甲方应在收到缺陷责任期保函7天内将剩余履约担保退还乙方。所有工程缺陷责任期满后14日内，甲方向乙方返还缺陷责任期保函。</w:t>
      </w:r>
    </w:p>
    <w:p>
      <w:pPr>
        <w:spacing w:line="500" w:lineRule="exact"/>
        <w:ind w:firstLine="480"/>
        <w:rPr>
          <w:rFonts w:ascii="宋体" w:hAnsi="宋体" w:cs="仿宋"/>
          <w:szCs w:val="21"/>
        </w:rPr>
      </w:pPr>
    </w:p>
    <w:p>
      <w:pPr>
        <w:spacing w:line="500" w:lineRule="exact"/>
        <w:jc w:val="left"/>
        <w:rPr>
          <w:rFonts w:ascii="宋体" w:hAnsi="宋体"/>
          <w:b/>
          <w:bCs/>
          <w:szCs w:val="21"/>
        </w:rPr>
      </w:pPr>
      <w:r>
        <w:rPr>
          <w:rFonts w:hint="eastAsia" w:ascii="宋体" w:hAnsi="宋体" w:cs="仿宋"/>
          <w:b/>
          <w:bCs/>
          <w:szCs w:val="21"/>
        </w:rPr>
        <w:t>第16条  违约及赔偿责任</w:t>
      </w:r>
    </w:p>
    <w:p>
      <w:pPr>
        <w:tabs>
          <w:tab w:val="left" w:pos="1440"/>
        </w:tabs>
        <w:spacing w:line="500" w:lineRule="exact"/>
        <w:ind w:left="834" w:hanging="834"/>
        <w:rPr>
          <w:rFonts w:ascii="宋体" w:hAnsi="宋体"/>
          <w:b/>
          <w:bCs/>
          <w:szCs w:val="21"/>
        </w:rPr>
      </w:pPr>
      <w:r>
        <w:rPr>
          <w:rFonts w:hint="eastAsia" w:ascii="宋体" w:hAnsi="宋体" w:cs="仿宋"/>
          <w:b/>
          <w:bCs/>
          <w:szCs w:val="21"/>
        </w:rPr>
        <w:t>16．1  甲方违约</w:t>
      </w:r>
    </w:p>
    <w:p>
      <w:pPr>
        <w:spacing w:line="500" w:lineRule="exact"/>
        <w:ind w:firstLine="482"/>
        <w:rPr>
          <w:rFonts w:ascii="宋体" w:hAnsi="宋体"/>
          <w:szCs w:val="21"/>
        </w:rPr>
      </w:pPr>
      <w:r>
        <w:rPr>
          <w:rFonts w:hint="eastAsia" w:ascii="宋体" w:hAnsi="宋体" w:cs="仿宋"/>
          <w:b/>
          <w:szCs w:val="21"/>
        </w:rPr>
        <w:t>16.1.1</w:t>
      </w:r>
      <w:r>
        <w:rPr>
          <w:rFonts w:hint="eastAsia" w:ascii="宋体" w:hAnsi="宋体" w:cs="仿宋"/>
          <w:szCs w:val="21"/>
        </w:rPr>
        <w:t xml:space="preserve">  甲方违约的情形</w:t>
      </w:r>
    </w:p>
    <w:p>
      <w:pPr>
        <w:spacing w:line="500" w:lineRule="exact"/>
        <w:ind w:firstLine="480"/>
        <w:rPr>
          <w:rFonts w:ascii="宋体" w:hAnsi="宋体"/>
          <w:szCs w:val="21"/>
        </w:rPr>
      </w:pPr>
      <w:r>
        <w:rPr>
          <w:rFonts w:hint="eastAsia" w:ascii="宋体" w:hAnsi="宋体" w:cs="仿宋"/>
          <w:szCs w:val="21"/>
        </w:rPr>
        <w:t>在履行合同过程中发生下列情形之一的，属甲方违约：</w:t>
      </w:r>
    </w:p>
    <w:p>
      <w:pPr>
        <w:spacing w:line="500" w:lineRule="exact"/>
        <w:ind w:firstLine="480"/>
        <w:rPr>
          <w:rFonts w:ascii="宋体" w:hAnsi="宋体"/>
          <w:szCs w:val="21"/>
        </w:rPr>
      </w:pPr>
      <w:r>
        <w:rPr>
          <w:rFonts w:hint="eastAsia" w:ascii="宋体" w:hAnsi="宋体" w:cs="仿宋"/>
          <w:szCs w:val="21"/>
        </w:rPr>
        <w:t>（1）甲方建设资金无法落实又未按程序及时调减建设规模或标准并获得批准的；</w:t>
      </w:r>
    </w:p>
    <w:p>
      <w:pPr>
        <w:spacing w:line="500" w:lineRule="exact"/>
        <w:ind w:firstLine="480"/>
        <w:rPr>
          <w:rFonts w:ascii="宋体" w:hAnsi="宋体"/>
          <w:szCs w:val="21"/>
        </w:rPr>
      </w:pPr>
      <w:r>
        <w:rPr>
          <w:rFonts w:hint="eastAsia" w:ascii="宋体" w:hAnsi="宋体" w:cs="仿宋"/>
          <w:szCs w:val="21"/>
        </w:rPr>
        <w:t>（2）甲方未能及时申报资金计划，或未能按专用条款约定向财政申请合同价款支付，或拖延、拒绝按合同约定批准付款申请和支付凭证，导致向乙方或专业单位付款延误的；</w:t>
      </w:r>
    </w:p>
    <w:p>
      <w:pPr>
        <w:spacing w:line="500" w:lineRule="exact"/>
        <w:ind w:firstLine="480"/>
        <w:rPr>
          <w:rFonts w:ascii="宋体" w:hAnsi="宋体"/>
          <w:szCs w:val="21"/>
        </w:rPr>
      </w:pPr>
      <w:r>
        <w:rPr>
          <w:rFonts w:hint="eastAsia" w:ascii="宋体" w:hAnsi="宋体" w:cs="仿宋"/>
          <w:szCs w:val="21"/>
        </w:rPr>
        <w:t>（3）甲方未经乙方同意，自行开展或直接要求专业工作单位开展工程建设、自行调整工程建设内容、建设标准的；</w:t>
      </w:r>
    </w:p>
    <w:p>
      <w:pPr>
        <w:spacing w:line="500" w:lineRule="exact"/>
        <w:ind w:firstLine="480"/>
        <w:rPr>
          <w:rFonts w:ascii="宋体" w:hAnsi="宋体"/>
          <w:szCs w:val="21"/>
        </w:rPr>
      </w:pPr>
      <w:r>
        <w:rPr>
          <w:rFonts w:hint="eastAsia" w:ascii="宋体" w:hAnsi="宋体" w:cs="仿宋"/>
          <w:szCs w:val="21"/>
        </w:rPr>
        <w:t>（4）甲方在设备选型、材料选择时，超过专用条款约定的时限的；</w:t>
      </w:r>
    </w:p>
    <w:p>
      <w:pPr>
        <w:spacing w:line="500" w:lineRule="exact"/>
        <w:ind w:firstLine="480"/>
        <w:rPr>
          <w:rFonts w:ascii="宋体" w:hAnsi="宋体"/>
          <w:szCs w:val="21"/>
        </w:rPr>
      </w:pPr>
      <w:r>
        <w:rPr>
          <w:rFonts w:hint="eastAsia" w:ascii="宋体" w:hAnsi="宋体" w:cs="仿宋"/>
          <w:szCs w:val="21"/>
        </w:rPr>
        <w:t>（5）甲方未在专用条款约定的时限内对乙方提交并要求作出决定的事宜予以书面答复或未按甲方义务及时支持协助乙方办理有关手续导致代建周期延误的；</w:t>
      </w:r>
    </w:p>
    <w:p>
      <w:pPr>
        <w:spacing w:line="500" w:lineRule="exact"/>
        <w:ind w:firstLine="480"/>
        <w:rPr>
          <w:rFonts w:ascii="宋体" w:hAnsi="宋体"/>
          <w:szCs w:val="21"/>
        </w:rPr>
      </w:pPr>
      <w:r>
        <w:rPr>
          <w:rFonts w:hint="eastAsia" w:ascii="宋体" w:hAnsi="宋体" w:cs="仿宋"/>
          <w:szCs w:val="21"/>
        </w:rPr>
        <w:t>（6）甲方未经代建主管部门同意，明确表示不履行或实质上已停止履行合同的；</w:t>
      </w:r>
    </w:p>
    <w:p>
      <w:pPr>
        <w:spacing w:line="500" w:lineRule="exact"/>
        <w:ind w:firstLine="480"/>
        <w:rPr>
          <w:rFonts w:ascii="宋体" w:hAnsi="宋体"/>
          <w:szCs w:val="21"/>
        </w:rPr>
      </w:pPr>
      <w:r>
        <w:rPr>
          <w:rFonts w:hint="eastAsia" w:ascii="宋体" w:hAnsi="宋体" w:cs="仿宋"/>
          <w:szCs w:val="21"/>
        </w:rPr>
        <w:t>（7）具备条件后不按合同约定及时办理项目实体验收并出具实体移交证书的；</w:t>
      </w:r>
    </w:p>
    <w:p>
      <w:pPr>
        <w:spacing w:line="500" w:lineRule="exact"/>
        <w:ind w:firstLine="480"/>
        <w:rPr>
          <w:rFonts w:ascii="宋体" w:hAnsi="宋体"/>
          <w:szCs w:val="21"/>
        </w:rPr>
      </w:pPr>
      <w:r>
        <w:rPr>
          <w:rFonts w:hint="eastAsia" w:ascii="宋体" w:hAnsi="宋体" w:cs="仿宋"/>
          <w:szCs w:val="21"/>
        </w:rPr>
        <w:t>（8）甲方不履行合同其他约定义务的。</w:t>
      </w:r>
    </w:p>
    <w:p>
      <w:pPr>
        <w:tabs>
          <w:tab w:val="left" w:pos="1440"/>
        </w:tabs>
        <w:spacing w:line="500" w:lineRule="exact"/>
        <w:ind w:left="834" w:hanging="834"/>
        <w:rPr>
          <w:rFonts w:ascii="宋体" w:hAnsi="宋体"/>
          <w:b/>
          <w:bCs/>
          <w:szCs w:val="21"/>
        </w:rPr>
      </w:pPr>
      <w:r>
        <w:rPr>
          <w:rFonts w:hint="eastAsia" w:ascii="宋体" w:hAnsi="宋体" w:cs="仿宋"/>
          <w:b/>
          <w:bCs/>
          <w:szCs w:val="21"/>
        </w:rPr>
        <w:t>16.2  乙方违约</w:t>
      </w:r>
    </w:p>
    <w:p>
      <w:pPr>
        <w:spacing w:line="500" w:lineRule="exact"/>
        <w:ind w:firstLine="482"/>
        <w:rPr>
          <w:rFonts w:ascii="宋体" w:hAnsi="宋体"/>
          <w:szCs w:val="21"/>
        </w:rPr>
      </w:pPr>
      <w:r>
        <w:rPr>
          <w:rFonts w:hint="eastAsia" w:ascii="宋体" w:hAnsi="宋体" w:cs="仿宋"/>
          <w:b/>
          <w:szCs w:val="21"/>
        </w:rPr>
        <w:t>16.2.1</w:t>
      </w:r>
      <w:r>
        <w:rPr>
          <w:rFonts w:hint="eastAsia" w:ascii="宋体" w:hAnsi="宋体" w:cs="仿宋"/>
          <w:szCs w:val="21"/>
        </w:rPr>
        <w:t xml:space="preserve">  乙方违约的情形</w:t>
      </w:r>
    </w:p>
    <w:p>
      <w:pPr>
        <w:spacing w:line="500" w:lineRule="exact"/>
        <w:ind w:firstLine="480"/>
        <w:rPr>
          <w:rFonts w:ascii="宋体" w:hAnsi="宋体"/>
          <w:szCs w:val="21"/>
        </w:rPr>
      </w:pPr>
      <w:r>
        <w:rPr>
          <w:rFonts w:hint="eastAsia" w:ascii="宋体" w:hAnsi="宋体" w:cs="仿宋"/>
          <w:szCs w:val="21"/>
        </w:rPr>
        <w:t>在履行合同过程中发生的下列情况之一的，属乙方违约：</w:t>
      </w:r>
    </w:p>
    <w:p>
      <w:pPr>
        <w:spacing w:line="500" w:lineRule="exact"/>
        <w:ind w:firstLine="480"/>
        <w:rPr>
          <w:rFonts w:ascii="宋体" w:hAnsi="宋体"/>
          <w:szCs w:val="21"/>
        </w:rPr>
      </w:pPr>
      <w:r>
        <w:rPr>
          <w:rFonts w:hint="eastAsia" w:ascii="宋体" w:hAnsi="宋体" w:cs="仿宋"/>
          <w:szCs w:val="21"/>
        </w:rPr>
        <w:t>（1）乙方将代建管理服务的任何部分转让或分包；</w:t>
      </w:r>
    </w:p>
    <w:p>
      <w:pPr>
        <w:spacing w:line="500" w:lineRule="exact"/>
        <w:ind w:firstLine="480"/>
        <w:rPr>
          <w:rFonts w:ascii="宋体" w:hAnsi="宋体"/>
          <w:szCs w:val="21"/>
        </w:rPr>
      </w:pPr>
      <w:r>
        <w:rPr>
          <w:rFonts w:hint="eastAsia" w:ascii="宋体" w:hAnsi="宋体" w:cs="仿宋"/>
          <w:szCs w:val="21"/>
        </w:rPr>
        <w:t xml:space="preserve">（2）乙方未按承诺及时配备代建项目管理团队人员，或未按约定程序擅自更换项目管理团队人员，或因乙方人员履职水平过低而只能撤换的； </w:t>
      </w:r>
    </w:p>
    <w:p>
      <w:pPr>
        <w:spacing w:line="500" w:lineRule="exact"/>
        <w:ind w:firstLine="360"/>
        <w:rPr>
          <w:rFonts w:ascii="宋体" w:hAnsi="宋体"/>
          <w:szCs w:val="21"/>
        </w:rPr>
      </w:pPr>
      <w:r>
        <w:rPr>
          <w:rFonts w:hint="eastAsia" w:ascii="宋体" w:hAnsi="宋体" w:cs="仿宋"/>
          <w:szCs w:val="21"/>
        </w:rPr>
        <w:t xml:space="preserve">（3）乙方指令不按政府有效文件确定的建设内容、规模、标准开展项目设计和建设的； </w:t>
      </w:r>
    </w:p>
    <w:p>
      <w:pPr>
        <w:spacing w:line="500" w:lineRule="exact"/>
        <w:ind w:firstLine="360"/>
        <w:rPr>
          <w:rFonts w:ascii="宋体" w:hAnsi="宋体"/>
          <w:szCs w:val="21"/>
        </w:rPr>
      </w:pPr>
      <w:r>
        <w:rPr>
          <w:rFonts w:hint="eastAsia" w:ascii="宋体" w:hAnsi="宋体" w:cs="仿宋"/>
          <w:szCs w:val="21"/>
        </w:rPr>
        <w:t xml:space="preserve">（4）乙方未经代建主管部门同意，明确表示不履行或实质上已停止履行合同的； </w:t>
      </w:r>
    </w:p>
    <w:p>
      <w:pPr>
        <w:spacing w:line="500" w:lineRule="exact"/>
        <w:ind w:firstLine="360"/>
        <w:rPr>
          <w:rFonts w:ascii="宋体" w:hAnsi="宋体"/>
          <w:szCs w:val="21"/>
        </w:rPr>
      </w:pPr>
      <w:r>
        <w:rPr>
          <w:rFonts w:hint="eastAsia" w:ascii="宋体" w:hAnsi="宋体" w:cs="仿宋"/>
          <w:szCs w:val="21"/>
        </w:rPr>
        <w:t xml:space="preserve">（5）乙方在代建过程中的招标、采购、与第三方合同签订履行、代建项目资金财务管理、开工竣工管理、资料文件档案管理等代建管理行为不符合法律法规以及本合同约定的，或代建单位及相关人员因代建事项发生不廉洁行为或损害国家、社会公共利益的； </w:t>
      </w:r>
    </w:p>
    <w:p>
      <w:pPr>
        <w:spacing w:line="500" w:lineRule="exact"/>
        <w:ind w:firstLine="480"/>
        <w:rPr>
          <w:rFonts w:ascii="宋体" w:hAnsi="宋体"/>
          <w:szCs w:val="21"/>
        </w:rPr>
      </w:pPr>
      <w:r>
        <w:rPr>
          <w:rFonts w:hint="eastAsia" w:ascii="宋体" w:hAnsi="宋体" w:cs="仿宋"/>
          <w:szCs w:val="21"/>
        </w:rPr>
        <w:t>（6）因乙方工作失职，未能保质保量及时完成合同约定的工作，造成代建周期延误或出现安全责任事故或工程质量不合格的；</w:t>
      </w:r>
    </w:p>
    <w:p>
      <w:pPr>
        <w:spacing w:line="500" w:lineRule="exact"/>
        <w:ind w:firstLine="480"/>
        <w:rPr>
          <w:rFonts w:ascii="宋体" w:hAnsi="宋体"/>
          <w:szCs w:val="21"/>
        </w:rPr>
      </w:pPr>
      <w:r>
        <w:rPr>
          <w:rFonts w:hint="eastAsia" w:ascii="宋体" w:hAnsi="宋体" w:cs="仿宋"/>
          <w:szCs w:val="21"/>
        </w:rPr>
        <w:t>（7）乙方在实体移交证书颁发前、各单位工程缺陷责任期和保修期内，未采取措施及时做好缺陷修复的；或在实体移交证书颁发后、单位工程缺陷责任期内，乙方未应甲方要求组织做好缺陷修复工作的。</w:t>
      </w:r>
    </w:p>
    <w:p>
      <w:pPr>
        <w:spacing w:line="500" w:lineRule="exact"/>
        <w:ind w:firstLine="480"/>
        <w:rPr>
          <w:rFonts w:ascii="宋体" w:hAnsi="宋体"/>
          <w:szCs w:val="21"/>
        </w:rPr>
      </w:pPr>
      <w:r>
        <w:rPr>
          <w:rFonts w:hint="eastAsia" w:ascii="宋体" w:hAnsi="宋体" w:cs="仿宋"/>
          <w:szCs w:val="21"/>
        </w:rPr>
        <w:t>（8）代建范围内的项目决算投资突破经批准的概算的；</w:t>
      </w:r>
    </w:p>
    <w:p>
      <w:pPr>
        <w:spacing w:line="500" w:lineRule="exact"/>
        <w:ind w:firstLine="480"/>
        <w:rPr>
          <w:rFonts w:ascii="宋体" w:hAnsi="宋体"/>
          <w:szCs w:val="21"/>
        </w:rPr>
      </w:pPr>
      <w:r>
        <w:rPr>
          <w:rFonts w:hint="eastAsia" w:ascii="宋体" w:hAnsi="宋体" w:cs="仿宋"/>
          <w:szCs w:val="21"/>
        </w:rPr>
        <w:t>（9）乙方不履行合同其他约定义务的情况。</w:t>
      </w:r>
    </w:p>
    <w:p>
      <w:pPr>
        <w:tabs>
          <w:tab w:val="left" w:pos="1440"/>
        </w:tabs>
        <w:spacing w:line="500" w:lineRule="exact"/>
        <w:ind w:left="834" w:hanging="834"/>
        <w:rPr>
          <w:rFonts w:ascii="宋体" w:hAnsi="宋体"/>
          <w:b/>
          <w:bCs/>
          <w:szCs w:val="21"/>
        </w:rPr>
      </w:pPr>
      <w:r>
        <w:rPr>
          <w:rFonts w:hint="eastAsia" w:ascii="宋体" w:hAnsi="宋体" w:cs="仿宋"/>
          <w:b/>
          <w:bCs/>
          <w:szCs w:val="21"/>
        </w:rPr>
        <w:t>16.3  违约处理与赔偿责任</w:t>
      </w:r>
    </w:p>
    <w:p>
      <w:pPr>
        <w:pStyle w:val="39"/>
        <w:tabs>
          <w:tab w:val="left" w:pos="360"/>
        </w:tabs>
        <w:spacing w:line="500" w:lineRule="exact"/>
        <w:ind w:firstLine="482"/>
        <w:rPr>
          <w:bCs/>
          <w:sz w:val="21"/>
          <w:szCs w:val="21"/>
        </w:rPr>
      </w:pPr>
      <w:r>
        <w:rPr>
          <w:rFonts w:hint="eastAsia" w:cs="仿宋"/>
          <w:bCs/>
          <w:sz w:val="21"/>
          <w:szCs w:val="21"/>
        </w:rPr>
        <w:t>16.3.1  甲方的违约处理与赔偿责任</w:t>
      </w:r>
    </w:p>
    <w:p>
      <w:pPr>
        <w:numPr>
          <w:ilvl w:val="0"/>
          <w:numId w:val="13"/>
        </w:numPr>
        <w:spacing w:line="500" w:lineRule="exact"/>
        <w:ind w:firstLine="480"/>
        <w:rPr>
          <w:rFonts w:ascii="宋体" w:hAnsi="宋体"/>
          <w:szCs w:val="21"/>
        </w:rPr>
      </w:pPr>
      <w:r>
        <w:rPr>
          <w:rFonts w:hint="eastAsia" w:ascii="宋体" w:hAnsi="宋体" w:cs="仿宋"/>
          <w:bCs/>
          <w:szCs w:val="21"/>
        </w:rPr>
        <w:t>因甲方违约而导致乙方代建周期延误的，每超过一</w:t>
      </w:r>
      <w:r>
        <w:rPr>
          <w:rFonts w:hint="eastAsia" w:ascii="宋体" w:hAnsi="宋体" w:cs="仿宋"/>
          <w:szCs w:val="21"/>
        </w:rPr>
        <w:t>天，甲方应支付违约补偿金，金额按工期提前奖励对等确定。</w:t>
      </w:r>
    </w:p>
    <w:p>
      <w:pPr>
        <w:snapToGrid w:val="0"/>
        <w:spacing w:line="500" w:lineRule="exact"/>
        <w:ind w:firstLine="480"/>
        <w:rPr>
          <w:rFonts w:ascii="宋体" w:hAnsi="宋体"/>
          <w:szCs w:val="21"/>
        </w:rPr>
      </w:pPr>
      <w:r>
        <w:rPr>
          <w:rFonts w:hint="eastAsia" w:ascii="宋体" w:hAnsi="宋体" w:cs="仿宋"/>
          <w:szCs w:val="21"/>
        </w:rPr>
        <w:t>（2）出现16.1.1（6）项情形时，乙方有权向代建主管部门书面申请解除合同。出现其他情形，乙方可书面要求甲方纠正或报请代建主管部门协调。经代建主管部门协调后28天内不予纠正或无法纠正，乙方可向甲方发出解除合同通知。本项中乙方解除合同后28天内，乙方根据在合同解除前实际完成的工作向甲方提交要求支付尚未支付的代建服务费的有关资料和凭证，甲方应予支付，甲方还应同时向乙方返还剩余的履约担保；合同解除前甲方已支付的代建服务费超过应付金额的，超出部分乙方应予退还。</w:t>
      </w:r>
    </w:p>
    <w:p>
      <w:pPr>
        <w:spacing w:line="500" w:lineRule="exact"/>
        <w:ind w:firstLine="480"/>
        <w:rPr>
          <w:rFonts w:ascii="宋体" w:hAnsi="宋体"/>
          <w:szCs w:val="21"/>
        </w:rPr>
      </w:pPr>
      <w:r>
        <w:rPr>
          <w:rFonts w:hint="eastAsia" w:ascii="宋体" w:hAnsi="宋体" w:cs="仿宋"/>
          <w:szCs w:val="21"/>
        </w:rPr>
        <w:t xml:space="preserve">（3）在具备合同约定的实体移交验收条件，乙方向甲方递交工程实体移交申请报告后30天内，甲方拒不组织移交验收的，需从乙方递交报告后的第31天起至甲方开始组织实体移交验收止，按天补偿乙方延期维护和照管投入人员的人工工资费用。 </w:t>
      </w:r>
    </w:p>
    <w:p>
      <w:pPr>
        <w:spacing w:line="500" w:lineRule="exact"/>
        <w:ind w:firstLine="480"/>
        <w:rPr>
          <w:rFonts w:ascii="宋体" w:hAnsi="宋体"/>
          <w:szCs w:val="21"/>
        </w:rPr>
      </w:pPr>
      <w:r>
        <w:rPr>
          <w:rFonts w:hint="eastAsia" w:ascii="宋体" w:hAnsi="宋体" w:cs="仿宋"/>
          <w:szCs w:val="21"/>
        </w:rPr>
        <w:t>（4）因甲方违约导致乙方和第三方经济损失的，甲方在支付上述补偿费用时，还应同时赔偿乙方和第三方相应的直接经济损失。</w:t>
      </w:r>
    </w:p>
    <w:p>
      <w:pPr>
        <w:pStyle w:val="39"/>
        <w:tabs>
          <w:tab w:val="left" w:pos="360"/>
        </w:tabs>
        <w:spacing w:line="500" w:lineRule="exact"/>
        <w:ind w:firstLine="482"/>
        <w:rPr>
          <w:bCs/>
          <w:sz w:val="21"/>
          <w:szCs w:val="21"/>
        </w:rPr>
      </w:pPr>
      <w:r>
        <w:rPr>
          <w:rFonts w:hint="eastAsia" w:cs="仿宋"/>
          <w:bCs/>
          <w:sz w:val="21"/>
          <w:szCs w:val="21"/>
        </w:rPr>
        <w:t>16.3.2  乙方的违约处理与赔偿责任</w:t>
      </w:r>
    </w:p>
    <w:p>
      <w:pPr>
        <w:pStyle w:val="39"/>
        <w:tabs>
          <w:tab w:val="left" w:pos="360"/>
        </w:tabs>
        <w:spacing w:line="500" w:lineRule="exact"/>
        <w:ind w:firstLine="480"/>
        <w:jc w:val="both"/>
        <w:rPr>
          <w:sz w:val="21"/>
          <w:szCs w:val="21"/>
        </w:rPr>
      </w:pPr>
      <w:r>
        <w:rPr>
          <w:rFonts w:hint="eastAsia" w:cs="仿宋"/>
          <w:bCs/>
          <w:sz w:val="21"/>
          <w:szCs w:val="21"/>
        </w:rPr>
        <w:t>（1）出现16.2.1（1）、（3）违约情形</w:t>
      </w:r>
      <w:r>
        <w:rPr>
          <w:rFonts w:hint="eastAsia" w:cs="仿宋"/>
          <w:sz w:val="21"/>
          <w:szCs w:val="21"/>
        </w:rPr>
        <w:t>的，甲方可根据实际情况报请代建主管部门核实后解除代建合同并没收剩余履约担保，或者书面要求乙方3日内改正到位并报请代建主管部门督促乙方整改，如按期改正到位，按专用条款罚收乙方违约金，整改不力的，解除代建合同并没收剩余履约担保。出现16.2.1（2）违约情形的，甲方可书面要求乙方3日内改正到位并报请代建主管部门督促乙方整改，整改不力的，解除代建合同并没收剩余履约担保。</w:t>
      </w:r>
    </w:p>
    <w:p>
      <w:pPr>
        <w:pStyle w:val="39"/>
        <w:tabs>
          <w:tab w:val="left" w:pos="360"/>
        </w:tabs>
        <w:spacing w:line="500" w:lineRule="exact"/>
        <w:ind w:firstLine="480"/>
        <w:jc w:val="both"/>
        <w:rPr>
          <w:sz w:val="21"/>
          <w:szCs w:val="21"/>
        </w:rPr>
      </w:pPr>
      <w:r>
        <w:rPr>
          <w:rFonts w:hint="eastAsia" w:cs="仿宋"/>
          <w:sz w:val="21"/>
          <w:szCs w:val="21"/>
        </w:rPr>
        <w:t>（2）出现16.2.1（4）情形或乙方在代建管理中严重违法违纪被追究刑事责任、被责令停业、被吊销许可证或执照的或乙方在代建周期内相关招标采购活动中派人担任评委的，甲方报告代建主管部门后解除代建合同并没收乙方剩余履约担保。</w:t>
      </w:r>
    </w:p>
    <w:p>
      <w:pPr>
        <w:pStyle w:val="39"/>
        <w:tabs>
          <w:tab w:val="left" w:pos="360"/>
        </w:tabs>
        <w:spacing w:line="500" w:lineRule="exact"/>
        <w:ind w:firstLine="480"/>
        <w:jc w:val="both"/>
        <w:rPr>
          <w:sz w:val="21"/>
          <w:szCs w:val="21"/>
        </w:rPr>
      </w:pPr>
      <w:r>
        <w:rPr>
          <w:rFonts w:hint="eastAsia" w:cs="仿宋"/>
          <w:sz w:val="21"/>
          <w:szCs w:val="21"/>
        </w:rPr>
        <w:t>（3）乙方与第三方串通在代建过程中牟取不当利益或损害甲方利益、国家利益的，甲方应报告代建主管部门核实后解除代建合同、乙方剩余的履约担保不予退还。情节严重的，依法追究法律责任。</w:t>
      </w:r>
    </w:p>
    <w:p>
      <w:pPr>
        <w:pStyle w:val="39"/>
        <w:tabs>
          <w:tab w:val="left" w:pos="360"/>
        </w:tabs>
        <w:spacing w:line="500" w:lineRule="exact"/>
        <w:ind w:firstLine="480"/>
        <w:jc w:val="both"/>
        <w:rPr>
          <w:sz w:val="21"/>
          <w:szCs w:val="21"/>
        </w:rPr>
      </w:pPr>
      <w:r>
        <w:rPr>
          <w:rFonts w:hint="eastAsia" w:cs="仿宋"/>
          <w:sz w:val="21"/>
          <w:szCs w:val="21"/>
        </w:rPr>
        <w:t>（4）乙方违约致使项目投资增加或甲方经济损失的，所增加的项目投资额和造成的甲方直接经济损失从代建单位的履约担保中赔偿；履约担保不足的，扣减对应合同费用；扣减对应合同费用仍不足的，代建单位从自有资金中赔偿。</w:t>
      </w:r>
    </w:p>
    <w:p>
      <w:pPr>
        <w:pStyle w:val="39"/>
        <w:tabs>
          <w:tab w:val="left" w:pos="360"/>
        </w:tabs>
        <w:spacing w:line="500" w:lineRule="exact"/>
        <w:ind w:firstLine="480"/>
        <w:jc w:val="both"/>
        <w:rPr>
          <w:sz w:val="21"/>
          <w:szCs w:val="21"/>
        </w:rPr>
      </w:pPr>
      <w:r>
        <w:rPr>
          <w:rFonts w:hint="eastAsia" w:cs="仿宋"/>
          <w:sz w:val="21"/>
          <w:szCs w:val="21"/>
        </w:rPr>
        <w:t>（5）乙方违约导致代建周期延长，项目未能按合同约定的代建项目建设工期竣工时，乙方按合同专用条款约定的数额向甲方支付工期延误赔偿，金额按工期提前奖励对等确定。</w:t>
      </w:r>
    </w:p>
    <w:p>
      <w:pPr>
        <w:pStyle w:val="39"/>
        <w:tabs>
          <w:tab w:val="left" w:pos="360"/>
        </w:tabs>
        <w:spacing w:line="500" w:lineRule="exact"/>
        <w:ind w:firstLine="480"/>
        <w:jc w:val="both"/>
        <w:rPr>
          <w:sz w:val="21"/>
          <w:szCs w:val="21"/>
        </w:rPr>
      </w:pPr>
      <w:r>
        <w:rPr>
          <w:rFonts w:hint="eastAsia" w:cs="仿宋"/>
          <w:sz w:val="21"/>
          <w:szCs w:val="21"/>
        </w:rPr>
        <w:t>（6）代建项目建设发生质量、安全事故乙方被认定承担责任时，乙方应按合同专用条款约定的数额向甲方支付赔偿金。因乙方责任发生较大以上安全责任事故的，甲方还可报告代建主管部门后解除代建合同。</w:t>
      </w:r>
    </w:p>
    <w:p>
      <w:pPr>
        <w:pStyle w:val="39"/>
        <w:tabs>
          <w:tab w:val="left" w:pos="360"/>
        </w:tabs>
        <w:spacing w:line="500" w:lineRule="exact"/>
        <w:ind w:firstLine="480"/>
        <w:jc w:val="both"/>
        <w:rPr>
          <w:sz w:val="21"/>
          <w:szCs w:val="21"/>
        </w:rPr>
      </w:pPr>
      <w:r>
        <w:rPr>
          <w:rFonts w:hint="eastAsia" w:cs="仿宋"/>
          <w:sz w:val="21"/>
          <w:szCs w:val="21"/>
        </w:rPr>
        <w:t xml:space="preserve">（7）缺陷责任期内，乙方拒不履行缺陷修复有关义务的，按专用条款约定缴纳违约金。 </w:t>
      </w:r>
    </w:p>
    <w:p>
      <w:pPr>
        <w:pStyle w:val="39"/>
        <w:tabs>
          <w:tab w:val="left" w:pos="360"/>
        </w:tabs>
        <w:spacing w:line="500" w:lineRule="exact"/>
        <w:ind w:firstLine="480"/>
        <w:jc w:val="both"/>
        <w:rPr>
          <w:sz w:val="21"/>
          <w:szCs w:val="21"/>
        </w:rPr>
      </w:pPr>
      <w:r>
        <w:rPr>
          <w:rFonts w:hint="eastAsia" w:cs="仿宋"/>
          <w:sz w:val="21"/>
          <w:szCs w:val="21"/>
        </w:rPr>
        <w:t>（8）乙方违约金累计超过履约担保金额时，甲方可向代建主管部门报告后解除合同并要求乙方赔偿由此引起的损失。</w:t>
      </w:r>
    </w:p>
    <w:p>
      <w:pPr>
        <w:pStyle w:val="39"/>
        <w:tabs>
          <w:tab w:val="left" w:pos="360"/>
        </w:tabs>
        <w:spacing w:line="500" w:lineRule="exact"/>
        <w:ind w:firstLine="482"/>
        <w:rPr>
          <w:bCs/>
          <w:sz w:val="21"/>
          <w:szCs w:val="21"/>
        </w:rPr>
      </w:pPr>
      <w:r>
        <w:rPr>
          <w:rFonts w:hint="eastAsia" w:cs="仿宋"/>
          <w:bCs/>
          <w:sz w:val="21"/>
          <w:szCs w:val="21"/>
        </w:rPr>
        <w:t>16.3.3第三人造成的违约</w:t>
      </w:r>
    </w:p>
    <w:p>
      <w:pPr>
        <w:snapToGrid w:val="0"/>
        <w:spacing w:line="500" w:lineRule="exact"/>
        <w:ind w:firstLine="480"/>
        <w:rPr>
          <w:rFonts w:ascii="宋体" w:hAnsi="宋体"/>
          <w:szCs w:val="21"/>
        </w:rPr>
      </w:pPr>
      <w:r>
        <w:rPr>
          <w:rFonts w:hint="eastAsia" w:ascii="宋体" w:hAnsi="宋体" w:cs="仿宋"/>
          <w:szCs w:val="21"/>
        </w:rPr>
        <w:t>在履行合同过程中，一方当事人因第三人的原因造成违约的，应当向对方当事人承担违约责任。一方当事人和第三人之间的纠纷，依照法律规定或者按照约定解决。</w:t>
      </w:r>
    </w:p>
    <w:p>
      <w:pPr>
        <w:spacing w:line="500" w:lineRule="exact"/>
        <w:ind w:hanging="420"/>
        <w:rPr>
          <w:rFonts w:ascii="宋体" w:hAnsi="宋体" w:cs="仿宋"/>
          <w:szCs w:val="21"/>
        </w:rPr>
      </w:pPr>
    </w:p>
    <w:p>
      <w:pPr>
        <w:spacing w:line="500" w:lineRule="exact"/>
        <w:jc w:val="left"/>
        <w:rPr>
          <w:rFonts w:ascii="宋体" w:hAnsi="宋体"/>
          <w:b/>
          <w:bCs/>
          <w:szCs w:val="21"/>
        </w:rPr>
      </w:pPr>
      <w:r>
        <w:rPr>
          <w:rFonts w:hint="eastAsia" w:ascii="宋体" w:hAnsi="宋体" w:cs="仿宋"/>
          <w:b/>
          <w:bCs/>
          <w:szCs w:val="21"/>
        </w:rPr>
        <w:t>第17条  争议的解决</w:t>
      </w:r>
    </w:p>
    <w:p>
      <w:pPr>
        <w:tabs>
          <w:tab w:val="left" w:pos="1440"/>
        </w:tabs>
        <w:spacing w:line="500" w:lineRule="exact"/>
        <w:ind w:left="834" w:hanging="834"/>
        <w:rPr>
          <w:rFonts w:ascii="宋体" w:hAnsi="宋体"/>
          <w:b/>
          <w:bCs/>
          <w:szCs w:val="21"/>
        </w:rPr>
      </w:pPr>
      <w:r>
        <w:rPr>
          <w:rFonts w:hint="eastAsia" w:ascii="宋体" w:hAnsi="宋体" w:cs="仿宋"/>
          <w:b/>
          <w:bCs/>
          <w:szCs w:val="21"/>
        </w:rPr>
        <w:t>17.1  争议的解决</w:t>
      </w:r>
    </w:p>
    <w:p>
      <w:pPr>
        <w:spacing w:line="500" w:lineRule="exact"/>
        <w:ind w:firstLine="480"/>
        <w:rPr>
          <w:rFonts w:ascii="宋体" w:hAnsi="宋体"/>
          <w:szCs w:val="21"/>
        </w:rPr>
      </w:pPr>
      <w:r>
        <w:rPr>
          <w:rFonts w:hint="eastAsia" w:ascii="宋体" w:hAnsi="宋体" w:cs="仿宋"/>
          <w:szCs w:val="21"/>
        </w:rPr>
        <w:t>甲方和乙方在履行合同中发生争议的，应优先友好协商解决。不能协商一致的，提请代建主管部门协调解决。不接受代建主管部门协调决定的，可向项目所在地的人民法院提起诉讼。</w:t>
      </w:r>
    </w:p>
    <w:p>
      <w:pPr>
        <w:spacing w:line="500" w:lineRule="exact"/>
        <w:ind w:firstLine="480"/>
        <w:rPr>
          <w:rFonts w:ascii="宋体" w:hAnsi="宋体" w:cs="仿宋"/>
          <w:szCs w:val="21"/>
        </w:rPr>
      </w:pPr>
    </w:p>
    <w:p>
      <w:pPr>
        <w:numPr>
          <w:ilvl w:val="0"/>
          <w:numId w:val="12"/>
        </w:numPr>
        <w:spacing w:line="500" w:lineRule="exact"/>
        <w:jc w:val="center"/>
        <w:rPr>
          <w:rFonts w:ascii="宋体" w:hAnsi="宋体"/>
          <w:b/>
          <w:bCs/>
          <w:szCs w:val="21"/>
        </w:rPr>
      </w:pPr>
      <w:r>
        <w:rPr>
          <w:rFonts w:hint="eastAsia" w:ascii="宋体" w:hAnsi="宋体"/>
          <w:b/>
          <w:bCs/>
          <w:szCs w:val="21"/>
        </w:rPr>
        <w:t xml:space="preserve"> 奖励</w:t>
      </w:r>
    </w:p>
    <w:p>
      <w:pPr>
        <w:pStyle w:val="2"/>
        <w:spacing w:line="500" w:lineRule="exact"/>
        <w:outlineLvl w:val="9"/>
        <w:rPr>
          <w:rFonts w:ascii="宋体" w:hAnsi="宋体"/>
          <w:szCs w:val="21"/>
        </w:rPr>
      </w:pPr>
    </w:p>
    <w:p>
      <w:pPr>
        <w:tabs>
          <w:tab w:val="left" w:pos="1440"/>
        </w:tabs>
        <w:spacing w:line="500" w:lineRule="exact"/>
        <w:jc w:val="left"/>
        <w:rPr>
          <w:rFonts w:ascii="宋体" w:hAnsi="宋体"/>
          <w:b/>
          <w:bCs/>
          <w:szCs w:val="21"/>
        </w:rPr>
      </w:pPr>
      <w:r>
        <w:rPr>
          <w:rFonts w:hint="eastAsia" w:ascii="宋体" w:hAnsi="宋体" w:cs="仿宋"/>
          <w:b/>
          <w:bCs/>
          <w:szCs w:val="21"/>
        </w:rPr>
        <w:t>第18条  奖励</w:t>
      </w:r>
    </w:p>
    <w:p>
      <w:pPr>
        <w:spacing w:line="500" w:lineRule="exact"/>
        <w:rPr>
          <w:rFonts w:ascii="宋体" w:hAnsi="宋体"/>
          <w:b/>
          <w:szCs w:val="21"/>
        </w:rPr>
      </w:pPr>
      <w:r>
        <w:rPr>
          <w:rFonts w:hint="eastAsia" w:ascii="宋体" w:hAnsi="宋体" w:cs="仿宋"/>
          <w:b/>
          <w:szCs w:val="21"/>
        </w:rPr>
        <w:t xml:space="preserve">18.1 </w:t>
      </w:r>
      <w:r>
        <w:rPr>
          <w:rFonts w:hint="eastAsia" w:ascii="宋体" w:hAnsi="宋体" w:cs="仿宋"/>
          <w:b w:val="0"/>
          <w:bCs/>
          <w:szCs w:val="21"/>
        </w:rPr>
        <w:t>乙方全面、切实履行合同义务，在满足项目功能要求、规模标准及结构安全的前提下，充分运用专业管理经验，在项目竣工财务决算审核批准后，其合同约定的代建范围内决算总投资比批准的对应投资概算有节余的，报代建主管部门及财政部门核定后按照合同专用条款对乙方进行奖励。</w:t>
      </w:r>
    </w:p>
    <w:p>
      <w:pPr>
        <w:spacing w:line="500" w:lineRule="exact"/>
        <w:rPr>
          <w:rFonts w:ascii="宋体" w:hAnsi="宋体"/>
          <w:b w:val="0"/>
          <w:bCs/>
          <w:szCs w:val="21"/>
        </w:rPr>
      </w:pPr>
      <w:r>
        <w:rPr>
          <w:rFonts w:hint="eastAsia" w:ascii="宋体" w:hAnsi="宋体" w:cs="仿宋"/>
          <w:b/>
          <w:szCs w:val="21"/>
        </w:rPr>
        <w:t xml:space="preserve">18.2  </w:t>
      </w:r>
      <w:r>
        <w:rPr>
          <w:rFonts w:hint="eastAsia" w:ascii="宋体" w:hAnsi="宋体" w:cs="仿宋"/>
          <w:b w:val="0"/>
          <w:bCs/>
          <w:szCs w:val="21"/>
        </w:rPr>
        <w:t>若本项目获得国家级或省级工程质量奖项的，由甲方按照合同专用条款对乙方进行奖励。获得多个奖项时只给予奖金最高的一项奖励。</w:t>
      </w:r>
    </w:p>
    <w:p>
      <w:pPr>
        <w:spacing w:line="500" w:lineRule="exact"/>
        <w:rPr>
          <w:rFonts w:ascii="宋体" w:hAnsi="宋体"/>
          <w:b w:val="0"/>
          <w:bCs/>
          <w:szCs w:val="21"/>
        </w:rPr>
      </w:pPr>
      <w:r>
        <w:rPr>
          <w:rFonts w:hint="eastAsia" w:ascii="宋体" w:hAnsi="宋体" w:cs="仿宋"/>
          <w:b/>
          <w:szCs w:val="21"/>
        </w:rPr>
        <w:t xml:space="preserve">18.3  </w:t>
      </w:r>
      <w:r>
        <w:rPr>
          <w:rFonts w:hint="eastAsia" w:ascii="宋体" w:hAnsi="宋体" w:cs="仿宋"/>
          <w:b w:val="0"/>
          <w:bCs/>
          <w:szCs w:val="21"/>
        </w:rPr>
        <w:t>因乙方科学管理使得代建项目施工工期提前的，由甲方给予乙方奖励。具体奖励金额以合同专用条款的规定为准。因工程延期签订了工期延期合同，已获得工期补偿的，不再计取工期提前奖励。</w:t>
      </w:r>
    </w:p>
    <w:p>
      <w:pPr>
        <w:spacing w:line="500" w:lineRule="exact"/>
        <w:rPr>
          <w:rFonts w:ascii="宋体" w:hAnsi="宋体"/>
          <w:b/>
          <w:szCs w:val="21"/>
        </w:rPr>
      </w:pPr>
      <w:r>
        <w:rPr>
          <w:rFonts w:hint="eastAsia" w:ascii="宋体" w:hAnsi="宋体" w:cs="仿宋"/>
          <w:b/>
          <w:szCs w:val="21"/>
        </w:rPr>
        <w:t xml:space="preserve">18.4 </w:t>
      </w:r>
      <w:r>
        <w:rPr>
          <w:rFonts w:hint="eastAsia" w:ascii="宋体" w:hAnsi="宋体" w:cs="仿宋"/>
          <w:b w:val="0"/>
          <w:bCs/>
          <w:szCs w:val="21"/>
        </w:rPr>
        <w:t xml:space="preserve"> 按16.3.1(1)、16.3.1（3）和18.2、18.3给予乙方的奖励与违约补偿，合计不超过代建服务费的10%。</w:t>
      </w:r>
    </w:p>
    <w:p>
      <w:pPr>
        <w:spacing w:line="500" w:lineRule="exact"/>
        <w:ind w:hanging="420"/>
        <w:rPr>
          <w:rFonts w:ascii="宋体" w:hAnsi="宋体" w:cs="仿宋"/>
          <w:b/>
          <w:szCs w:val="21"/>
        </w:rPr>
      </w:pPr>
    </w:p>
    <w:p>
      <w:pPr>
        <w:numPr>
          <w:ilvl w:val="0"/>
          <w:numId w:val="12"/>
        </w:numPr>
        <w:spacing w:line="500" w:lineRule="exact"/>
        <w:jc w:val="center"/>
        <w:rPr>
          <w:rFonts w:ascii="宋体" w:hAnsi="宋体"/>
          <w:b/>
          <w:bCs/>
          <w:szCs w:val="21"/>
        </w:rPr>
      </w:pPr>
      <w:r>
        <w:rPr>
          <w:rFonts w:hint="eastAsia" w:ascii="宋体" w:hAnsi="宋体"/>
          <w:b/>
          <w:bCs/>
          <w:szCs w:val="21"/>
        </w:rPr>
        <w:t xml:space="preserve"> 合同的生效、变更、终止与补充</w:t>
      </w:r>
    </w:p>
    <w:p>
      <w:pPr>
        <w:pStyle w:val="2"/>
        <w:spacing w:line="500" w:lineRule="exact"/>
        <w:outlineLvl w:val="9"/>
        <w:rPr>
          <w:rFonts w:ascii="宋体" w:hAnsi="宋体"/>
          <w:szCs w:val="21"/>
        </w:rPr>
      </w:pPr>
    </w:p>
    <w:p>
      <w:pPr>
        <w:spacing w:line="500" w:lineRule="exact"/>
        <w:jc w:val="left"/>
        <w:rPr>
          <w:rFonts w:ascii="宋体" w:hAnsi="宋体"/>
          <w:b/>
          <w:bCs/>
          <w:szCs w:val="21"/>
        </w:rPr>
      </w:pPr>
      <w:r>
        <w:rPr>
          <w:rFonts w:hint="eastAsia" w:ascii="宋体" w:hAnsi="宋体" w:cs="仿宋"/>
          <w:b/>
          <w:bCs/>
          <w:szCs w:val="21"/>
        </w:rPr>
        <w:t>第19条 合同的生效、变更与终止</w:t>
      </w:r>
    </w:p>
    <w:p>
      <w:pPr>
        <w:tabs>
          <w:tab w:val="left" w:pos="1440"/>
        </w:tabs>
        <w:spacing w:line="500" w:lineRule="exact"/>
        <w:ind w:left="834" w:hanging="834"/>
        <w:rPr>
          <w:rFonts w:ascii="宋体" w:hAnsi="宋体"/>
          <w:b/>
          <w:bCs/>
          <w:szCs w:val="21"/>
        </w:rPr>
      </w:pPr>
      <w:r>
        <w:rPr>
          <w:rFonts w:hint="eastAsia" w:ascii="宋体" w:hAnsi="宋体" w:cs="仿宋"/>
          <w:b/>
          <w:bCs/>
          <w:szCs w:val="21"/>
        </w:rPr>
        <w:t>19.1  合同生效与终止</w:t>
      </w:r>
    </w:p>
    <w:p>
      <w:pPr>
        <w:spacing w:line="500" w:lineRule="exact"/>
        <w:ind w:firstLine="480"/>
        <w:jc w:val="left"/>
        <w:rPr>
          <w:rFonts w:ascii="宋体" w:hAnsi="宋体"/>
          <w:szCs w:val="21"/>
        </w:rPr>
      </w:pPr>
      <w:r>
        <w:rPr>
          <w:rFonts w:hint="eastAsia" w:ascii="宋体" w:hAnsi="宋体" w:cs="仿宋"/>
          <w:szCs w:val="21"/>
        </w:rPr>
        <w:t>合同从双方签订之日起生效，至双方按照合同约定履行完各自的义务和责任后自然失效。</w:t>
      </w:r>
    </w:p>
    <w:p>
      <w:pPr>
        <w:tabs>
          <w:tab w:val="left" w:pos="1440"/>
        </w:tabs>
        <w:spacing w:line="500" w:lineRule="exact"/>
        <w:ind w:left="834" w:hanging="834"/>
        <w:rPr>
          <w:rFonts w:ascii="宋体" w:hAnsi="宋体"/>
          <w:b/>
          <w:bCs/>
          <w:szCs w:val="21"/>
        </w:rPr>
      </w:pPr>
      <w:r>
        <w:rPr>
          <w:rFonts w:hint="eastAsia" w:ascii="宋体" w:hAnsi="宋体" w:cs="仿宋"/>
          <w:b/>
          <w:bCs/>
          <w:szCs w:val="21"/>
        </w:rPr>
        <w:t>19.2  合同变更</w:t>
      </w:r>
    </w:p>
    <w:p>
      <w:pPr>
        <w:snapToGrid w:val="0"/>
        <w:spacing w:line="500" w:lineRule="exact"/>
        <w:ind w:firstLine="480"/>
        <w:jc w:val="left"/>
        <w:rPr>
          <w:rFonts w:ascii="宋体" w:hAnsi="宋体"/>
          <w:szCs w:val="21"/>
        </w:rPr>
      </w:pPr>
      <w:r>
        <w:rPr>
          <w:rFonts w:hint="eastAsia" w:ascii="宋体" w:hAnsi="宋体" w:cs="仿宋"/>
          <w:szCs w:val="21"/>
        </w:rPr>
        <w:t>出现超出本合同协议书规定的情况或不可抗力出现或合同约定可调整的情况或未约定而又必须新增的代建管理工作，任何一方提出、双方书面同意并报代建主管部门备案后，可以补充协议的方式对本合同进行变更。</w:t>
      </w:r>
    </w:p>
    <w:p>
      <w:pPr>
        <w:snapToGrid w:val="0"/>
        <w:spacing w:line="500" w:lineRule="exact"/>
        <w:jc w:val="left"/>
        <w:rPr>
          <w:rFonts w:ascii="宋体" w:hAnsi="宋体"/>
          <w:szCs w:val="21"/>
        </w:rPr>
      </w:pPr>
      <w:r>
        <w:rPr>
          <w:rFonts w:hint="eastAsia" w:ascii="宋体" w:hAnsi="宋体" w:cs="仿宋"/>
          <w:b/>
          <w:szCs w:val="21"/>
        </w:rPr>
        <w:t>19.3  补充条款</w:t>
      </w:r>
    </w:p>
    <w:p>
      <w:pPr>
        <w:snapToGrid w:val="0"/>
        <w:spacing w:line="500" w:lineRule="exact"/>
        <w:ind w:firstLine="360"/>
        <w:jc w:val="left"/>
        <w:rPr>
          <w:rFonts w:ascii="宋体" w:hAnsi="宋体" w:cs="宋体"/>
          <w:szCs w:val="21"/>
        </w:rPr>
      </w:pPr>
      <w:r>
        <w:rPr>
          <w:rFonts w:hint="eastAsia" w:ascii="宋体" w:hAnsi="宋体" w:cs="仿宋"/>
          <w:szCs w:val="21"/>
        </w:rPr>
        <w:t xml:space="preserve">  在专用条款中补充约定。</w:t>
      </w:r>
    </w:p>
    <w:p>
      <w:pPr>
        <w:spacing w:line="500" w:lineRule="exact"/>
        <w:ind w:left="420" w:leftChars="200" w:firstLine="480" w:firstLineChars="200"/>
        <w:jc w:val="center"/>
        <w:rPr>
          <w:rFonts w:ascii="宋体" w:hAnsi="宋体" w:cs="宋体"/>
          <w:sz w:val="24"/>
        </w:rPr>
      </w:pPr>
    </w:p>
    <w:p>
      <w:pPr>
        <w:spacing w:line="500" w:lineRule="exact"/>
        <w:ind w:left="420" w:leftChars="200" w:firstLine="480" w:firstLineChars="200"/>
        <w:jc w:val="center"/>
        <w:rPr>
          <w:rFonts w:ascii="宋体" w:hAnsi="宋体" w:cs="宋体"/>
          <w:sz w:val="24"/>
        </w:rPr>
      </w:pPr>
      <w:r>
        <w:rPr>
          <w:rFonts w:hint="eastAsia" w:ascii="宋体" w:hAnsi="宋体" w:cs="宋体"/>
          <w:sz w:val="24"/>
        </w:rPr>
        <w:br w:type="page"/>
      </w:r>
    </w:p>
    <w:p>
      <w:pPr>
        <w:pStyle w:val="5"/>
        <w:bidi w:val="0"/>
        <w:jc w:val="center"/>
        <w:rPr>
          <w:rFonts w:hint="eastAsia"/>
          <w:b/>
          <w:bCs w:val="0"/>
          <w:sz w:val="24"/>
          <w:szCs w:val="24"/>
        </w:rPr>
      </w:pPr>
      <w:bookmarkStart w:id="542" w:name="_Toc24908"/>
      <w:r>
        <w:rPr>
          <w:rFonts w:hint="eastAsia"/>
          <w:b/>
          <w:bCs w:val="0"/>
          <w:sz w:val="24"/>
          <w:szCs w:val="24"/>
          <w:lang w:val="en-US" w:eastAsia="zh-CN"/>
        </w:rPr>
        <w:t>2.</w:t>
      </w:r>
      <w:r>
        <w:rPr>
          <w:rFonts w:hint="eastAsia"/>
          <w:b/>
          <w:bCs w:val="0"/>
          <w:sz w:val="24"/>
          <w:szCs w:val="24"/>
        </w:rPr>
        <w:t>可行性研究报告编制部分</w:t>
      </w:r>
      <w:bookmarkEnd w:id="542"/>
    </w:p>
    <w:p>
      <w:pPr>
        <w:spacing w:line="500" w:lineRule="exact"/>
        <w:jc w:val="center"/>
        <w:rPr>
          <w:rFonts w:ascii="宋体" w:hAnsi="宋体" w:cs="宋体"/>
          <w:sz w:val="24"/>
        </w:rPr>
      </w:pPr>
      <w:r>
        <w:rPr>
          <w:rFonts w:hint="eastAsia" w:ascii="宋体" w:hAnsi="宋体" w:cs="宋体"/>
          <w:sz w:val="24"/>
        </w:rPr>
        <w:t>通用</w:t>
      </w:r>
      <w:r>
        <w:rPr>
          <w:rFonts w:ascii="宋体" w:hAnsi="宋体" w:cs="宋体"/>
          <w:sz w:val="24"/>
        </w:rPr>
        <w:t>条款（</w:t>
      </w:r>
      <w:r>
        <w:rPr>
          <w:rFonts w:hint="eastAsia" w:ascii="宋体" w:hAnsi="宋体" w:cs="宋体"/>
          <w:sz w:val="24"/>
        </w:rPr>
        <w:t>无</w:t>
      </w:r>
      <w:r>
        <w:rPr>
          <w:rFonts w:ascii="宋体" w:hAnsi="宋体" w:cs="宋体"/>
          <w:sz w:val="24"/>
        </w:rPr>
        <w:t>）</w:t>
      </w: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outlineLvl w:val="9"/>
      </w:pPr>
    </w:p>
    <w:p>
      <w:pPr>
        <w:pStyle w:val="5"/>
        <w:bidi w:val="0"/>
        <w:jc w:val="center"/>
        <w:rPr>
          <w:rFonts w:hint="eastAsia"/>
          <w:b/>
          <w:bCs w:val="0"/>
          <w:sz w:val="24"/>
          <w:szCs w:val="24"/>
          <w:lang w:val="en-US" w:eastAsia="zh-CN"/>
        </w:rPr>
      </w:pPr>
      <w:bookmarkStart w:id="543" w:name="_Toc16833"/>
      <w:r>
        <w:rPr>
          <w:rFonts w:hint="eastAsia"/>
          <w:b/>
          <w:bCs w:val="0"/>
          <w:sz w:val="24"/>
          <w:szCs w:val="24"/>
          <w:lang w:val="en-US" w:eastAsia="zh-CN"/>
        </w:rPr>
        <w:t>3.勘察部分</w:t>
      </w:r>
      <w:bookmarkEnd w:id="543"/>
    </w:p>
    <w:p>
      <w:pPr>
        <w:pStyle w:val="33"/>
        <w:spacing w:line="500" w:lineRule="exact"/>
        <w:jc w:val="center"/>
        <w:rPr>
          <w:rFonts w:ascii="宋体" w:hAnsi="宋体" w:cs="宋体"/>
          <w:b/>
          <w:bCs/>
          <w:sz w:val="24"/>
        </w:rPr>
      </w:pPr>
      <w:r>
        <w:rPr>
          <w:rFonts w:hint="eastAsia" w:ascii="宋体" w:hAnsi="宋体" w:cs="宋体"/>
          <w:b/>
          <w:bCs/>
          <w:sz w:val="24"/>
        </w:rPr>
        <w:t>《建设工程勘察合同（示范文本）》（GF-2016-0203）</w:t>
      </w:r>
    </w:p>
    <w:p>
      <w:pPr>
        <w:pStyle w:val="33"/>
        <w:spacing w:line="500" w:lineRule="exact"/>
        <w:jc w:val="center"/>
        <w:rPr>
          <w:rFonts w:ascii="宋体" w:hAnsi="宋体"/>
          <w:b/>
          <w:bCs/>
          <w:sz w:val="24"/>
          <w:szCs w:val="24"/>
        </w:rPr>
      </w:pPr>
      <w:r>
        <w:rPr>
          <w:rFonts w:hint="eastAsia" w:ascii="宋体" w:hAnsi="宋体" w:cs="宋体"/>
          <w:sz w:val="24"/>
        </w:rPr>
        <w:t>（房屋建筑和市政工程等工程勘察项目招标使用）</w:t>
      </w:r>
    </w:p>
    <w:p>
      <w:pPr>
        <w:pStyle w:val="33"/>
        <w:spacing w:line="500" w:lineRule="exact"/>
        <w:jc w:val="left"/>
        <w:rPr>
          <w:rFonts w:ascii="宋体" w:hAnsi="宋体"/>
          <w:b/>
          <w:bCs/>
          <w:szCs w:val="21"/>
        </w:rPr>
      </w:pPr>
      <w:r>
        <w:rPr>
          <w:rFonts w:hint="eastAsia" w:ascii="宋体" w:hAnsi="宋体"/>
          <w:b/>
          <w:bCs/>
          <w:szCs w:val="21"/>
        </w:rPr>
        <w:t>第1条 一般约定</w:t>
      </w:r>
    </w:p>
    <w:p>
      <w:pPr>
        <w:pStyle w:val="33"/>
        <w:spacing w:line="500" w:lineRule="exact"/>
        <w:jc w:val="left"/>
        <w:rPr>
          <w:rFonts w:ascii="宋体" w:hAnsi="宋体"/>
          <w:b w:val="0"/>
          <w:bCs w:val="0"/>
          <w:szCs w:val="21"/>
        </w:rPr>
      </w:pPr>
      <w:r>
        <w:rPr>
          <w:rFonts w:hint="eastAsia" w:ascii="宋体" w:hAnsi="宋体"/>
          <w:b w:val="0"/>
          <w:bCs w:val="0"/>
          <w:szCs w:val="21"/>
        </w:rPr>
        <w:t>1.1 词语定义</w:t>
      </w:r>
    </w:p>
    <w:p>
      <w:pPr>
        <w:pStyle w:val="33"/>
        <w:spacing w:line="500" w:lineRule="exact"/>
        <w:jc w:val="left"/>
        <w:rPr>
          <w:rFonts w:ascii="宋体" w:hAnsi="宋体"/>
          <w:szCs w:val="21"/>
        </w:rPr>
      </w:pPr>
      <w:r>
        <w:rPr>
          <w:rFonts w:hint="eastAsia" w:ascii="宋体" w:hAnsi="宋体"/>
          <w:szCs w:val="21"/>
        </w:rPr>
        <w:t>下列词语除专用合同条款另有约定外，应具有本条所赋予的含义。</w:t>
      </w:r>
    </w:p>
    <w:p>
      <w:pPr>
        <w:pStyle w:val="33"/>
        <w:spacing w:line="500" w:lineRule="exact"/>
        <w:jc w:val="left"/>
        <w:rPr>
          <w:rFonts w:ascii="宋体" w:hAnsi="宋体"/>
          <w:szCs w:val="21"/>
        </w:rPr>
      </w:pPr>
      <w:r>
        <w:rPr>
          <w:rFonts w:hint="eastAsia" w:ascii="宋体" w:hAnsi="宋体"/>
          <w:szCs w:val="21"/>
        </w:rPr>
        <w:t>1.1.1 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pStyle w:val="33"/>
        <w:spacing w:line="500" w:lineRule="exact"/>
        <w:jc w:val="left"/>
        <w:rPr>
          <w:rFonts w:ascii="宋体" w:hAnsi="宋体"/>
          <w:szCs w:val="21"/>
        </w:rPr>
      </w:pPr>
      <w:r>
        <w:rPr>
          <w:rFonts w:hint="eastAsia" w:ascii="宋体" w:hAnsi="宋体"/>
          <w:szCs w:val="21"/>
        </w:rPr>
        <w:t>1.1.2 合同协议书：指构成合同的由发包人和勘察人共同签署的称为“合同协议书”的书面文件。</w:t>
      </w:r>
    </w:p>
    <w:p>
      <w:pPr>
        <w:pStyle w:val="33"/>
        <w:spacing w:line="500" w:lineRule="exact"/>
        <w:jc w:val="left"/>
        <w:rPr>
          <w:rFonts w:ascii="宋体" w:hAnsi="宋体"/>
          <w:szCs w:val="21"/>
        </w:rPr>
      </w:pPr>
      <w:r>
        <w:rPr>
          <w:rFonts w:hint="eastAsia" w:ascii="宋体" w:hAnsi="宋体"/>
          <w:szCs w:val="21"/>
        </w:rPr>
        <w:t>1.1.3 通用合同条款：是根据法律、行政法规规定及建设工程勘察的需要订立，通用于建设工程勘察的合同条款。</w:t>
      </w:r>
    </w:p>
    <w:p>
      <w:pPr>
        <w:pStyle w:val="33"/>
        <w:spacing w:line="500" w:lineRule="exact"/>
        <w:jc w:val="left"/>
        <w:rPr>
          <w:rFonts w:ascii="宋体" w:hAnsi="宋体"/>
          <w:szCs w:val="21"/>
        </w:rPr>
      </w:pPr>
      <w:r>
        <w:rPr>
          <w:rFonts w:hint="eastAsia" w:ascii="宋体" w:hAnsi="宋体"/>
          <w:szCs w:val="21"/>
        </w:rPr>
        <w:t>1.1.4 专用合同条款：是发包人与勘察人根据法律、行政法规规定，结合具体工程实际，经协商达成一致意见的合同条款，是对通用合同条款的细化、完善、补充、修改或另行约定。</w:t>
      </w:r>
    </w:p>
    <w:p>
      <w:pPr>
        <w:pStyle w:val="33"/>
        <w:spacing w:line="500" w:lineRule="exact"/>
        <w:jc w:val="left"/>
        <w:rPr>
          <w:rFonts w:ascii="宋体" w:hAnsi="宋体"/>
          <w:szCs w:val="21"/>
        </w:rPr>
      </w:pPr>
      <w:r>
        <w:rPr>
          <w:rFonts w:hint="eastAsia" w:ascii="宋体" w:hAnsi="宋体"/>
          <w:szCs w:val="21"/>
        </w:rPr>
        <w:t>1.1.5 发包人：指与勘察人签订合同协议书的当事人以及取得该当事人资格的合法继承人。</w:t>
      </w:r>
    </w:p>
    <w:p>
      <w:pPr>
        <w:pStyle w:val="33"/>
        <w:spacing w:line="500" w:lineRule="exact"/>
        <w:jc w:val="left"/>
        <w:rPr>
          <w:rFonts w:ascii="宋体" w:hAnsi="宋体"/>
          <w:szCs w:val="21"/>
        </w:rPr>
      </w:pPr>
      <w:r>
        <w:rPr>
          <w:rFonts w:hint="eastAsia" w:ascii="宋体" w:hAnsi="宋体"/>
          <w:szCs w:val="21"/>
        </w:rPr>
        <w:t>1.1.6 勘察人：指在合同协议书中约定，被发包人接受的具有工程勘察资质的当事人以及取得该当事人资格的合法继承人。</w:t>
      </w:r>
    </w:p>
    <w:p>
      <w:pPr>
        <w:pStyle w:val="33"/>
        <w:spacing w:line="500" w:lineRule="exact"/>
        <w:jc w:val="left"/>
        <w:rPr>
          <w:rFonts w:ascii="宋体" w:hAnsi="宋体"/>
          <w:szCs w:val="21"/>
        </w:rPr>
      </w:pPr>
      <w:r>
        <w:rPr>
          <w:rFonts w:hint="eastAsia" w:ascii="宋体" w:hAnsi="宋体"/>
          <w:szCs w:val="21"/>
        </w:rPr>
        <w:t>1.1.7 工程：指发包人与勘察人在合同协议书中约定的勘察范围内的项目。</w:t>
      </w:r>
    </w:p>
    <w:p>
      <w:pPr>
        <w:pStyle w:val="33"/>
        <w:spacing w:line="500" w:lineRule="exact"/>
        <w:jc w:val="left"/>
        <w:rPr>
          <w:rFonts w:ascii="宋体" w:hAnsi="宋体"/>
          <w:szCs w:val="21"/>
        </w:rPr>
      </w:pPr>
      <w:r>
        <w:rPr>
          <w:rFonts w:hint="eastAsia" w:ascii="宋体" w:hAnsi="宋体"/>
          <w:szCs w:val="21"/>
        </w:rPr>
        <w:t>1.1.8 勘察任务书：指由发包人就工程勘察范围、内容和技术标准等提出要求的书面文件。勘察任务书构成合同文件组成部分。</w:t>
      </w:r>
    </w:p>
    <w:p>
      <w:pPr>
        <w:pStyle w:val="33"/>
        <w:spacing w:line="500" w:lineRule="exact"/>
        <w:jc w:val="left"/>
        <w:rPr>
          <w:rFonts w:ascii="宋体" w:hAnsi="宋体"/>
          <w:szCs w:val="21"/>
        </w:rPr>
      </w:pPr>
      <w:r>
        <w:rPr>
          <w:rFonts w:hint="eastAsia" w:ascii="宋体" w:hAnsi="宋体"/>
          <w:szCs w:val="21"/>
        </w:rPr>
        <w:t>1.1.9 合同价款：指合同当事人在合同协议书中约定，发包人用以支付勘察人完成合同约定范围内工程勘察工作的款项。</w:t>
      </w:r>
    </w:p>
    <w:p>
      <w:pPr>
        <w:pStyle w:val="33"/>
        <w:spacing w:line="500" w:lineRule="exact"/>
        <w:jc w:val="left"/>
        <w:rPr>
          <w:rFonts w:ascii="宋体" w:hAnsi="宋体"/>
          <w:szCs w:val="21"/>
        </w:rPr>
      </w:pPr>
      <w:r>
        <w:rPr>
          <w:rFonts w:hint="eastAsia" w:ascii="宋体" w:hAnsi="宋体"/>
          <w:szCs w:val="21"/>
        </w:rPr>
        <w:t>1.1.10 费用：指为履行合同所发生的或将要发生的必需的支出。</w:t>
      </w:r>
    </w:p>
    <w:p>
      <w:pPr>
        <w:pStyle w:val="33"/>
        <w:spacing w:line="500" w:lineRule="exact"/>
        <w:jc w:val="left"/>
        <w:rPr>
          <w:rFonts w:ascii="宋体" w:hAnsi="宋体"/>
          <w:szCs w:val="21"/>
        </w:rPr>
      </w:pPr>
      <w:r>
        <w:rPr>
          <w:rFonts w:hint="eastAsia" w:ascii="宋体" w:hAnsi="宋体"/>
          <w:szCs w:val="21"/>
        </w:rPr>
        <w:t>1.1.11 工期：指合同当事人在合同协议书中约定，按总日历天数（包括法定节假日）计算的工作天数。</w:t>
      </w:r>
    </w:p>
    <w:p>
      <w:pPr>
        <w:pStyle w:val="33"/>
        <w:spacing w:line="500" w:lineRule="exact"/>
        <w:jc w:val="left"/>
        <w:rPr>
          <w:rFonts w:ascii="宋体" w:hAnsi="宋体"/>
          <w:szCs w:val="21"/>
        </w:rPr>
      </w:pPr>
      <w:r>
        <w:rPr>
          <w:rFonts w:hint="eastAsia" w:ascii="宋体" w:hAnsi="宋体"/>
          <w:szCs w:val="21"/>
        </w:rPr>
        <w:t>1.1.12 天：除特别指明外，均指日历天。约定按天计算时间的，开始当天不计入，从次日开始计算。时限的最后一天是休息日或者其他法定节假日的，以节假日次日为时限的最后一天，时限的最后一天的截止时间为当日24时。</w:t>
      </w:r>
    </w:p>
    <w:p>
      <w:pPr>
        <w:pStyle w:val="33"/>
        <w:spacing w:line="500" w:lineRule="exact"/>
        <w:jc w:val="left"/>
        <w:rPr>
          <w:rFonts w:ascii="宋体" w:hAnsi="宋体"/>
          <w:szCs w:val="21"/>
        </w:rPr>
      </w:pPr>
      <w:r>
        <w:rPr>
          <w:rFonts w:hint="eastAsia" w:ascii="宋体" w:hAnsi="宋体"/>
          <w:szCs w:val="21"/>
        </w:rPr>
        <w:t>1.1.13 开工日期：指合同当事人在合同中约定，勘察人开始工作的绝对或相对日期。</w:t>
      </w:r>
    </w:p>
    <w:p>
      <w:pPr>
        <w:pStyle w:val="33"/>
        <w:spacing w:line="500" w:lineRule="exact"/>
        <w:jc w:val="left"/>
        <w:rPr>
          <w:rFonts w:ascii="宋体" w:hAnsi="宋体"/>
          <w:szCs w:val="21"/>
        </w:rPr>
      </w:pPr>
      <w:r>
        <w:rPr>
          <w:rFonts w:hint="eastAsia" w:ascii="宋体" w:hAnsi="宋体"/>
          <w:szCs w:val="21"/>
        </w:rPr>
        <w:t>1.1.14 成果提交日期：指合同当事人在合同中约定，勘察人完成合同范围内工作并提交成果资料的绝对或相对日期。</w:t>
      </w:r>
    </w:p>
    <w:p>
      <w:pPr>
        <w:pStyle w:val="33"/>
        <w:spacing w:line="500" w:lineRule="exact"/>
        <w:jc w:val="left"/>
        <w:rPr>
          <w:rFonts w:ascii="宋体" w:hAnsi="宋体"/>
          <w:szCs w:val="21"/>
        </w:rPr>
      </w:pPr>
      <w:r>
        <w:rPr>
          <w:rFonts w:hint="eastAsia" w:ascii="宋体" w:hAnsi="宋体"/>
          <w:szCs w:val="21"/>
        </w:rPr>
        <w:t>1.1.15 图纸：指由发包人提供或由勘察人提供并经发包人认可，满足勘察人开展工作需要的所有图件，包括相关说明和资料。</w:t>
      </w:r>
    </w:p>
    <w:p>
      <w:pPr>
        <w:pStyle w:val="33"/>
        <w:spacing w:line="500" w:lineRule="exact"/>
        <w:jc w:val="left"/>
        <w:rPr>
          <w:rFonts w:ascii="宋体" w:hAnsi="宋体"/>
          <w:szCs w:val="21"/>
        </w:rPr>
      </w:pPr>
      <w:r>
        <w:rPr>
          <w:rFonts w:hint="eastAsia" w:ascii="宋体" w:hAnsi="宋体"/>
          <w:szCs w:val="21"/>
        </w:rPr>
        <w:t>1.1.16 作业场地：指工程勘察作业的场所以及发包人具体指定的供工程勘察作业使用的其他场所。</w:t>
      </w:r>
    </w:p>
    <w:p>
      <w:pPr>
        <w:pStyle w:val="33"/>
        <w:spacing w:line="500" w:lineRule="exact"/>
        <w:jc w:val="left"/>
        <w:rPr>
          <w:rFonts w:ascii="宋体" w:hAnsi="宋体"/>
          <w:szCs w:val="21"/>
        </w:rPr>
      </w:pPr>
      <w:r>
        <w:rPr>
          <w:rFonts w:hint="eastAsia" w:ascii="宋体" w:hAnsi="宋体"/>
          <w:szCs w:val="21"/>
        </w:rPr>
        <w:t>1.1.17 书面形式：指合同书、信件和数据电文（包括电报、电传、传真、电子数据交换和电子邮件）等可以有形地表现所载内容的形式。</w:t>
      </w:r>
    </w:p>
    <w:p>
      <w:pPr>
        <w:pStyle w:val="33"/>
        <w:spacing w:line="500" w:lineRule="exact"/>
        <w:jc w:val="left"/>
        <w:rPr>
          <w:rFonts w:ascii="宋体" w:hAnsi="宋体"/>
          <w:szCs w:val="21"/>
        </w:rPr>
      </w:pPr>
      <w:r>
        <w:rPr>
          <w:rFonts w:ascii="宋体" w:hAnsi="宋体"/>
          <w:szCs w:val="21"/>
        </w:rPr>
        <w:t xml:space="preserve">1.1.18 </w:t>
      </w:r>
      <w:r>
        <w:rPr>
          <w:rFonts w:hint="eastAsia" w:ascii="宋体" w:hAnsi="宋体"/>
          <w:szCs w:val="21"/>
        </w:rPr>
        <w:t>索赔：指在合同履行过程中，一方违反合同约定，直接或间接地给另一方造成实际损失，受损方向违约方提出经济赔偿和（或）工期顺延的要求。</w:t>
      </w:r>
    </w:p>
    <w:p>
      <w:pPr>
        <w:pStyle w:val="33"/>
        <w:spacing w:line="500" w:lineRule="exact"/>
        <w:jc w:val="left"/>
        <w:rPr>
          <w:rFonts w:ascii="宋体" w:hAnsi="宋体"/>
          <w:szCs w:val="21"/>
        </w:rPr>
      </w:pPr>
      <w:r>
        <w:rPr>
          <w:rFonts w:hint="eastAsia" w:ascii="宋体" w:hAnsi="宋体"/>
          <w:szCs w:val="21"/>
        </w:rPr>
        <w:t>1.1.19 不利物质条件：指勘察人在作业场地遇到的不可预见的自然物质条件、非自然的物质障碍和污染物。</w:t>
      </w:r>
    </w:p>
    <w:p>
      <w:pPr>
        <w:pStyle w:val="33"/>
        <w:spacing w:line="500" w:lineRule="exact"/>
        <w:jc w:val="left"/>
        <w:rPr>
          <w:rFonts w:ascii="宋体" w:hAnsi="宋体"/>
          <w:szCs w:val="21"/>
        </w:rPr>
      </w:pPr>
      <w:r>
        <w:rPr>
          <w:rFonts w:hint="eastAsia" w:ascii="宋体" w:hAnsi="宋体"/>
          <w:szCs w:val="21"/>
        </w:rPr>
        <w:t>1.1.20 后期服务：指勘察人提交成果资料后，为发包人提供的后续技术服务工作和程序性工作，如报告成果咨询、基槽检验、现场交桩和竣工验收等。</w:t>
      </w:r>
    </w:p>
    <w:p>
      <w:pPr>
        <w:pStyle w:val="33"/>
        <w:spacing w:line="500" w:lineRule="exact"/>
        <w:jc w:val="left"/>
        <w:rPr>
          <w:rFonts w:ascii="宋体" w:hAnsi="宋体"/>
          <w:szCs w:val="21"/>
        </w:rPr>
      </w:pPr>
      <w:r>
        <w:rPr>
          <w:rFonts w:hint="eastAsia" w:ascii="宋体" w:hAnsi="宋体"/>
          <w:szCs w:val="21"/>
        </w:rPr>
        <w:t>1.2 合同文件及优先解释顺序</w:t>
      </w:r>
    </w:p>
    <w:p>
      <w:pPr>
        <w:pStyle w:val="33"/>
        <w:spacing w:line="500" w:lineRule="exact"/>
        <w:jc w:val="left"/>
        <w:rPr>
          <w:rFonts w:ascii="宋体" w:hAnsi="宋体"/>
          <w:szCs w:val="21"/>
        </w:rPr>
      </w:pPr>
      <w:r>
        <w:rPr>
          <w:rFonts w:hint="eastAsia" w:ascii="宋体" w:hAnsi="宋体"/>
          <w:szCs w:val="21"/>
        </w:rPr>
        <w:t>1.2.1 合同文件应能相互解释，互为说明。除专用合同条款另有约定外，组成本合同的文件及优先解释顺序如下：</w:t>
      </w:r>
    </w:p>
    <w:p>
      <w:pPr>
        <w:pStyle w:val="33"/>
        <w:spacing w:line="500" w:lineRule="exact"/>
        <w:jc w:val="left"/>
        <w:rPr>
          <w:rFonts w:ascii="宋体" w:hAnsi="宋体"/>
          <w:szCs w:val="21"/>
        </w:rPr>
      </w:pPr>
      <w:r>
        <w:rPr>
          <w:rFonts w:hint="eastAsia" w:ascii="宋体" w:hAnsi="宋体"/>
          <w:szCs w:val="21"/>
        </w:rPr>
        <w:t>（1）合同协议书；</w:t>
      </w:r>
    </w:p>
    <w:p>
      <w:pPr>
        <w:pStyle w:val="33"/>
        <w:spacing w:line="500" w:lineRule="exact"/>
        <w:jc w:val="left"/>
        <w:rPr>
          <w:rFonts w:ascii="宋体" w:hAnsi="宋体"/>
          <w:szCs w:val="21"/>
        </w:rPr>
      </w:pPr>
      <w:r>
        <w:rPr>
          <w:rFonts w:hint="eastAsia" w:ascii="宋体" w:hAnsi="宋体"/>
          <w:szCs w:val="21"/>
        </w:rPr>
        <w:t>（2）专用合同条款及其附件；</w:t>
      </w:r>
    </w:p>
    <w:p>
      <w:pPr>
        <w:pStyle w:val="33"/>
        <w:spacing w:line="500" w:lineRule="exact"/>
        <w:jc w:val="left"/>
        <w:rPr>
          <w:rFonts w:ascii="宋体" w:hAnsi="宋体"/>
          <w:szCs w:val="21"/>
        </w:rPr>
      </w:pPr>
      <w:r>
        <w:rPr>
          <w:rFonts w:hint="eastAsia" w:ascii="宋体" w:hAnsi="宋体"/>
          <w:szCs w:val="21"/>
        </w:rPr>
        <w:t>（3）通用合同条款；</w:t>
      </w:r>
    </w:p>
    <w:p>
      <w:pPr>
        <w:pStyle w:val="33"/>
        <w:spacing w:line="500" w:lineRule="exact"/>
        <w:jc w:val="left"/>
        <w:rPr>
          <w:rFonts w:ascii="宋体" w:hAnsi="宋体"/>
          <w:szCs w:val="21"/>
        </w:rPr>
      </w:pPr>
      <w:r>
        <w:rPr>
          <w:rFonts w:hint="eastAsia" w:ascii="宋体" w:hAnsi="宋体"/>
          <w:szCs w:val="21"/>
        </w:rPr>
        <w:t>（4）中标通知书（如果有）；</w:t>
      </w:r>
    </w:p>
    <w:p>
      <w:pPr>
        <w:pStyle w:val="33"/>
        <w:spacing w:line="500" w:lineRule="exact"/>
        <w:jc w:val="left"/>
        <w:rPr>
          <w:rFonts w:ascii="宋体" w:hAnsi="宋体"/>
          <w:szCs w:val="21"/>
        </w:rPr>
      </w:pPr>
      <w:r>
        <w:rPr>
          <w:rFonts w:hint="eastAsia" w:ascii="宋体" w:hAnsi="宋体"/>
          <w:szCs w:val="21"/>
        </w:rPr>
        <w:t>（5）投标文件及其附件（如果有）；</w:t>
      </w:r>
    </w:p>
    <w:p>
      <w:pPr>
        <w:pStyle w:val="33"/>
        <w:spacing w:line="500" w:lineRule="exact"/>
        <w:jc w:val="left"/>
        <w:rPr>
          <w:rFonts w:ascii="宋体" w:hAnsi="宋体"/>
          <w:szCs w:val="21"/>
        </w:rPr>
      </w:pPr>
      <w:r>
        <w:rPr>
          <w:rFonts w:hint="eastAsia" w:ascii="宋体" w:hAnsi="宋体"/>
          <w:szCs w:val="21"/>
        </w:rPr>
        <w:t>（6）技术标准和要求；</w:t>
      </w:r>
    </w:p>
    <w:p>
      <w:pPr>
        <w:pStyle w:val="33"/>
        <w:spacing w:line="500" w:lineRule="exact"/>
        <w:jc w:val="left"/>
        <w:rPr>
          <w:rFonts w:ascii="宋体" w:hAnsi="宋体"/>
          <w:szCs w:val="21"/>
        </w:rPr>
      </w:pPr>
      <w:r>
        <w:rPr>
          <w:rFonts w:hint="eastAsia" w:ascii="宋体" w:hAnsi="宋体"/>
          <w:szCs w:val="21"/>
        </w:rPr>
        <w:t>（7）图纸；</w:t>
      </w:r>
    </w:p>
    <w:p>
      <w:pPr>
        <w:pStyle w:val="33"/>
        <w:spacing w:line="500" w:lineRule="exact"/>
        <w:jc w:val="left"/>
        <w:rPr>
          <w:rFonts w:ascii="宋体" w:hAnsi="宋体"/>
          <w:szCs w:val="21"/>
        </w:rPr>
      </w:pPr>
      <w:r>
        <w:rPr>
          <w:rFonts w:hint="eastAsia" w:ascii="宋体" w:hAnsi="宋体"/>
          <w:szCs w:val="21"/>
        </w:rPr>
        <w:t>（8）其他合同文件。</w:t>
      </w:r>
    </w:p>
    <w:p>
      <w:pPr>
        <w:pStyle w:val="33"/>
        <w:spacing w:line="500" w:lineRule="exact"/>
        <w:ind w:left="210" w:leftChars="100" w:firstLine="420" w:firstLineChars="200"/>
        <w:jc w:val="left"/>
        <w:rPr>
          <w:rFonts w:ascii="宋体" w:hAnsi="宋体"/>
          <w:szCs w:val="21"/>
        </w:rPr>
      </w:pPr>
      <w:r>
        <w:rPr>
          <w:rFonts w:hint="eastAsia" w:ascii="宋体" w:hAnsi="宋体"/>
          <w:szCs w:val="21"/>
        </w:rPr>
        <w:t>上述合同文件包括合同当事人就该项合同文件所作出的补充和修改，属于同一类内容的文件，应以最新签署的为准。</w:t>
      </w:r>
    </w:p>
    <w:p>
      <w:pPr>
        <w:pStyle w:val="33"/>
        <w:spacing w:line="500" w:lineRule="exact"/>
        <w:jc w:val="left"/>
        <w:rPr>
          <w:rFonts w:ascii="宋体" w:hAnsi="宋体"/>
          <w:szCs w:val="21"/>
        </w:rPr>
      </w:pPr>
      <w:r>
        <w:rPr>
          <w:rFonts w:hint="eastAsia" w:ascii="宋体" w:hAnsi="宋体"/>
          <w:szCs w:val="21"/>
        </w:rPr>
        <w:t>1.2.2 当合同文件内容含糊不清或不相一致时，在不影响工作正常进行的情况下，由发包人和勘察人协商解决。双方协商不成时，按第16条〔争议解决〕的约定处理。</w:t>
      </w:r>
    </w:p>
    <w:p>
      <w:pPr>
        <w:pStyle w:val="33"/>
        <w:spacing w:line="500" w:lineRule="exact"/>
        <w:jc w:val="left"/>
        <w:rPr>
          <w:rFonts w:ascii="宋体" w:hAnsi="宋体"/>
          <w:szCs w:val="21"/>
        </w:rPr>
      </w:pPr>
      <w:r>
        <w:rPr>
          <w:rFonts w:hint="eastAsia" w:ascii="宋体" w:hAnsi="宋体"/>
          <w:szCs w:val="21"/>
        </w:rPr>
        <w:t>1.3 适用法律法规、技术标准</w:t>
      </w:r>
    </w:p>
    <w:p>
      <w:pPr>
        <w:pStyle w:val="33"/>
        <w:spacing w:line="500" w:lineRule="exact"/>
        <w:jc w:val="left"/>
        <w:rPr>
          <w:rFonts w:ascii="宋体" w:hAnsi="宋体"/>
          <w:szCs w:val="21"/>
        </w:rPr>
      </w:pPr>
      <w:r>
        <w:rPr>
          <w:rFonts w:hint="eastAsia" w:ascii="宋体" w:hAnsi="宋体"/>
          <w:szCs w:val="21"/>
        </w:rPr>
        <w:t>1.3.1 适用法律法规</w:t>
      </w:r>
    </w:p>
    <w:p>
      <w:pPr>
        <w:pStyle w:val="33"/>
        <w:spacing w:line="500" w:lineRule="exact"/>
        <w:ind w:left="210" w:leftChars="100" w:firstLine="420" w:firstLineChars="200"/>
        <w:jc w:val="left"/>
        <w:rPr>
          <w:rFonts w:ascii="宋体" w:hAnsi="宋体"/>
          <w:szCs w:val="21"/>
        </w:rPr>
      </w:pPr>
      <w:r>
        <w:rPr>
          <w:rFonts w:hint="eastAsia" w:ascii="宋体" w:hAnsi="宋体"/>
          <w:szCs w:val="21"/>
        </w:rPr>
        <w:t>本合同文件适用中华人民共和国法律、行政法规、部门规章以及工程所在地的地方性法规、自治条例、单行条例和地方政府规章等。其他需要明示的规范性文件，由合同当事人在专用合同条款中约定。</w:t>
      </w:r>
    </w:p>
    <w:p>
      <w:pPr>
        <w:pStyle w:val="33"/>
        <w:spacing w:line="500" w:lineRule="exact"/>
        <w:jc w:val="left"/>
        <w:rPr>
          <w:rFonts w:ascii="宋体" w:hAnsi="宋体"/>
          <w:szCs w:val="21"/>
        </w:rPr>
      </w:pPr>
      <w:r>
        <w:rPr>
          <w:rFonts w:hint="eastAsia" w:ascii="宋体" w:hAnsi="宋体"/>
          <w:szCs w:val="21"/>
        </w:rPr>
        <w:t>1.3.2 适用技术标准</w:t>
      </w:r>
    </w:p>
    <w:p>
      <w:pPr>
        <w:pStyle w:val="33"/>
        <w:spacing w:line="500" w:lineRule="exact"/>
        <w:ind w:left="210" w:leftChars="100" w:firstLine="420" w:firstLineChars="200"/>
        <w:jc w:val="left"/>
        <w:rPr>
          <w:rFonts w:ascii="宋体" w:hAnsi="宋体"/>
          <w:szCs w:val="21"/>
        </w:rPr>
      </w:pPr>
      <w:r>
        <w:rPr>
          <w:rFonts w:hint="eastAsia" w:ascii="宋体" w:hAnsi="宋体"/>
          <w:szCs w:val="21"/>
        </w:rPr>
        <w:t>适用于工程的现行有效国家标准、行业标准、工程所在地的地方标准以及相应的规范、规程为本合同文件适用的技术标准。合同当事人有特别要求的，应在专用合同条款中约定。</w:t>
      </w:r>
    </w:p>
    <w:p>
      <w:pPr>
        <w:pStyle w:val="33"/>
        <w:spacing w:line="500" w:lineRule="exact"/>
        <w:ind w:left="210" w:leftChars="100" w:firstLine="420" w:firstLineChars="200"/>
        <w:jc w:val="left"/>
        <w:rPr>
          <w:rFonts w:ascii="宋体" w:hAnsi="宋体"/>
          <w:szCs w:val="21"/>
        </w:rPr>
      </w:pPr>
      <w:r>
        <w:rPr>
          <w:rFonts w:hint="eastAsia" w:ascii="宋体" w:hAnsi="宋体"/>
          <w:szCs w:val="21"/>
        </w:rPr>
        <w:t>发包人要求使用国外技术标准的，应在专用合同条款中约定所使用技术标准的名称及提供方，并约定技术标准原文版、中译本的份数、时间及费用承担等事项。</w:t>
      </w:r>
    </w:p>
    <w:p>
      <w:pPr>
        <w:pStyle w:val="33"/>
        <w:spacing w:line="500" w:lineRule="exact"/>
        <w:jc w:val="left"/>
        <w:rPr>
          <w:rFonts w:ascii="宋体" w:hAnsi="宋体"/>
          <w:szCs w:val="21"/>
        </w:rPr>
      </w:pPr>
      <w:r>
        <w:rPr>
          <w:rFonts w:hint="eastAsia" w:ascii="宋体" w:hAnsi="宋体"/>
          <w:szCs w:val="21"/>
        </w:rPr>
        <w:t>1.4 语言文字</w:t>
      </w:r>
    </w:p>
    <w:p>
      <w:pPr>
        <w:pStyle w:val="33"/>
        <w:spacing w:line="500" w:lineRule="exact"/>
        <w:ind w:left="210" w:leftChars="100" w:firstLine="420" w:firstLineChars="200"/>
        <w:jc w:val="left"/>
        <w:rPr>
          <w:rFonts w:ascii="宋体" w:hAnsi="宋体"/>
          <w:szCs w:val="21"/>
        </w:rPr>
      </w:pPr>
      <w:r>
        <w:rPr>
          <w:rFonts w:hint="eastAsia" w:ascii="宋体" w:hAnsi="宋体"/>
          <w:szCs w:val="21"/>
        </w:rPr>
        <w:t>本合同文件使用汉语语言文字书写、解释和说明。如专用合同条款约定使用两种以上（含两种）语言时，汉语为优先解释和说明本合同的语言。</w:t>
      </w:r>
    </w:p>
    <w:p>
      <w:pPr>
        <w:pStyle w:val="33"/>
        <w:spacing w:line="500" w:lineRule="exact"/>
        <w:jc w:val="left"/>
        <w:rPr>
          <w:rFonts w:ascii="宋体" w:hAnsi="宋体"/>
          <w:szCs w:val="21"/>
        </w:rPr>
      </w:pPr>
      <w:r>
        <w:rPr>
          <w:rFonts w:hint="eastAsia" w:ascii="宋体" w:hAnsi="宋体"/>
          <w:szCs w:val="21"/>
        </w:rPr>
        <w:t>1.5 联络</w:t>
      </w:r>
    </w:p>
    <w:p>
      <w:pPr>
        <w:pStyle w:val="33"/>
        <w:spacing w:line="500" w:lineRule="exact"/>
        <w:jc w:val="left"/>
        <w:rPr>
          <w:rFonts w:ascii="宋体" w:hAnsi="宋体"/>
          <w:szCs w:val="21"/>
        </w:rPr>
      </w:pPr>
      <w:r>
        <w:rPr>
          <w:rFonts w:hint="eastAsia" w:ascii="宋体" w:hAnsi="宋体"/>
          <w:szCs w:val="21"/>
        </w:rPr>
        <w:t>1.5.1 与合同有关的批准文件、通知、证明、证书、指示、指令、要求、请求、意见、确定和决定等，均应采用书面形式或合同双方确认的其他形式，并应在合同约定的期限内送达接收人。</w:t>
      </w:r>
    </w:p>
    <w:p>
      <w:pPr>
        <w:pStyle w:val="33"/>
        <w:spacing w:line="500" w:lineRule="exact"/>
        <w:jc w:val="left"/>
        <w:rPr>
          <w:rFonts w:ascii="宋体" w:hAnsi="宋体"/>
          <w:szCs w:val="21"/>
        </w:rPr>
      </w:pPr>
      <w:r>
        <w:rPr>
          <w:rFonts w:hint="eastAsia" w:ascii="宋体" w:hAnsi="宋体"/>
          <w:szCs w:val="21"/>
        </w:rPr>
        <w:t>1.5.2 发包人和勘察人应在专用合同条款中约定各自的送达接收人、送达形式及联系方式。合同当事人指定的接收人、送达地点或联系方式发生变动的，应提前3天以书面形式通知对方，否则视为未发生变动。</w:t>
      </w:r>
    </w:p>
    <w:p>
      <w:pPr>
        <w:pStyle w:val="33"/>
        <w:spacing w:line="500" w:lineRule="exact"/>
        <w:jc w:val="left"/>
        <w:rPr>
          <w:rFonts w:ascii="宋体" w:hAnsi="宋体"/>
          <w:szCs w:val="21"/>
        </w:rPr>
      </w:pPr>
      <w:r>
        <w:rPr>
          <w:rFonts w:hint="eastAsia" w:ascii="宋体" w:hAnsi="宋体"/>
          <w:szCs w:val="21"/>
        </w:rPr>
        <w:t>1.5.3 发包人、勘察人应及时签收对方送达至约定送达地点和指定接收人的来往信函；如确有充分证据证明一方无正当理由拒不签收的，视为拒绝签收一方认可往来信函的内容。</w:t>
      </w:r>
    </w:p>
    <w:p>
      <w:pPr>
        <w:pStyle w:val="33"/>
        <w:spacing w:line="500" w:lineRule="exact"/>
        <w:jc w:val="left"/>
        <w:rPr>
          <w:rFonts w:ascii="宋体" w:hAnsi="宋体"/>
          <w:szCs w:val="21"/>
        </w:rPr>
      </w:pPr>
      <w:r>
        <w:rPr>
          <w:rFonts w:hint="eastAsia" w:ascii="宋体" w:hAnsi="宋体"/>
          <w:szCs w:val="21"/>
        </w:rPr>
        <w:t>1.6 严禁贿赂</w:t>
      </w:r>
    </w:p>
    <w:p>
      <w:pPr>
        <w:pStyle w:val="33"/>
        <w:spacing w:line="500" w:lineRule="exact"/>
        <w:ind w:left="210" w:leftChars="100" w:firstLine="420" w:firstLineChars="200"/>
        <w:jc w:val="left"/>
        <w:rPr>
          <w:rFonts w:ascii="宋体" w:hAnsi="宋体"/>
          <w:szCs w:val="21"/>
        </w:rPr>
      </w:pPr>
      <w:r>
        <w:rPr>
          <w:rFonts w:hint="eastAsia" w:ascii="宋体" w:hAnsi="宋体"/>
          <w:szCs w:val="21"/>
        </w:rPr>
        <w:t>合同当事人不得以贿赂或变相贿赂的方式，谋取非法利益或损害对方权益。因一方的贿赂造成对方损失的，应赔偿损失并承担相应的法律责任。</w:t>
      </w:r>
    </w:p>
    <w:p>
      <w:pPr>
        <w:pStyle w:val="33"/>
        <w:spacing w:line="500" w:lineRule="exact"/>
        <w:jc w:val="left"/>
        <w:rPr>
          <w:rFonts w:ascii="宋体" w:hAnsi="宋体"/>
          <w:szCs w:val="21"/>
        </w:rPr>
      </w:pPr>
      <w:r>
        <w:rPr>
          <w:rFonts w:hint="eastAsia" w:ascii="宋体" w:hAnsi="宋体"/>
          <w:szCs w:val="21"/>
        </w:rPr>
        <w:t>1.7 保密</w:t>
      </w:r>
    </w:p>
    <w:p>
      <w:pPr>
        <w:pStyle w:val="33"/>
        <w:spacing w:line="500" w:lineRule="exact"/>
        <w:ind w:left="210" w:leftChars="100" w:firstLine="420" w:firstLineChars="200"/>
        <w:jc w:val="left"/>
        <w:rPr>
          <w:rFonts w:ascii="宋体" w:hAnsi="宋体"/>
          <w:szCs w:val="21"/>
        </w:rPr>
      </w:pPr>
      <w:r>
        <w:rPr>
          <w:rFonts w:hint="eastAsia" w:ascii="宋体" w:hAnsi="宋体"/>
          <w:szCs w:val="21"/>
        </w:rPr>
        <w:t>除法律法规规定或合同另有约定外，未经发包人同意，勘察人不得将发包人提供的图纸、文件以及声明需要保密的资料信息等商业秘密泄露给第三方。</w:t>
      </w:r>
    </w:p>
    <w:p>
      <w:pPr>
        <w:pStyle w:val="33"/>
        <w:spacing w:line="500" w:lineRule="exact"/>
        <w:ind w:left="210" w:leftChars="100" w:firstLine="420" w:firstLineChars="200"/>
        <w:jc w:val="left"/>
        <w:rPr>
          <w:rFonts w:ascii="宋体" w:hAnsi="宋体"/>
          <w:szCs w:val="21"/>
        </w:rPr>
      </w:pPr>
      <w:r>
        <w:rPr>
          <w:rFonts w:hint="eastAsia" w:ascii="宋体" w:hAnsi="宋体"/>
          <w:szCs w:val="21"/>
        </w:rPr>
        <w:t>除法律法规规定或合同另有约定外，未经勘察人同意，发包人不得将勘察人提供的技术文件、成果资料、技术秘密及声明需要保密的资料信息等商业秘密泄露给第三方。</w:t>
      </w:r>
    </w:p>
    <w:p>
      <w:pPr>
        <w:pStyle w:val="33"/>
        <w:spacing w:line="500" w:lineRule="exact"/>
        <w:jc w:val="left"/>
        <w:rPr>
          <w:rFonts w:ascii="宋体" w:hAnsi="宋体"/>
          <w:b/>
          <w:bCs/>
          <w:szCs w:val="21"/>
        </w:rPr>
      </w:pPr>
      <w:r>
        <w:rPr>
          <w:rFonts w:hint="eastAsia" w:ascii="宋体" w:hAnsi="宋体"/>
          <w:b/>
          <w:bCs/>
          <w:szCs w:val="21"/>
        </w:rPr>
        <w:t>第2条 发包人</w:t>
      </w:r>
    </w:p>
    <w:p>
      <w:pPr>
        <w:pStyle w:val="33"/>
        <w:spacing w:line="500" w:lineRule="exact"/>
        <w:jc w:val="left"/>
        <w:rPr>
          <w:rFonts w:ascii="宋体" w:hAnsi="宋体"/>
          <w:szCs w:val="21"/>
        </w:rPr>
      </w:pPr>
      <w:r>
        <w:rPr>
          <w:rFonts w:hint="eastAsia" w:ascii="宋体" w:hAnsi="宋体"/>
          <w:szCs w:val="21"/>
        </w:rPr>
        <w:t>2.1 发包人权利</w:t>
      </w:r>
    </w:p>
    <w:p>
      <w:pPr>
        <w:pStyle w:val="33"/>
        <w:spacing w:line="500" w:lineRule="exact"/>
        <w:jc w:val="left"/>
        <w:rPr>
          <w:rFonts w:ascii="宋体" w:hAnsi="宋体"/>
          <w:szCs w:val="21"/>
        </w:rPr>
      </w:pPr>
      <w:r>
        <w:rPr>
          <w:rFonts w:hint="eastAsia" w:ascii="宋体" w:hAnsi="宋体"/>
          <w:szCs w:val="21"/>
        </w:rPr>
        <w:t>2.1.1 发包人对勘察人的勘察工作有权依照合同约定实施监督，并对勘察成果予以验收。</w:t>
      </w:r>
    </w:p>
    <w:p>
      <w:pPr>
        <w:pStyle w:val="33"/>
        <w:spacing w:line="500" w:lineRule="exact"/>
        <w:jc w:val="left"/>
        <w:rPr>
          <w:rFonts w:ascii="宋体" w:hAnsi="宋体"/>
          <w:szCs w:val="21"/>
        </w:rPr>
      </w:pPr>
      <w:r>
        <w:rPr>
          <w:rFonts w:hint="eastAsia" w:ascii="宋体" w:hAnsi="宋体"/>
          <w:szCs w:val="21"/>
        </w:rPr>
        <w:t>2.1.2 发包人对勘察人无法胜任工程勘察工作的人员有权提出更换。</w:t>
      </w:r>
    </w:p>
    <w:p>
      <w:pPr>
        <w:pStyle w:val="33"/>
        <w:spacing w:line="500" w:lineRule="exact"/>
        <w:jc w:val="left"/>
        <w:rPr>
          <w:rFonts w:ascii="宋体" w:hAnsi="宋体"/>
          <w:szCs w:val="21"/>
        </w:rPr>
      </w:pPr>
      <w:r>
        <w:rPr>
          <w:rFonts w:hint="eastAsia" w:ascii="宋体" w:hAnsi="宋体"/>
          <w:szCs w:val="21"/>
        </w:rPr>
        <w:t>2.1.3 发包人拥有勘察人为其项目编制的所有文件资料的使用权，包括投标文件、成果资料和数据等。</w:t>
      </w:r>
    </w:p>
    <w:p>
      <w:pPr>
        <w:pStyle w:val="33"/>
        <w:spacing w:line="500" w:lineRule="exact"/>
        <w:jc w:val="left"/>
        <w:rPr>
          <w:rFonts w:ascii="宋体" w:hAnsi="宋体"/>
          <w:szCs w:val="21"/>
        </w:rPr>
      </w:pPr>
      <w:r>
        <w:rPr>
          <w:rFonts w:hint="eastAsia" w:ascii="宋体" w:hAnsi="宋体"/>
          <w:szCs w:val="21"/>
        </w:rPr>
        <w:t>2.2 发包人义务</w:t>
      </w:r>
    </w:p>
    <w:p>
      <w:pPr>
        <w:pStyle w:val="33"/>
        <w:spacing w:line="500" w:lineRule="exact"/>
        <w:jc w:val="left"/>
        <w:rPr>
          <w:rFonts w:ascii="宋体" w:hAnsi="宋体"/>
          <w:szCs w:val="21"/>
        </w:rPr>
      </w:pPr>
      <w:r>
        <w:rPr>
          <w:rFonts w:hint="eastAsia" w:ascii="宋体" w:hAnsi="宋体"/>
          <w:szCs w:val="21"/>
        </w:rPr>
        <w:t>2.2.1 发包人应以书面形式向勘察人明确勘察任务及技术要求。</w:t>
      </w:r>
    </w:p>
    <w:p>
      <w:pPr>
        <w:pStyle w:val="33"/>
        <w:spacing w:line="500" w:lineRule="exact"/>
        <w:jc w:val="left"/>
        <w:rPr>
          <w:rFonts w:ascii="宋体" w:hAnsi="宋体"/>
          <w:szCs w:val="21"/>
        </w:rPr>
      </w:pPr>
      <w:r>
        <w:rPr>
          <w:rFonts w:hint="eastAsia" w:ascii="宋体" w:hAnsi="宋体"/>
          <w:szCs w:val="21"/>
        </w:rPr>
        <w:t>2.2.2 发包人应提供开展工程勘察工作所需要的图纸及技术资料，包括总平面图、地形图、已有水准点和坐标控制点等，若上述资料由勘察人负责搜集时，发包人应承担相关费用。</w:t>
      </w:r>
    </w:p>
    <w:p>
      <w:pPr>
        <w:pStyle w:val="33"/>
        <w:spacing w:line="500" w:lineRule="exact"/>
        <w:jc w:val="left"/>
        <w:rPr>
          <w:rFonts w:ascii="宋体" w:hAnsi="宋体"/>
          <w:szCs w:val="21"/>
        </w:rPr>
      </w:pPr>
      <w:r>
        <w:rPr>
          <w:rFonts w:hint="eastAsia" w:ascii="宋体" w:hAnsi="宋体"/>
          <w:szCs w:val="21"/>
        </w:rPr>
        <w:t>2.2.3 发包人应提供工程勘察作业所需的批准及许可文件，包括立项批复、占用和挖掘道路许可等。</w:t>
      </w:r>
    </w:p>
    <w:p>
      <w:pPr>
        <w:pStyle w:val="33"/>
        <w:spacing w:line="500" w:lineRule="exact"/>
        <w:jc w:val="left"/>
        <w:rPr>
          <w:rFonts w:ascii="宋体" w:hAnsi="宋体"/>
          <w:szCs w:val="21"/>
        </w:rPr>
      </w:pPr>
      <w:r>
        <w:rPr>
          <w:rFonts w:hint="eastAsia" w:ascii="宋体" w:hAnsi="宋体"/>
          <w:szCs w:val="21"/>
        </w:rPr>
        <w:t>2.2.4 发包人应为勘察人提供具备条件的作业场地及进场通道（包括土地征用、障碍物清除、场地平整、提供水电接口和青苗赔偿等）并承担相关费用。</w:t>
      </w:r>
    </w:p>
    <w:p>
      <w:pPr>
        <w:pStyle w:val="33"/>
        <w:spacing w:line="500" w:lineRule="exact"/>
        <w:jc w:val="left"/>
        <w:rPr>
          <w:rFonts w:ascii="宋体" w:hAnsi="宋体"/>
          <w:szCs w:val="21"/>
        </w:rPr>
      </w:pPr>
      <w:r>
        <w:rPr>
          <w:rFonts w:hint="eastAsia" w:ascii="宋体" w:hAnsi="宋体"/>
          <w:szCs w:val="21"/>
        </w:rPr>
        <w:t>2.2.5 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pStyle w:val="33"/>
        <w:spacing w:line="500" w:lineRule="exact"/>
        <w:jc w:val="left"/>
        <w:rPr>
          <w:rFonts w:ascii="宋体" w:hAnsi="宋体"/>
          <w:szCs w:val="21"/>
        </w:rPr>
      </w:pPr>
      <w:r>
        <w:rPr>
          <w:rFonts w:hint="eastAsia" w:ascii="宋体" w:hAnsi="宋体"/>
          <w:szCs w:val="21"/>
        </w:rPr>
        <w:t>2.2.6 发包人应按照法律法规规定为勘察人安全生产提供条件并支付安全生产防护费用，发包人不得要求勘察人违反安全生产管理规定进行作业。</w:t>
      </w:r>
    </w:p>
    <w:p>
      <w:pPr>
        <w:pStyle w:val="33"/>
        <w:spacing w:line="500" w:lineRule="exact"/>
        <w:jc w:val="left"/>
        <w:rPr>
          <w:rFonts w:ascii="宋体" w:hAnsi="宋体"/>
          <w:szCs w:val="21"/>
        </w:rPr>
      </w:pPr>
      <w:r>
        <w:rPr>
          <w:rFonts w:hint="eastAsia" w:ascii="宋体" w:hAnsi="宋体"/>
          <w:szCs w:val="21"/>
        </w:rPr>
        <w:t>2.2.7 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pStyle w:val="33"/>
        <w:spacing w:line="500" w:lineRule="exact"/>
        <w:jc w:val="left"/>
        <w:rPr>
          <w:rFonts w:ascii="宋体" w:hAnsi="宋体"/>
          <w:szCs w:val="21"/>
        </w:rPr>
      </w:pPr>
      <w:r>
        <w:rPr>
          <w:rFonts w:hint="eastAsia" w:ascii="宋体" w:hAnsi="宋体"/>
          <w:szCs w:val="21"/>
        </w:rPr>
        <w:t>2.2.8 发包人应对勘察人满足质量标准的已完工作，按照合同约定及时支付相应的工程勘察合同价款及费用。</w:t>
      </w:r>
    </w:p>
    <w:p>
      <w:pPr>
        <w:pStyle w:val="33"/>
        <w:spacing w:line="500" w:lineRule="exact"/>
        <w:jc w:val="left"/>
        <w:rPr>
          <w:rFonts w:ascii="宋体" w:hAnsi="宋体"/>
          <w:szCs w:val="21"/>
        </w:rPr>
      </w:pPr>
      <w:r>
        <w:rPr>
          <w:rFonts w:hint="eastAsia" w:ascii="宋体" w:hAnsi="宋体"/>
          <w:szCs w:val="21"/>
        </w:rPr>
        <w:t>2.3 发包人代表</w:t>
      </w:r>
    </w:p>
    <w:p>
      <w:pPr>
        <w:pStyle w:val="33"/>
        <w:spacing w:line="500" w:lineRule="exact"/>
        <w:ind w:left="210" w:leftChars="100" w:firstLine="420" w:firstLineChars="200"/>
        <w:jc w:val="left"/>
        <w:rPr>
          <w:rFonts w:ascii="宋体" w:hAnsi="宋体"/>
          <w:szCs w:val="21"/>
        </w:rPr>
      </w:pPr>
      <w:r>
        <w:rPr>
          <w:rFonts w:hint="eastAsia" w:ascii="宋体" w:hAnsi="宋体"/>
          <w:szCs w:val="21"/>
        </w:rPr>
        <w:t>发包人应在专用合同条款中明确其负责工程勘察的发包人代表的姓名、职务、联系方式及授权范围等事项。发包人代表在发包人的授权范围内，负责处理合同履行过程中与发包人有关的具体事宜。</w:t>
      </w:r>
    </w:p>
    <w:p>
      <w:pPr>
        <w:pStyle w:val="33"/>
        <w:spacing w:line="500" w:lineRule="exact"/>
        <w:jc w:val="left"/>
        <w:rPr>
          <w:rFonts w:ascii="宋体" w:hAnsi="宋体"/>
          <w:b/>
          <w:bCs/>
          <w:szCs w:val="21"/>
        </w:rPr>
      </w:pPr>
      <w:r>
        <w:rPr>
          <w:rFonts w:hint="eastAsia" w:ascii="宋体" w:hAnsi="宋体"/>
          <w:b/>
          <w:bCs/>
          <w:szCs w:val="21"/>
        </w:rPr>
        <w:t>第3条 勘察人</w:t>
      </w:r>
    </w:p>
    <w:p>
      <w:pPr>
        <w:pStyle w:val="33"/>
        <w:spacing w:line="500" w:lineRule="exact"/>
        <w:jc w:val="left"/>
        <w:rPr>
          <w:rFonts w:ascii="宋体" w:hAnsi="宋体"/>
          <w:szCs w:val="21"/>
        </w:rPr>
      </w:pPr>
      <w:r>
        <w:rPr>
          <w:rFonts w:hint="eastAsia" w:ascii="宋体" w:hAnsi="宋体"/>
          <w:szCs w:val="21"/>
        </w:rPr>
        <w:t>3.1 勘察人权利</w:t>
      </w:r>
    </w:p>
    <w:p>
      <w:pPr>
        <w:pStyle w:val="33"/>
        <w:spacing w:line="500" w:lineRule="exact"/>
        <w:jc w:val="left"/>
        <w:rPr>
          <w:rFonts w:ascii="宋体" w:hAnsi="宋体"/>
          <w:szCs w:val="21"/>
        </w:rPr>
      </w:pPr>
      <w:r>
        <w:rPr>
          <w:rFonts w:hint="eastAsia" w:ascii="宋体" w:hAnsi="宋体"/>
          <w:szCs w:val="21"/>
        </w:rPr>
        <w:t>3.1.1 勘察人在工程勘察期间，根据项目条件和技术标准、法律法规规定等方面的变化，有权向发包人提出增减合同工作量或修改技术方案的建议。</w:t>
      </w:r>
    </w:p>
    <w:p>
      <w:pPr>
        <w:pStyle w:val="33"/>
        <w:spacing w:line="500" w:lineRule="exact"/>
        <w:jc w:val="left"/>
        <w:rPr>
          <w:rFonts w:ascii="宋体" w:hAnsi="宋体"/>
          <w:szCs w:val="21"/>
        </w:rPr>
      </w:pPr>
      <w:r>
        <w:rPr>
          <w:rFonts w:hint="eastAsia" w:ascii="宋体" w:hAnsi="宋体"/>
          <w:szCs w:val="21"/>
        </w:rPr>
        <w:t>3.1.2 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pStyle w:val="33"/>
        <w:spacing w:line="500" w:lineRule="exact"/>
        <w:jc w:val="left"/>
        <w:rPr>
          <w:rFonts w:ascii="宋体" w:hAnsi="宋体"/>
          <w:szCs w:val="21"/>
        </w:rPr>
      </w:pPr>
      <w:r>
        <w:rPr>
          <w:rFonts w:hint="eastAsia" w:ascii="宋体" w:hAnsi="宋体"/>
          <w:szCs w:val="21"/>
        </w:rPr>
        <w:t>3.1.3 勘察人对其编制的所有文件资料，包括投标文件、成果资料、数据和专利技术等拥有知识产权。</w:t>
      </w:r>
    </w:p>
    <w:p>
      <w:pPr>
        <w:pStyle w:val="33"/>
        <w:spacing w:line="500" w:lineRule="exact"/>
        <w:jc w:val="left"/>
        <w:rPr>
          <w:rFonts w:ascii="宋体" w:hAnsi="宋体"/>
          <w:szCs w:val="21"/>
        </w:rPr>
      </w:pPr>
      <w:r>
        <w:rPr>
          <w:rFonts w:hint="eastAsia" w:ascii="宋体" w:hAnsi="宋体"/>
          <w:szCs w:val="21"/>
        </w:rPr>
        <w:t>3.2 勘察人义务</w:t>
      </w:r>
    </w:p>
    <w:p>
      <w:pPr>
        <w:pStyle w:val="33"/>
        <w:spacing w:line="500" w:lineRule="exact"/>
        <w:jc w:val="left"/>
        <w:rPr>
          <w:rFonts w:ascii="宋体" w:hAnsi="宋体"/>
          <w:szCs w:val="21"/>
        </w:rPr>
      </w:pPr>
      <w:r>
        <w:rPr>
          <w:rFonts w:hint="eastAsia" w:ascii="宋体" w:hAnsi="宋体"/>
          <w:szCs w:val="21"/>
        </w:rPr>
        <w:t>3.2.1 勘察人应按勘察任务书和技术要求并依据有关技术标准进行工程勘察工作。</w:t>
      </w:r>
    </w:p>
    <w:p>
      <w:pPr>
        <w:pStyle w:val="33"/>
        <w:spacing w:line="500" w:lineRule="exact"/>
        <w:jc w:val="left"/>
        <w:rPr>
          <w:rFonts w:ascii="宋体" w:hAnsi="宋体"/>
          <w:szCs w:val="21"/>
        </w:rPr>
      </w:pPr>
      <w:r>
        <w:rPr>
          <w:rFonts w:hint="eastAsia" w:ascii="宋体" w:hAnsi="宋体"/>
          <w:szCs w:val="21"/>
        </w:rPr>
        <w:t>3.2.2 勘察人应建立质量保证体系，按本合同约定的时间提交质量合格的成果资料，并对其质量负责。</w:t>
      </w:r>
    </w:p>
    <w:p>
      <w:pPr>
        <w:pStyle w:val="33"/>
        <w:spacing w:line="500" w:lineRule="exact"/>
        <w:jc w:val="left"/>
        <w:rPr>
          <w:rFonts w:ascii="宋体" w:hAnsi="宋体"/>
          <w:szCs w:val="21"/>
        </w:rPr>
      </w:pPr>
      <w:r>
        <w:rPr>
          <w:rFonts w:hint="eastAsia" w:ascii="宋体" w:hAnsi="宋体"/>
          <w:szCs w:val="21"/>
        </w:rPr>
        <w:t>3.2.3 勘察人在提交成果资料后，应为发包人继续提供后期服务。</w:t>
      </w:r>
    </w:p>
    <w:p>
      <w:pPr>
        <w:pStyle w:val="33"/>
        <w:spacing w:line="500" w:lineRule="exact"/>
        <w:jc w:val="left"/>
        <w:rPr>
          <w:rFonts w:ascii="宋体" w:hAnsi="宋体"/>
          <w:szCs w:val="21"/>
        </w:rPr>
      </w:pPr>
      <w:r>
        <w:rPr>
          <w:rFonts w:hint="eastAsia" w:ascii="宋体" w:hAnsi="宋体"/>
          <w:szCs w:val="21"/>
        </w:rPr>
        <w:t>3.2.4 勘察人在工程勘察期间遇到地下文物时，应及时向发包人和文物主管部门报告并妥善保护。</w:t>
      </w:r>
    </w:p>
    <w:p>
      <w:pPr>
        <w:pStyle w:val="33"/>
        <w:spacing w:line="500" w:lineRule="exact"/>
        <w:jc w:val="left"/>
        <w:rPr>
          <w:rFonts w:ascii="宋体" w:hAnsi="宋体"/>
          <w:szCs w:val="21"/>
        </w:rPr>
      </w:pPr>
      <w:r>
        <w:rPr>
          <w:rFonts w:hint="eastAsia" w:ascii="宋体" w:hAnsi="宋体"/>
          <w:szCs w:val="21"/>
        </w:rPr>
        <w:t>3.2.5 勘察人开展工程勘察活动时应遵守有关职业健康及安全生产方面的各项法律法规的规定，采取安全防护措施，确保人员、设备和设施的安全。</w:t>
      </w:r>
    </w:p>
    <w:p>
      <w:pPr>
        <w:pStyle w:val="33"/>
        <w:spacing w:line="500" w:lineRule="exact"/>
        <w:jc w:val="left"/>
        <w:rPr>
          <w:rFonts w:ascii="宋体" w:hAnsi="宋体"/>
          <w:szCs w:val="21"/>
        </w:rPr>
      </w:pPr>
      <w:r>
        <w:rPr>
          <w:rFonts w:hint="eastAsia" w:ascii="宋体" w:hAnsi="宋体"/>
          <w:szCs w:val="21"/>
        </w:rPr>
        <w:t>3.2.6 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pStyle w:val="33"/>
        <w:spacing w:line="500" w:lineRule="exact"/>
        <w:jc w:val="left"/>
        <w:rPr>
          <w:rFonts w:ascii="宋体" w:hAnsi="宋体"/>
          <w:szCs w:val="21"/>
        </w:rPr>
      </w:pPr>
      <w:r>
        <w:rPr>
          <w:rFonts w:hint="eastAsia" w:ascii="宋体" w:hAnsi="宋体"/>
          <w:szCs w:val="21"/>
        </w:rPr>
        <w:t>3.2.7 勘察人应在勘察方案中列明环境保护的具体措施，并在合同履行期间采取合理措施保护作业现场环境。</w:t>
      </w:r>
    </w:p>
    <w:p>
      <w:pPr>
        <w:pStyle w:val="33"/>
        <w:spacing w:line="500" w:lineRule="exact"/>
        <w:jc w:val="left"/>
        <w:rPr>
          <w:rFonts w:ascii="宋体" w:hAnsi="宋体"/>
          <w:szCs w:val="21"/>
        </w:rPr>
      </w:pPr>
      <w:r>
        <w:rPr>
          <w:rFonts w:hint="eastAsia" w:ascii="宋体" w:hAnsi="宋体"/>
          <w:szCs w:val="21"/>
        </w:rPr>
        <w:t>3.3 勘察人代表</w:t>
      </w:r>
    </w:p>
    <w:p>
      <w:pPr>
        <w:pStyle w:val="33"/>
        <w:spacing w:line="500" w:lineRule="exact"/>
        <w:ind w:left="210" w:leftChars="100" w:firstLine="420" w:firstLineChars="200"/>
        <w:jc w:val="left"/>
        <w:rPr>
          <w:rFonts w:ascii="宋体" w:hAnsi="宋体"/>
          <w:szCs w:val="21"/>
        </w:rPr>
      </w:pPr>
      <w:r>
        <w:rPr>
          <w:rFonts w:hint="eastAsia" w:ascii="宋体" w:hAnsi="宋体"/>
          <w:szCs w:val="21"/>
        </w:rPr>
        <w:t>勘察人接受任务时，应在专用合同条款中明确其负责工程勘察的勘察人代表的姓名、职务、联系方式及授权范围等事项。勘察人代表在勘察人的授权范围内，负责处理合同履行过程中与勘察人有关的具体事宜。</w:t>
      </w:r>
    </w:p>
    <w:p>
      <w:pPr>
        <w:pStyle w:val="33"/>
        <w:spacing w:line="500" w:lineRule="exact"/>
        <w:jc w:val="left"/>
        <w:rPr>
          <w:rFonts w:ascii="宋体" w:hAnsi="宋体"/>
          <w:b/>
          <w:bCs/>
          <w:szCs w:val="21"/>
        </w:rPr>
      </w:pPr>
      <w:r>
        <w:rPr>
          <w:rFonts w:hint="eastAsia" w:ascii="宋体" w:hAnsi="宋体"/>
          <w:b/>
          <w:bCs/>
          <w:szCs w:val="21"/>
        </w:rPr>
        <w:t>第4条 工期</w:t>
      </w:r>
    </w:p>
    <w:p>
      <w:pPr>
        <w:pStyle w:val="33"/>
        <w:spacing w:line="500" w:lineRule="exact"/>
        <w:jc w:val="left"/>
        <w:rPr>
          <w:rFonts w:ascii="宋体" w:hAnsi="宋体"/>
          <w:szCs w:val="21"/>
        </w:rPr>
      </w:pPr>
      <w:r>
        <w:rPr>
          <w:rFonts w:hint="eastAsia" w:ascii="宋体" w:hAnsi="宋体"/>
          <w:szCs w:val="21"/>
        </w:rPr>
        <w:t>4.1 开工及延期开工</w:t>
      </w:r>
    </w:p>
    <w:p>
      <w:pPr>
        <w:pStyle w:val="33"/>
        <w:spacing w:line="500" w:lineRule="exact"/>
        <w:jc w:val="left"/>
        <w:rPr>
          <w:rFonts w:ascii="宋体" w:hAnsi="宋体"/>
          <w:szCs w:val="21"/>
        </w:rPr>
      </w:pPr>
      <w:r>
        <w:rPr>
          <w:rFonts w:hint="eastAsia" w:ascii="宋体" w:hAnsi="宋体"/>
          <w:szCs w:val="21"/>
        </w:rPr>
        <w:t>4.1.1 勘察人应按合同约定的工期进行工程勘察工作，并接受发包人对工程勘察工作进度的监督、检查。</w:t>
      </w:r>
    </w:p>
    <w:p>
      <w:pPr>
        <w:pStyle w:val="33"/>
        <w:spacing w:line="500" w:lineRule="exact"/>
        <w:jc w:val="left"/>
        <w:rPr>
          <w:rFonts w:ascii="宋体" w:hAnsi="宋体"/>
          <w:szCs w:val="21"/>
        </w:rPr>
      </w:pPr>
      <w:r>
        <w:rPr>
          <w:rFonts w:hint="eastAsia" w:ascii="宋体" w:hAnsi="宋体"/>
          <w:szCs w:val="21"/>
        </w:rPr>
        <w:t>4.1.2 因发包人原因不能按照合同约定的日期开工，发包人应以书面形式通知勘察人，推迟开工日期并相应顺延工期。</w:t>
      </w:r>
    </w:p>
    <w:p>
      <w:pPr>
        <w:pStyle w:val="33"/>
        <w:spacing w:line="500" w:lineRule="exact"/>
        <w:jc w:val="left"/>
        <w:rPr>
          <w:rFonts w:ascii="宋体" w:hAnsi="宋体"/>
          <w:szCs w:val="21"/>
        </w:rPr>
      </w:pPr>
      <w:r>
        <w:rPr>
          <w:rFonts w:hint="eastAsia" w:ascii="宋体" w:hAnsi="宋体"/>
          <w:szCs w:val="21"/>
        </w:rPr>
        <w:t>4.2 成果提交日期</w:t>
      </w:r>
    </w:p>
    <w:p>
      <w:pPr>
        <w:pStyle w:val="33"/>
        <w:spacing w:line="500" w:lineRule="exact"/>
        <w:ind w:left="210" w:leftChars="100" w:firstLine="420" w:firstLineChars="200"/>
        <w:jc w:val="left"/>
        <w:rPr>
          <w:rFonts w:ascii="宋体" w:hAnsi="宋体"/>
          <w:szCs w:val="21"/>
        </w:rPr>
      </w:pPr>
      <w:r>
        <w:rPr>
          <w:rFonts w:hint="eastAsia" w:ascii="宋体" w:hAnsi="宋体"/>
          <w:szCs w:val="21"/>
        </w:rPr>
        <w:t>勘察人应按照合同约定的日期或双方同意顺延的工期提交成果资料，具体可在专用合同条款中约定。</w:t>
      </w:r>
    </w:p>
    <w:p>
      <w:pPr>
        <w:pStyle w:val="33"/>
        <w:spacing w:line="500" w:lineRule="exact"/>
        <w:jc w:val="left"/>
        <w:rPr>
          <w:rFonts w:ascii="宋体" w:hAnsi="宋体"/>
          <w:szCs w:val="21"/>
        </w:rPr>
      </w:pPr>
      <w:r>
        <w:rPr>
          <w:rFonts w:hint="eastAsia" w:ascii="宋体" w:hAnsi="宋体"/>
          <w:szCs w:val="21"/>
        </w:rPr>
        <w:t>4.3 发包人造成的工期延误</w:t>
      </w:r>
    </w:p>
    <w:p>
      <w:pPr>
        <w:pStyle w:val="33"/>
        <w:spacing w:line="500" w:lineRule="exact"/>
        <w:jc w:val="left"/>
        <w:rPr>
          <w:rFonts w:ascii="宋体" w:hAnsi="宋体"/>
          <w:szCs w:val="21"/>
        </w:rPr>
      </w:pPr>
      <w:r>
        <w:rPr>
          <w:rFonts w:hint="eastAsia" w:ascii="宋体" w:hAnsi="宋体"/>
          <w:szCs w:val="21"/>
        </w:rPr>
        <w:t>4.3.1 因以下情形造成工期延误，勘察人有权要求发包人延长工期、增加合同价款和（或）补偿费用：</w:t>
      </w:r>
    </w:p>
    <w:p>
      <w:pPr>
        <w:pStyle w:val="33"/>
        <w:spacing w:line="500" w:lineRule="exact"/>
        <w:jc w:val="left"/>
        <w:rPr>
          <w:rFonts w:ascii="宋体" w:hAnsi="宋体"/>
          <w:szCs w:val="21"/>
        </w:rPr>
      </w:pPr>
      <w:r>
        <w:rPr>
          <w:rFonts w:hint="eastAsia" w:ascii="宋体" w:hAnsi="宋体"/>
          <w:szCs w:val="21"/>
        </w:rPr>
        <w:t>（1）发包人未能按合同约定提供图纸及开工条件；</w:t>
      </w:r>
    </w:p>
    <w:p>
      <w:pPr>
        <w:pStyle w:val="33"/>
        <w:spacing w:line="500" w:lineRule="exact"/>
        <w:jc w:val="left"/>
        <w:rPr>
          <w:rFonts w:ascii="宋体" w:hAnsi="宋体"/>
          <w:szCs w:val="21"/>
        </w:rPr>
      </w:pPr>
      <w:r>
        <w:rPr>
          <w:rFonts w:hint="eastAsia" w:ascii="宋体" w:hAnsi="宋体"/>
          <w:szCs w:val="21"/>
        </w:rPr>
        <w:t>（2）发包人未能按合同约定及时支付定金、预付款和（或）进度款；</w:t>
      </w:r>
    </w:p>
    <w:p>
      <w:pPr>
        <w:pStyle w:val="33"/>
        <w:spacing w:line="500" w:lineRule="exact"/>
        <w:jc w:val="left"/>
        <w:rPr>
          <w:rFonts w:ascii="宋体" w:hAnsi="宋体"/>
          <w:szCs w:val="21"/>
        </w:rPr>
      </w:pPr>
      <w:r>
        <w:rPr>
          <w:rFonts w:hint="eastAsia" w:ascii="宋体" w:hAnsi="宋体"/>
          <w:szCs w:val="21"/>
        </w:rPr>
        <w:t>（3）变更导致合同工作量增加；</w:t>
      </w:r>
    </w:p>
    <w:p>
      <w:pPr>
        <w:pStyle w:val="33"/>
        <w:spacing w:line="500" w:lineRule="exact"/>
        <w:jc w:val="left"/>
        <w:rPr>
          <w:rFonts w:ascii="宋体" w:hAnsi="宋体"/>
          <w:szCs w:val="21"/>
        </w:rPr>
      </w:pPr>
      <w:r>
        <w:rPr>
          <w:rFonts w:hint="eastAsia" w:ascii="宋体" w:hAnsi="宋体"/>
          <w:szCs w:val="21"/>
        </w:rPr>
        <w:t>（4）发包人增加合同工作内容；</w:t>
      </w:r>
    </w:p>
    <w:p>
      <w:pPr>
        <w:pStyle w:val="33"/>
        <w:spacing w:line="500" w:lineRule="exact"/>
        <w:jc w:val="left"/>
        <w:rPr>
          <w:rFonts w:ascii="宋体" w:hAnsi="宋体"/>
          <w:szCs w:val="21"/>
        </w:rPr>
      </w:pPr>
      <w:r>
        <w:rPr>
          <w:rFonts w:hint="eastAsia" w:ascii="宋体" w:hAnsi="宋体"/>
          <w:szCs w:val="21"/>
        </w:rPr>
        <w:t>（5）发包人改变工程勘察技术要求；</w:t>
      </w:r>
    </w:p>
    <w:p>
      <w:pPr>
        <w:pStyle w:val="33"/>
        <w:spacing w:line="500" w:lineRule="exact"/>
        <w:jc w:val="left"/>
        <w:rPr>
          <w:rFonts w:ascii="宋体" w:hAnsi="宋体"/>
          <w:szCs w:val="21"/>
        </w:rPr>
      </w:pPr>
      <w:r>
        <w:rPr>
          <w:rFonts w:hint="eastAsia" w:ascii="宋体" w:hAnsi="宋体"/>
          <w:szCs w:val="21"/>
        </w:rPr>
        <w:t>（6）发包人导致工期延误的其他情形。</w:t>
      </w:r>
    </w:p>
    <w:p>
      <w:pPr>
        <w:pStyle w:val="33"/>
        <w:spacing w:line="500" w:lineRule="exact"/>
        <w:jc w:val="left"/>
        <w:rPr>
          <w:rFonts w:ascii="宋体" w:hAnsi="宋体"/>
          <w:szCs w:val="21"/>
        </w:rPr>
      </w:pPr>
      <w:r>
        <w:rPr>
          <w:rFonts w:hint="eastAsia" w:ascii="宋体" w:hAnsi="宋体"/>
          <w:szCs w:val="21"/>
        </w:rPr>
        <w:t>4.3.2 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pStyle w:val="33"/>
        <w:spacing w:line="500" w:lineRule="exact"/>
        <w:jc w:val="left"/>
        <w:rPr>
          <w:rFonts w:ascii="宋体" w:hAnsi="宋体"/>
          <w:szCs w:val="21"/>
        </w:rPr>
      </w:pPr>
      <w:r>
        <w:rPr>
          <w:rFonts w:hint="eastAsia" w:ascii="宋体" w:hAnsi="宋体"/>
          <w:szCs w:val="21"/>
        </w:rPr>
        <w:t>4.4 勘察人造成的工期延误</w:t>
      </w:r>
    </w:p>
    <w:p>
      <w:pPr>
        <w:pStyle w:val="33"/>
        <w:spacing w:line="500" w:lineRule="exact"/>
        <w:ind w:left="210" w:leftChars="100" w:firstLine="420" w:firstLineChars="200"/>
        <w:jc w:val="left"/>
        <w:rPr>
          <w:rFonts w:ascii="宋体" w:hAnsi="宋体"/>
          <w:szCs w:val="21"/>
        </w:rPr>
      </w:pPr>
      <w:r>
        <w:rPr>
          <w:rFonts w:hint="eastAsia" w:ascii="宋体" w:hAnsi="宋体"/>
          <w:szCs w:val="21"/>
        </w:rPr>
        <w:t>勘察人因以下情形不能按照合同约定的日期或双方同意顺延的工期提交成果资料的，勘察人承担违约责任：</w:t>
      </w:r>
    </w:p>
    <w:p>
      <w:pPr>
        <w:pStyle w:val="33"/>
        <w:spacing w:line="500" w:lineRule="exact"/>
        <w:jc w:val="left"/>
        <w:rPr>
          <w:rFonts w:ascii="宋体" w:hAnsi="宋体"/>
          <w:szCs w:val="21"/>
        </w:rPr>
      </w:pPr>
      <w:r>
        <w:rPr>
          <w:rFonts w:hint="eastAsia" w:ascii="宋体" w:hAnsi="宋体"/>
          <w:szCs w:val="21"/>
        </w:rPr>
        <w:t>（1）勘察人未按合同约定开工日期开展工作造成工期延误的；</w:t>
      </w:r>
    </w:p>
    <w:p>
      <w:pPr>
        <w:pStyle w:val="33"/>
        <w:spacing w:line="500" w:lineRule="exact"/>
        <w:jc w:val="left"/>
        <w:rPr>
          <w:rFonts w:ascii="宋体" w:hAnsi="宋体"/>
          <w:szCs w:val="21"/>
        </w:rPr>
      </w:pPr>
      <w:r>
        <w:rPr>
          <w:rFonts w:hint="eastAsia" w:ascii="宋体" w:hAnsi="宋体"/>
          <w:szCs w:val="21"/>
        </w:rPr>
        <w:t>（2）勘察人管理不善、组织不力造成工期延误的；</w:t>
      </w:r>
    </w:p>
    <w:p>
      <w:pPr>
        <w:pStyle w:val="33"/>
        <w:spacing w:line="500" w:lineRule="exact"/>
        <w:jc w:val="left"/>
        <w:rPr>
          <w:rFonts w:ascii="宋体" w:hAnsi="宋体"/>
          <w:szCs w:val="21"/>
        </w:rPr>
      </w:pPr>
      <w:r>
        <w:rPr>
          <w:rFonts w:hint="eastAsia" w:ascii="宋体" w:hAnsi="宋体"/>
          <w:szCs w:val="21"/>
        </w:rPr>
        <w:t>（3）因弥补勘察人自身原因导致的质量缺陷而造成工期延误的；</w:t>
      </w:r>
    </w:p>
    <w:p>
      <w:pPr>
        <w:pStyle w:val="33"/>
        <w:spacing w:line="500" w:lineRule="exact"/>
        <w:jc w:val="left"/>
        <w:rPr>
          <w:rFonts w:ascii="宋体" w:hAnsi="宋体"/>
          <w:szCs w:val="21"/>
        </w:rPr>
      </w:pPr>
      <w:r>
        <w:rPr>
          <w:rFonts w:hint="eastAsia" w:ascii="宋体" w:hAnsi="宋体"/>
          <w:szCs w:val="21"/>
        </w:rPr>
        <w:t>（4）因勘察人成果资料不合格返工造成工期延误的；</w:t>
      </w:r>
    </w:p>
    <w:p>
      <w:pPr>
        <w:pStyle w:val="33"/>
        <w:spacing w:line="500" w:lineRule="exact"/>
        <w:jc w:val="left"/>
        <w:rPr>
          <w:rFonts w:ascii="宋体" w:hAnsi="宋体"/>
          <w:szCs w:val="21"/>
        </w:rPr>
      </w:pPr>
      <w:r>
        <w:rPr>
          <w:rFonts w:hint="eastAsia" w:ascii="宋体" w:hAnsi="宋体"/>
          <w:szCs w:val="21"/>
        </w:rPr>
        <w:t>（5）勘察人导致工期延误的其他情形。</w:t>
      </w:r>
    </w:p>
    <w:p>
      <w:pPr>
        <w:pStyle w:val="33"/>
        <w:spacing w:line="500" w:lineRule="exact"/>
        <w:jc w:val="left"/>
        <w:rPr>
          <w:rFonts w:ascii="宋体" w:hAnsi="宋体"/>
          <w:szCs w:val="21"/>
        </w:rPr>
      </w:pPr>
      <w:r>
        <w:rPr>
          <w:rFonts w:hint="eastAsia" w:ascii="宋体" w:hAnsi="宋体"/>
          <w:szCs w:val="21"/>
        </w:rPr>
        <w:t>4.5 恶劣气候条件</w:t>
      </w:r>
    </w:p>
    <w:p>
      <w:pPr>
        <w:pStyle w:val="33"/>
        <w:spacing w:line="500" w:lineRule="exact"/>
        <w:ind w:left="210" w:leftChars="100" w:firstLine="420" w:firstLineChars="200"/>
        <w:jc w:val="left"/>
        <w:rPr>
          <w:rFonts w:ascii="宋体" w:hAnsi="宋体"/>
          <w:szCs w:val="21"/>
        </w:rPr>
      </w:pPr>
      <w:r>
        <w:rPr>
          <w:rFonts w:hint="eastAsia" w:ascii="宋体" w:hAnsi="宋体"/>
          <w:szCs w:val="21"/>
        </w:rPr>
        <w:t>恶劣气候条件影响现场作业，导致现场作业难以进行，造成工期延误的，勘察人有权要求发包人延长工期，具体可参照第4.3.2款处理。</w:t>
      </w:r>
    </w:p>
    <w:p>
      <w:pPr>
        <w:pStyle w:val="33"/>
        <w:spacing w:line="500" w:lineRule="exact"/>
        <w:jc w:val="left"/>
        <w:rPr>
          <w:rFonts w:ascii="宋体" w:hAnsi="宋体"/>
          <w:b/>
          <w:bCs/>
          <w:szCs w:val="21"/>
        </w:rPr>
      </w:pPr>
      <w:r>
        <w:rPr>
          <w:rFonts w:hint="eastAsia" w:ascii="宋体" w:hAnsi="宋体"/>
          <w:b/>
          <w:bCs/>
          <w:szCs w:val="21"/>
        </w:rPr>
        <w:t>第5条 成果资料</w:t>
      </w:r>
    </w:p>
    <w:p>
      <w:pPr>
        <w:pStyle w:val="33"/>
        <w:spacing w:line="500" w:lineRule="exact"/>
        <w:jc w:val="left"/>
        <w:rPr>
          <w:rFonts w:ascii="宋体" w:hAnsi="宋体"/>
          <w:szCs w:val="21"/>
        </w:rPr>
      </w:pPr>
      <w:r>
        <w:rPr>
          <w:rFonts w:hint="eastAsia" w:ascii="宋体" w:hAnsi="宋体"/>
          <w:szCs w:val="21"/>
        </w:rPr>
        <w:t>5.1 成果质量</w:t>
      </w:r>
    </w:p>
    <w:p>
      <w:pPr>
        <w:pStyle w:val="33"/>
        <w:spacing w:line="500" w:lineRule="exact"/>
        <w:jc w:val="left"/>
        <w:rPr>
          <w:rFonts w:ascii="宋体" w:hAnsi="宋体"/>
          <w:szCs w:val="21"/>
        </w:rPr>
      </w:pPr>
      <w:r>
        <w:rPr>
          <w:rFonts w:hint="eastAsia" w:ascii="宋体" w:hAnsi="宋体"/>
          <w:szCs w:val="21"/>
        </w:rPr>
        <w:t>5.1.1 成果质量应符合相关技术标准和深度规定，且满足合同约定的质量要求。</w:t>
      </w:r>
    </w:p>
    <w:p>
      <w:pPr>
        <w:pStyle w:val="33"/>
        <w:spacing w:line="500" w:lineRule="exact"/>
        <w:jc w:val="left"/>
        <w:rPr>
          <w:rFonts w:ascii="宋体" w:hAnsi="宋体"/>
          <w:szCs w:val="21"/>
        </w:rPr>
      </w:pPr>
      <w:r>
        <w:rPr>
          <w:rFonts w:hint="eastAsia" w:ascii="宋体" w:hAnsi="宋体"/>
          <w:szCs w:val="21"/>
        </w:rPr>
        <w:t>5.1.2 双方对工程勘察成果质量有争议时，由双方同意的第三方机构鉴定，所需费用及因此造成的损失，由责任方承担；双方均有责任的，由双方根据其责任分别承担。</w:t>
      </w:r>
    </w:p>
    <w:p>
      <w:pPr>
        <w:pStyle w:val="33"/>
        <w:spacing w:line="500" w:lineRule="exact"/>
        <w:jc w:val="left"/>
        <w:rPr>
          <w:rFonts w:ascii="宋体" w:hAnsi="宋体"/>
          <w:szCs w:val="21"/>
        </w:rPr>
      </w:pPr>
      <w:r>
        <w:rPr>
          <w:rFonts w:hint="eastAsia" w:ascii="宋体" w:hAnsi="宋体"/>
          <w:szCs w:val="21"/>
        </w:rPr>
        <w:t>5.2 成果份数</w:t>
      </w:r>
    </w:p>
    <w:p>
      <w:pPr>
        <w:pStyle w:val="33"/>
        <w:spacing w:line="500" w:lineRule="exact"/>
        <w:ind w:left="210" w:leftChars="100" w:firstLine="420" w:firstLineChars="200"/>
        <w:jc w:val="left"/>
        <w:rPr>
          <w:rFonts w:ascii="宋体" w:hAnsi="宋体"/>
          <w:szCs w:val="21"/>
        </w:rPr>
      </w:pPr>
      <w:r>
        <w:rPr>
          <w:rFonts w:hint="eastAsia" w:ascii="宋体" w:hAnsi="宋体"/>
          <w:szCs w:val="21"/>
        </w:rPr>
        <w:t>勘察人应向发包人提交成果资料四份，发包人要求增加的份数，在专用合同条款中另行约定，发包人另行支付相应的费用。</w:t>
      </w:r>
    </w:p>
    <w:p>
      <w:pPr>
        <w:pStyle w:val="33"/>
        <w:spacing w:line="500" w:lineRule="exact"/>
        <w:jc w:val="left"/>
        <w:rPr>
          <w:rFonts w:ascii="宋体" w:hAnsi="宋体"/>
          <w:szCs w:val="21"/>
        </w:rPr>
      </w:pPr>
      <w:r>
        <w:rPr>
          <w:rFonts w:hint="eastAsia" w:ascii="宋体" w:hAnsi="宋体"/>
          <w:szCs w:val="21"/>
        </w:rPr>
        <w:t>5.3 成果交付</w:t>
      </w:r>
    </w:p>
    <w:p>
      <w:pPr>
        <w:pStyle w:val="33"/>
        <w:spacing w:line="500" w:lineRule="exact"/>
        <w:ind w:left="210" w:leftChars="100" w:firstLine="420" w:firstLineChars="200"/>
        <w:jc w:val="left"/>
        <w:rPr>
          <w:rFonts w:ascii="宋体" w:hAnsi="宋体"/>
          <w:szCs w:val="21"/>
        </w:rPr>
      </w:pPr>
      <w:r>
        <w:rPr>
          <w:rFonts w:hint="eastAsia" w:ascii="宋体" w:hAnsi="宋体"/>
          <w:szCs w:val="21"/>
        </w:rPr>
        <w:t>勘察人按照约定时间和地点向发包人交付成果资料，发包人应出具书面签收单，内容包括成果名称、成果组成、成果份数、提交和签收日期、提交人与接收人的亲笔签名等。</w:t>
      </w:r>
    </w:p>
    <w:p>
      <w:pPr>
        <w:pStyle w:val="33"/>
        <w:spacing w:line="500" w:lineRule="exact"/>
        <w:jc w:val="left"/>
        <w:rPr>
          <w:rFonts w:ascii="宋体" w:hAnsi="宋体"/>
          <w:szCs w:val="21"/>
        </w:rPr>
      </w:pPr>
      <w:r>
        <w:rPr>
          <w:rFonts w:hint="eastAsia" w:ascii="宋体" w:hAnsi="宋体"/>
          <w:szCs w:val="21"/>
        </w:rPr>
        <w:t>5.4 成果验收</w:t>
      </w:r>
    </w:p>
    <w:p>
      <w:pPr>
        <w:pStyle w:val="33"/>
        <w:spacing w:line="500" w:lineRule="exact"/>
        <w:ind w:left="210" w:leftChars="100" w:firstLine="420" w:firstLineChars="200"/>
        <w:jc w:val="left"/>
        <w:rPr>
          <w:rFonts w:ascii="宋体" w:hAnsi="宋体"/>
          <w:szCs w:val="21"/>
        </w:rPr>
      </w:pPr>
      <w:r>
        <w:rPr>
          <w:rFonts w:hint="eastAsia" w:ascii="宋体" w:hAnsi="宋体"/>
          <w:szCs w:val="21"/>
        </w:rPr>
        <w:t>勘察人向发包人提交成果资料后，如需对勘察成果组织验收的，发包人应及时组织验收。除专用合同条款对期限另有约定外，发包人14天内无正当理由不予组织验收，视为验收通过。</w:t>
      </w:r>
    </w:p>
    <w:p>
      <w:pPr>
        <w:pStyle w:val="33"/>
        <w:spacing w:line="500" w:lineRule="exact"/>
        <w:jc w:val="left"/>
        <w:rPr>
          <w:rFonts w:ascii="宋体" w:hAnsi="宋体"/>
          <w:b/>
          <w:bCs/>
          <w:szCs w:val="21"/>
        </w:rPr>
      </w:pPr>
      <w:r>
        <w:rPr>
          <w:rFonts w:hint="eastAsia" w:ascii="宋体" w:hAnsi="宋体"/>
          <w:b/>
          <w:bCs/>
          <w:szCs w:val="21"/>
        </w:rPr>
        <w:t>第6条 后期服务</w:t>
      </w:r>
    </w:p>
    <w:p>
      <w:pPr>
        <w:pStyle w:val="33"/>
        <w:spacing w:line="500" w:lineRule="exact"/>
        <w:jc w:val="left"/>
        <w:rPr>
          <w:rFonts w:ascii="宋体" w:hAnsi="宋体"/>
          <w:szCs w:val="21"/>
        </w:rPr>
      </w:pPr>
      <w:r>
        <w:rPr>
          <w:rFonts w:hint="eastAsia" w:ascii="宋体" w:hAnsi="宋体"/>
          <w:szCs w:val="21"/>
        </w:rPr>
        <w:t>6.1 后续技术服务</w:t>
      </w:r>
    </w:p>
    <w:p>
      <w:pPr>
        <w:pStyle w:val="33"/>
        <w:spacing w:line="500" w:lineRule="exact"/>
        <w:ind w:left="210" w:leftChars="100" w:firstLine="420" w:firstLineChars="200"/>
        <w:jc w:val="left"/>
        <w:rPr>
          <w:rFonts w:ascii="宋体" w:hAnsi="宋体"/>
          <w:szCs w:val="21"/>
        </w:rPr>
      </w:pPr>
      <w:r>
        <w:rPr>
          <w:rFonts w:hint="eastAsia" w:ascii="宋体" w:hAnsi="宋体"/>
          <w:szCs w:val="21"/>
        </w:rPr>
        <w:t>勘察人应派专业技术人员为发包人提供后续技术服务，发包人应为其提供必要的工作和生活条件，后续技术服务的内容、费用和时限应由双方在专用合同条款中另行约定。</w:t>
      </w:r>
    </w:p>
    <w:p>
      <w:pPr>
        <w:pStyle w:val="33"/>
        <w:spacing w:line="500" w:lineRule="exact"/>
        <w:jc w:val="left"/>
        <w:rPr>
          <w:rFonts w:ascii="宋体" w:hAnsi="宋体"/>
          <w:szCs w:val="21"/>
        </w:rPr>
      </w:pPr>
      <w:r>
        <w:rPr>
          <w:rFonts w:hint="eastAsia" w:ascii="宋体" w:hAnsi="宋体"/>
          <w:szCs w:val="21"/>
        </w:rPr>
        <w:t>6.2 竣工验收</w:t>
      </w:r>
    </w:p>
    <w:p>
      <w:pPr>
        <w:pStyle w:val="33"/>
        <w:spacing w:line="500" w:lineRule="exact"/>
        <w:ind w:left="210" w:leftChars="100" w:firstLine="420" w:firstLineChars="200"/>
        <w:jc w:val="left"/>
        <w:rPr>
          <w:rFonts w:ascii="宋体" w:hAnsi="宋体"/>
          <w:szCs w:val="21"/>
        </w:rPr>
      </w:pPr>
      <w:r>
        <w:rPr>
          <w:rFonts w:hint="eastAsia" w:ascii="宋体" w:hAnsi="宋体"/>
          <w:szCs w:val="21"/>
        </w:rPr>
        <w:t>工程竣工验收时，勘察人应按发包人要求参加竣工验收工作，并提供竣工验收所需相关资料。</w:t>
      </w:r>
    </w:p>
    <w:p>
      <w:pPr>
        <w:pStyle w:val="33"/>
        <w:spacing w:line="500" w:lineRule="exact"/>
        <w:jc w:val="left"/>
        <w:rPr>
          <w:rFonts w:ascii="宋体" w:hAnsi="宋体"/>
          <w:b/>
          <w:bCs/>
          <w:szCs w:val="21"/>
        </w:rPr>
      </w:pPr>
      <w:r>
        <w:rPr>
          <w:rFonts w:hint="eastAsia" w:ascii="宋体" w:hAnsi="宋体"/>
          <w:b/>
          <w:bCs/>
          <w:szCs w:val="21"/>
        </w:rPr>
        <w:t>第7条 合同价款与支付</w:t>
      </w:r>
    </w:p>
    <w:p>
      <w:pPr>
        <w:pStyle w:val="33"/>
        <w:spacing w:line="500" w:lineRule="exact"/>
        <w:jc w:val="left"/>
        <w:rPr>
          <w:rFonts w:ascii="宋体" w:hAnsi="宋体"/>
          <w:szCs w:val="21"/>
        </w:rPr>
      </w:pPr>
      <w:r>
        <w:rPr>
          <w:rFonts w:hint="eastAsia" w:ascii="宋体" w:hAnsi="宋体"/>
          <w:szCs w:val="21"/>
        </w:rPr>
        <w:t>7.1 合同价款与调整</w:t>
      </w:r>
    </w:p>
    <w:p>
      <w:pPr>
        <w:pStyle w:val="33"/>
        <w:spacing w:line="500" w:lineRule="exact"/>
        <w:jc w:val="left"/>
        <w:rPr>
          <w:rFonts w:ascii="宋体" w:hAnsi="宋体"/>
          <w:szCs w:val="21"/>
        </w:rPr>
      </w:pPr>
      <w:r>
        <w:rPr>
          <w:rFonts w:hint="eastAsia" w:ascii="宋体" w:hAnsi="宋体"/>
          <w:szCs w:val="21"/>
        </w:rPr>
        <w:t>7.1.1 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pStyle w:val="33"/>
        <w:spacing w:line="500" w:lineRule="exact"/>
        <w:jc w:val="left"/>
        <w:rPr>
          <w:rFonts w:ascii="宋体" w:hAnsi="宋体"/>
          <w:szCs w:val="21"/>
        </w:rPr>
      </w:pPr>
      <w:r>
        <w:rPr>
          <w:rFonts w:hint="eastAsia" w:ascii="宋体" w:hAnsi="宋体"/>
          <w:szCs w:val="21"/>
        </w:rPr>
        <w:t>7.1.2 合同当事人可任选下列一种合同价款的形式，双方可在专用合同条款中约定：</w:t>
      </w:r>
    </w:p>
    <w:p>
      <w:pPr>
        <w:pStyle w:val="33"/>
        <w:spacing w:line="500" w:lineRule="exact"/>
        <w:jc w:val="left"/>
        <w:rPr>
          <w:rFonts w:ascii="宋体" w:hAnsi="宋体"/>
          <w:szCs w:val="21"/>
        </w:rPr>
      </w:pPr>
      <w:r>
        <w:rPr>
          <w:rFonts w:hint="eastAsia" w:ascii="宋体" w:hAnsi="宋体"/>
          <w:szCs w:val="21"/>
        </w:rPr>
        <w:t>（1）总价合同</w:t>
      </w:r>
    </w:p>
    <w:p>
      <w:pPr>
        <w:pStyle w:val="33"/>
        <w:spacing w:line="500" w:lineRule="exact"/>
        <w:ind w:left="210" w:leftChars="100" w:firstLine="420" w:firstLineChars="200"/>
        <w:jc w:val="left"/>
        <w:rPr>
          <w:rFonts w:ascii="宋体" w:hAnsi="宋体"/>
          <w:szCs w:val="21"/>
        </w:rPr>
      </w:pPr>
      <w:r>
        <w:rPr>
          <w:rFonts w:hint="eastAsia" w:ascii="宋体" w:hAnsi="宋体"/>
          <w:szCs w:val="21"/>
        </w:rPr>
        <w:t>双方在专用合同条款中约定合同价款包含的风险范围和风险费用的计算方法，在约定的风险范围内合同价款不再调整。风险范围以外的合同价款调整因素和方法，应在专用合同条款中约定。</w:t>
      </w:r>
    </w:p>
    <w:p>
      <w:pPr>
        <w:pStyle w:val="33"/>
        <w:spacing w:line="500" w:lineRule="exact"/>
        <w:jc w:val="left"/>
        <w:rPr>
          <w:rFonts w:ascii="宋体" w:hAnsi="宋体"/>
          <w:szCs w:val="21"/>
        </w:rPr>
      </w:pPr>
      <w:r>
        <w:rPr>
          <w:rFonts w:hint="eastAsia" w:ascii="宋体" w:hAnsi="宋体"/>
          <w:szCs w:val="21"/>
        </w:rPr>
        <w:t>（2）单价合同</w:t>
      </w:r>
    </w:p>
    <w:p>
      <w:pPr>
        <w:pStyle w:val="33"/>
        <w:spacing w:line="500" w:lineRule="exact"/>
        <w:ind w:left="210" w:leftChars="100" w:firstLine="420" w:firstLineChars="200"/>
        <w:jc w:val="left"/>
        <w:rPr>
          <w:rFonts w:ascii="宋体" w:hAnsi="宋体"/>
          <w:szCs w:val="21"/>
        </w:rPr>
      </w:pPr>
      <w:r>
        <w:rPr>
          <w:rFonts w:hint="eastAsia" w:ascii="宋体" w:hAnsi="宋体"/>
          <w:szCs w:val="21"/>
        </w:rPr>
        <w:t>合同价款根据工作量的变化而调整，合同单价在风险范围内一般不予调整，双方可在专用合同条款中约定合同单价调整因素和方法。</w:t>
      </w:r>
    </w:p>
    <w:p>
      <w:pPr>
        <w:pStyle w:val="33"/>
        <w:spacing w:line="500" w:lineRule="exact"/>
        <w:jc w:val="left"/>
        <w:rPr>
          <w:rFonts w:ascii="宋体" w:hAnsi="宋体"/>
          <w:szCs w:val="21"/>
        </w:rPr>
      </w:pPr>
      <w:r>
        <w:rPr>
          <w:rFonts w:hint="eastAsia" w:ascii="宋体" w:hAnsi="宋体"/>
          <w:szCs w:val="21"/>
        </w:rPr>
        <w:t>（3）其他合同价款形式</w:t>
      </w:r>
    </w:p>
    <w:p>
      <w:pPr>
        <w:pStyle w:val="33"/>
        <w:spacing w:line="500" w:lineRule="exact"/>
        <w:ind w:left="210" w:leftChars="100" w:firstLine="420" w:firstLineChars="200"/>
        <w:jc w:val="left"/>
        <w:rPr>
          <w:rFonts w:ascii="宋体" w:hAnsi="宋体"/>
          <w:szCs w:val="21"/>
        </w:rPr>
      </w:pPr>
      <w:r>
        <w:rPr>
          <w:rFonts w:hint="eastAsia" w:ascii="宋体" w:hAnsi="宋体"/>
          <w:szCs w:val="21"/>
        </w:rPr>
        <w:t>合同当事人可在专用合同条款中约定其他合同价格形式。</w:t>
      </w:r>
    </w:p>
    <w:p>
      <w:pPr>
        <w:pStyle w:val="33"/>
        <w:spacing w:line="500" w:lineRule="exact"/>
        <w:jc w:val="left"/>
        <w:rPr>
          <w:rFonts w:ascii="宋体" w:hAnsi="宋体"/>
          <w:szCs w:val="21"/>
        </w:rPr>
      </w:pPr>
      <w:r>
        <w:rPr>
          <w:rFonts w:hint="eastAsia" w:ascii="宋体" w:hAnsi="宋体"/>
          <w:szCs w:val="21"/>
        </w:rPr>
        <w:t>7.1.3 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pStyle w:val="33"/>
        <w:spacing w:line="500" w:lineRule="exact"/>
        <w:jc w:val="left"/>
        <w:rPr>
          <w:rFonts w:ascii="宋体" w:hAnsi="宋体"/>
          <w:szCs w:val="21"/>
        </w:rPr>
      </w:pPr>
      <w:r>
        <w:rPr>
          <w:rFonts w:hint="eastAsia" w:ascii="宋体" w:hAnsi="宋体"/>
          <w:szCs w:val="21"/>
        </w:rPr>
        <w:t>7.2 定金或预付款</w:t>
      </w:r>
    </w:p>
    <w:p>
      <w:pPr>
        <w:pStyle w:val="33"/>
        <w:spacing w:line="500" w:lineRule="exact"/>
        <w:jc w:val="left"/>
        <w:rPr>
          <w:rFonts w:ascii="宋体" w:hAnsi="宋体"/>
          <w:szCs w:val="21"/>
        </w:rPr>
      </w:pPr>
      <w:r>
        <w:rPr>
          <w:rFonts w:hint="eastAsia" w:ascii="宋体" w:hAnsi="宋体"/>
          <w:szCs w:val="21"/>
        </w:rPr>
        <w:t>7.2.1 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pStyle w:val="33"/>
        <w:spacing w:line="500" w:lineRule="exact"/>
        <w:jc w:val="left"/>
        <w:rPr>
          <w:rFonts w:ascii="宋体" w:hAnsi="宋体"/>
          <w:szCs w:val="21"/>
        </w:rPr>
      </w:pPr>
      <w:r>
        <w:rPr>
          <w:rFonts w:hint="eastAsia" w:ascii="宋体" w:hAnsi="宋体"/>
          <w:szCs w:val="21"/>
        </w:rPr>
        <w:t>7.2.2 定金或预付款在进度款中抵扣，抵扣办法可在专用合同条款中约定。</w:t>
      </w:r>
    </w:p>
    <w:p>
      <w:pPr>
        <w:pStyle w:val="33"/>
        <w:spacing w:line="500" w:lineRule="exact"/>
        <w:jc w:val="left"/>
        <w:rPr>
          <w:rFonts w:ascii="宋体" w:hAnsi="宋体"/>
          <w:szCs w:val="21"/>
        </w:rPr>
      </w:pPr>
      <w:r>
        <w:rPr>
          <w:rFonts w:hint="eastAsia" w:ascii="宋体" w:hAnsi="宋体"/>
          <w:szCs w:val="21"/>
        </w:rPr>
        <w:t>7.3 进度款支付</w:t>
      </w:r>
    </w:p>
    <w:p>
      <w:pPr>
        <w:pStyle w:val="33"/>
        <w:spacing w:line="500" w:lineRule="exact"/>
        <w:jc w:val="left"/>
        <w:rPr>
          <w:rFonts w:ascii="宋体" w:hAnsi="宋体"/>
          <w:szCs w:val="21"/>
        </w:rPr>
      </w:pPr>
      <w:r>
        <w:rPr>
          <w:rFonts w:hint="eastAsia" w:ascii="宋体" w:hAnsi="宋体"/>
          <w:szCs w:val="21"/>
        </w:rPr>
        <w:t>7.3.1 发包人应按照专用合同条款约定的进度款支付方式、支付条件和支付时间进行支付。</w:t>
      </w:r>
    </w:p>
    <w:p>
      <w:pPr>
        <w:pStyle w:val="33"/>
        <w:spacing w:line="500" w:lineRule="exact"/>
        <w:jc w:val="left"/>
        <w:rPr>
          <w:rFonts w:ascii="宋体" w:hAnsi="宋体"/>
          <w:szCs w:val="21"/>
        </w:rPr>
      </w:pPr>
      <w:r>
        <w:rPr>
          <w:rFonts w:hint="eastAsia" w:ascii="宋体" w:hAnsi="宋体"/>
          <w:szCs w:val="21"/>
        </w:rPr>
        <w:t>7.3.2 第7.1款〔合同价款与调整〕和第8.2款〔变更合同价款确定〕确定调整的合同价款及其他条款中约定的追加或减少的合同价款，应与进度款同期调整支付。</w:t>
      </w:r>
    </w:p>
    <w:p>
      <w:pPr>
        <w:pStyle w:val="33"/>
        <w:spacing w:line="500" w:lineRule="exact"/>
        <w:jc w:val="left"/>
        <w:rPr>
          <w:rFonts w:ascii="宋体" w:hAnsi="宋体"/>
          <w:szCs w:val="21"/>
        </w:rPr>
      </w:pPr>
      <w:r>
        <w:rPr>
          <w:rFonts w:hint="eastAsia" w:ascii="宋体" w:hAnsi="宋体"/>
          <w:szCs w:val="21"/>
        </w:rPr>
        <w:t>7.3.3 发包人超过约定的支付时间不支付进度款，勘察人可向发包人发出要求付款的通知，发包人收到勘察人通知后仍不能按要求付款，可与勘察人协商签订延期付款协议，经勘察人同意后可延期支付。</w:t>
      </w:r>
    </w:p>
    <w:p>
      <w:pPr>
        <w:pStyle w:val="33"/>
        <w:spacing w:line="500" w:lineRule="exact"/>
        <w:jc w:val="left"/>
        <w:rPr>
          <w:rFonts w:ascii="宋体" w:hAnsi="宋体"/>
          <w:szCs w:val="21"/>
        </w:rPr>
      </w:pPr>
      <w:r>
        <w:rPr>
          <w:rFonts w:hint="eastAsia" w:ascii="宋体" w:hAnsi="宋体"/>
          <w:szCs w:val="21"/>
        </w:rPr>
        <w:t>7.3.4 发包人不按合同约定支付进度款，双方又未达成延期付款协议，勘察人可停止工程勘察作业和后期服务，由发包人承担违约责任。</w:t>
      </w:r>
    </w:p>
    <w:p>
      <w:pPr>
        <w:pStyle w:val="33"/>
        <w:spacing w:line="500" w:lineRule="exact"/>
        <w:jc w:val="left"/>
        <w:rPr>
          <w:rFonts w:ascii="宋体" w:hAnsi="宋体"/>
          <w:szCs w:val="21"/>
        </w:rPr>
      </w:pPr>
      <w:r>
        <w:rPr>
          <w:rFonts w:hint="eastAsia" w:ascii="宋体" w:hAnsi="宋体"/>
          <w:szCs w:val="21"/>
        </w:rPr>
        <w:t>7.4 合同价款结算</w:t>
      </w:r>
    </w:p>
    <w:p>
      <w:pPr>
        <w:pStyle w:val="33"/>
        <w:spacing w:line="500" w:lineRule="exact"/>
        <w:ind w:left="210" w:leftChars="100" w:firstLine="420" w:firstLineChars="200"/>
        <w:jc w:val="left"/>
        <w:rPr>
          <w:rFonts w:ascii="宋体" w:hAnsi="宋体"/>
          <w:szCs w:val="21"/>
        </w:rPr>
      </w:pPr>
      <w:r>
        <w:rPr>
          <w:rFonts w:hint="eastAsia" w:ascii="宋体" w:hAnsi="宋体"/>
          <w:szCs w:val="21"/>
        </w:rPr>
        <w:t>除专用合同条款另有约定外，发包人应在勘察人提交成果资料后</w:t>
      </w:r>
      <w:r>
        <w:rPr>
          <w:rFonts w:ascii="宋体" w:hAnsi="宋体"/>
          <w:szCs w:val="21"/>
        </w:rPr>
        <w:t>28</w:t>
      </w:r>
      <w:r>
        <w:rPr>
          <w:rFonts w:hint="eastAsia" w:ascii="宋体" w:hAnsi="宋体"/>
          <w:szCs w:val="21"/>
        </w:rPr>
        <w:t>天内，依据第</w:t>
      </w:r>
      <w:r>
        <w:rPr>
          <w:rFonts w:ascii="宋体" w:hAnsi="宋体"/>
          <w:szCs w:val="21"/>
        </w:rPr>
        <w:t>7.1</w:t>
      </w:r>
      <w:r>
        <w:rPr>
          <w:rFonts w:hint="eastAsia" w:ascii="宋体" w:hAnsi="宋体"/>
          <w:szCs w:val="21"/>
        </w:rPr>
        <w:t>款〔合同价款与调整〕和第</w:t>
      </w:r>
      <w:r>
        <w:rPr>
          <w:rFonts w:ascii="宋体" w:hAnsi="宋体"/>
          <w:szCs w:val="21"/>
        </w:rPr>
        <w:t>8.2款〔变更合同价款确定〕的约定进行最终合同价款确定，并予以全额</w:t>
      </w:r>
      <w:r>
        <w:rPr>
          <w:rFonts w:hint="eastAsia" w:ascii="宋体" w:hAnsi="宋体"/>
          <w:szCs w:val="21"/>
        </w:rPr>
        <w:t>支付。</w:t>
      </w:r>
    </w:p>
    <w:p>
      <w:pPr>
        <w:pStyle w:val="33"/>
        <w:spacing w:line="500" w:lineRule="exact"/>
        <w:jc w:val="left"/>
        <w:rPr>
          <w:rFonts w:ascii="宋体" w:hAnsi="宋体"/>
          <w:b/>
          <w:bCs/>
          <w:szCs w:val="21"/>
        </w:rPr>
      </w:pPr>
      <w:r>
        <w:rPr>
          <w:rFonts w:hint="eastAsia" w:ascii="宋体" w:hAnsi="宋体"/>
          <w:b/>
          <w:bCs/>
          <w:szCs w:val="21"/>
        </w:rPr>
        <w:t>第8条 变更与调整</w:t>
      </w:r>
    </w:p>
    <w:p>
      <w:pPr>
        <w:pStyle w:val="33"/>
        <w:spacing w:line="500" w:lineRule="exact"/>
        <w:jc w:val="left"/>
        <w:rPr>
          <w:rFonts w:ascii="宋体" w:hAnsi="宋体"/>
          <w:szCs w:val="21"/>
        </w:rPr>
      </w:pPr>
      <w:r>
        <w:rPr>
          <w:rFonts w:hint="eastAsia" w:ascii="宋体" w:hAnsi="宋体"/>
          <w:szCs w:val="21"/>
        </w:rPr>
        <w:t>8.1 变更范围与确认</w:t>
      </w:r>
    </w:p>
    <w:p>
      <w:pPr>
        <w:pStyle w:val="33"/>
        <w:spacing w:line="500" w:lineRule="exact"/>
        <w:jc w:val="left"/>
        <w:rPr>
          <w:rFonts w:ascii="宋体" w:hAnsi="宋体"/>
          <w:szCs w:val="21"/>
        </w:rPr>
      </w:pPr>
      <w:r>
        <w:rPr>
          <w:rFonts w:hint="eastAsia" w:ascii="宋体" w:hAnsi="宋体"/>
          <w:szCs w:val="21"/>
        </w:rPr>
        <w:t>8.1.1 变更范围</w:t>
      </w:r>
    </w:p>
    <w:p>
      <w:pPr>
        <w:pStyle w:val="33"/>
        <w:spacing w:line="500" w:lineRule="exact"/>
        <w:jc w:val="left"/>
        <w:rPr>
          <w:rFonts w:ascii="宋体" w:hAnsi="宋体"/>
          <w:szCs w:val="21"/>
        </w:rPr>
      </w:pPr>
      <w:r>
        <w:rPr>
          <w:rFonts w:hint="eastAsia" w:ascii="宋体" w:hAnsi="宋体"/>
          <w:szCs w:val="21"/>
        </w:rPr>
        <w:t>本合同变更是指在合同签订日后发生的以下变更：</w:t>
      </w:r>
    </w:p>
    <w:p>
      <w:pPr>
        <w:pStyle w:val="33"/>
        <w:spacing w:line="500" w:lineRule="exact"/>
        <w:jc w:val="left"/>
        <w:rPr>
          <w:rFonts w:ascii="宋体" w:hAnsi="宋体"/>
          <w:szCs w:val="21"/>
        </w:rPr>
      </w:pPr>
      <w:r>
        <w:rPr>
          <w:rFonts w:hint="eastAsia" w:ascii="宋体" w:hAnsi="宋体"/>
          <w:szCs w:val="21"/>
        </w:rPr>
        <w:t>（1）法律法规及技术标准的变化引起的变更；</w:t>
      </w:r>
    </w:p>
    <w:p>
      <w:pPr>
        <w:pStyle w:val="33"/>
        <w:spacing w:line="500" w:lineRule="exact"/>
        <w:jc w:val="left"/>
        <w:rPr>
          <w:rFonts w:ascii="宋体" w:hAnsi="宋体"/>
          <w:szCs w:val="21"/>
        </w:rPr>
      </w:pPr>
      <w:r>
        <w:rPr>
          <w:rFonts w:hint="eastAsia" w:ascii="宋体" w:hAnsi="宋体"/>
          <w:szCs w:val="21"/>
        </w:rPr>
        <w:t>（2）规划方案或设计条件的变化引起的变更；</w:t>
      </w:r>
    </w:p>
    <w:p>
      <w:pPr>
        <w:pStyle w:val="33"/>
        <w:spacing w:line="500" w:lineRule="exact"/>
        <w:jc w:val="left"/>
        <w:rPr>
          <w:rFonts w:ascii="宋体" w:hAnsi="宋体"/>
          <w:szCs w:val="21"/>
        </w:rPr>
      </w:pPr>
      <w:r>
        <w:rPr>
          <w:rFonts w:hint="eastAsia" w:ascii="宋体" w:hAnsi="宋体"/>
          <w:szCs w:val="21"/>
        </w:rPr>
        <w:t>（3）不利物质条件引起的变更；</w:t>
      </w:r>
    </w:p>
    <w:p>
      <w:pPr>
        <w:pStyle w:val="33"/>
        <w:spacing w:line="500" w:lineRule="exact"/>
        <w:jc w:val="left"/>
        <w:rPr>
          <w:rFonts w:ascii="宋体" w:hAnsi="宋体"/>
          <w:szCs w:val="21"/>
        </w:rPr>
      </w:pPr>
      <w:r>
        <w:rPr>
          <w:rFonts w:hint="eastAsia" w:ascii="宋体" w:hAnsi="宋体"/>
          <w:szCs w:val="21"/>
        </w:rPr>
        <w:t>（4）发包人的要求变化引起的变更；</w:t>
      </w:r>
    </w:p>
    <w:p>
      <w:pPr>
        <w:pStyle w:val="33"/>
        <w:spacing w:line="500" w:lineRule="exact"/>
        <w:jc w:val="left"/>
        <w:rPr>
          <w:rFonts w:ascii="宋体" w:hAnsi="宋体"/>
          <w:szCs w:val="21"/>
        </w:rPr>
      </w:pPr>
      <w:r>
        <w:rPr>
          <w:rFonts w:hint="eastAsia" w:ascii="宋体" w:hAnsi="宋体"/>
          <w:szCs w:val="21"/>
        </w:rPr>
        <w:t>（5）因政府临时禁令引起的变更；</w:t>
      </w:r>
    </w:p>
    <w:p>
      <w:pPr>
        <w:pStyle w:val="33"/>
        <w:spacing w:line="500" w:lineRule="exact"/>
        <w:jc w:val="left"/>
        <w:rPr>
          <w:rFonts w:ascii="宋体" w:hAnsi="宋体"/>
          <w:szCs w:val="21"/>
        </w:rPr>
      </w:pPr>
      <w:r>
        <w:rPr>
          <w:rFonts w:hint="eastAsia" w:ascii="宋体" w:hAnsi="宋体"/>
          <w:szCs w:val="21"/>
        </w:rPr>
        <w:t>（6）其他专用合同条款中约定的变更。</w:t>
      </w:r>
    </w:p>
    <w:p>
      <w:pPr>
        <w:pStyle w:val="33"/>
        <w:spacing w:line="500" w:lineRule="exact"/>
        <w:jc w:val="left"/>
        <w:rPr>
          <w:rFonts w:ascii="宋体" w:hAnsi="宋体"/>
          <w:szCs w:val="21"/>
        </w:rPr>
      </w:pPr>
      <w:r>
        <w:rPr>
          <w:rFonts w:hint="eastAsia" w:ascii="宋体" w:hAnsi="宋体"/>
          <w:szCs w:val="21"/>
        </w:rPr>
        <w:t>8.1.2 变更确认</w:t>
      </w:r>
    </w:p>
    <w:p>
      <w:pPr>
        <w:pStyle w:val="33"/>
        <w:adjustRightInd w:val="0"/>
        <w:spacing w:line="500" w:lineRule="exact"/>
        <w:ind w:left="210" w:leftChars="100" w:firstLine="420" w:firstLineChars="200"/>
        <w:jc w:val="left"/>
        <w:rPr>
          <w:rFonts w:ascii="宋体" w:hAnsi="宋体"/>
          <w:szCs w:val="21"/>
        </w:rPr>
      </w:pPr>
      <w:r>
        <w:rPr>
          <w:rFonts w:hint="eastAsia" w:ascii="宋体" w:hAnsi="宋体"/>
          <w:szCs w:val="21"/>
        </w:rPr>
        <w:t>当引起变更的情形出现，除专用合同条款对期限另有约定外，勘察人应在</w:t>
      </w:r>
      <w:r>
        <w:rPr>
          <w:rFonts w:ascii="宋体" w:hAnsi="宋体"/>
          <w:szCs w:val="21"/>
        </w:rPr>
        <w:t>7</w:t>
      </w:r>
      <w:r>
        <w:rPr>
          <w:rFonts w:hint="eastAsia" w:ascii="宋体" w:hAnsi="宋体"/>
          <w:szCs w:val="21"/>
        </w:rPr>
        <w:t>天内就调整后的技术方案以书面形式向发包人提出变更要求，发包人应在收到报告后7天内予以确认，逾期不予确认也不提出修改意见，视为同意变更。</w:t>
      </w:r>
    </w:p>
    <w:p>
      <w:pPr>
        <w:pStyle w:val="33"/>
        <w:spacing w:line="500" w:lineRule="exact"/>
        <w:jc w:val="left"/>
        <w:rPr>
          <w:rFonts w:ascii="宋体" w:hAnsi="宋体"/>
          <w:szCs w:val="21"/>
        </w:rPr>
      </w:pPr>
      <w:r>
        <w:rPr>
          <w:rFonts w:hint="eastAsia" w:ascii="宋体" w:hAnsi="宋体"/>
          <w:szCs w:val="21"/>
        </w:rPr>
        <w:t>8.2 变更合同价款确定</w:t>
      </w:r>
    </w:p>
    <w:p>
      <w:pPr>
        <w:pStyle w:val="33"/>
        <w:spacing w:line="500" w:lineRule="exact"/>
        <w:jc w:val="left"/>
        <w:rPr>
          <w:rFonts w:ascii="宋体" w:hAnsi="宋体"/>
          <w:szCs w:val="21"/>
        </w:rPr>
      </w:pPr>
      <w:r>
        <w:rPr>
          <w:rFonts w:hint="eastAsia" w:ascii="宋体" w:hAnsi="宋体"/>
          <w:szCs w:val="21"/>
        </w:rPr>
        <w:t>8.2.1 变更合同价款按下列方法进行：</w:t>
      </w:r>
    </w:p>
    <w:p>
      <w:pPr>
        <w:pStyle w:val="33"/>
        <w:spacing w:line="500" w:lineRule="exact"/>
        <w:jc w:val="left"/>
        <w:rPr>
          <w:rFonts w:ascii="宋体" w:hAnsi="宋体"/>
          <w:szCs w:val="21"/>
        </w:rPr>
      </w:pPr>
      <w:r>
        <w:rPr>
          <w:rFonts w:hint="eastAsia" w:ascii="宋体" w:hAnsi="宋体"/>
          <w:szCs w:val="21"/>
        </w:rPr>
        <w:t>（1）合同中已有适用于变更工程的价格，按合同已有的价格变更合同价款；</w:t>
      </w:r>
    </w:p>
    <w:p>
      <w:pPr>
        <w:pStyle w:val="33"/>
        <w:spacing w:line="500" w:lineRule="exact"/>
        <w:jc w:val="left"/>
        <w:rPr>
          <w:rFonts w:ascii="宋体" w:hAnsi="宋体"/>
          <w:szCs w:val="21"/>
        </w:rPr>
      </w:pPr>
      <w:r>
        <w:rPr>
          <w:rFonts w:hint="eastAsia" w:ascii="宋体" w:hAnsi="宋体"/>
          <w:szCs w:val="21"/>
        </w:rPr>
        <w:t>（2）合同中只有类似于变更工程的价格，可以参照类似价格变更合同价款；</w:t>
      </w:r>
    </w:p>
    <w:p>
      <w:pPr>
        <w:pStyle w:val="33"/>
        <w:spacing w:line="500" w:lineRule="exact"/>
        <w:jc w:val="left"/>
        <w:rPr>
          <w:rFonts w:ascii="宋体" w:hAnsi="宋体"/>
          <w:szCs w:val="21"/>
        </w:rPr>
      </w:pPr>
      <w:r>
        <w:rPr>
          <w:rFonts w:hint="eastAsia" w:ascii="宋体" w:hAnsi="宋体"/>
          <w:szCs w:val="21"/>
        </w:rPr>
        <w:t>（3）合同中没有适用或类似于变更工程的价格，由勘察人提出适当的变更价格，经发包人确认后执行。</w:t>
      </w:r>
    </w:p>
    <w:p>
      <w:pPr>
        <w:pStyle w:val="33"/>
        <w:spacing w:line="500" w:lineRule="exact"/>
        <w:jc w:val="left"/>
        <w:rPr>
          <w:rFonts w:ascii="宋体" w:hAnsi="宋体"/>
          <w:szCs w:val="21"/>
        </w:rPr>
      </w:pPr>
      <w:r>
        <w:rPr>
          <w:rFonts w:hint="eastAsia" w:ascii="宋体" w:hAnsi="宋体"/>
          <w:szCs w:val="21"/>
        </w:rPr>
        <w:t>8.2.2 除专用合同条款对期限另有约定外，一方应在双方确定变更事项后14天内向对方提出变更合同价款报告，否则视为该项变更不涉及合同价款的变更。</w:t>
      </w:r>
    </w:p>
    <w:p>
      <w:pPr>
        <w:pStyle w:val="33"/>
        <w:spacing w:line="500" w:lineRule="exact"/>
        <w:jc w:val="left"/>
        <w:rPr>
          <w:rFonts w:ascii="宋体" w:hAnsi="宋体"/>
          <w:szCs w:val="21"/>
        </w:rPr>
      </w:pPr>
      <w:r>
        <w:rPr>
          <w:rFonts w:hint="eastAsia" w:ascii="宋体" w:hAnsi="宋体"/>
          <w:szCs w:val="21"/>
        </w:rPr>
        <w:t>8.2.3 除专用合同条款对期限另有约定外，一方应在收到对方提交的变更合同价款报告之日起14天内予以确认。逾期无正当理由不予确认的，则视为该项变更合同价款报告已被确认。</w:t>
      </w:r>
    </w:p>
    <w:p>
      <w:pPr>
        <w:pStyle w:val="33"/>
        <w:spacing w:line="500" w:lineRule="exact"/>
        <w:jc w:val="left"/>
        <w:rPr>
          <w:rFonts w:ascii="宋体" w:hAnsi="宋体"/>
          <w:szCs w:val="21"/>
        </w:rPr>
      </w:pPr>
      <w:r>
        <w:rPr>
          <w:rFonts w:hint="eastAsia" w:ascii="宋体" w:hAnsi="宋体"/>
          <w:szCs w:val="21"/>
        </w:rPr>
        <w:t>8.2.4 一方不同意对方提出的合同价款变更，按第16条〔争议解决〕的约定处理。</w:t>
      </w:r>
    </w:p>
    <w:p>
      <w:pPr>
        <w:pStyle w:val="33"/>
        <w:spacing w:line="500" w:lineRule="exact"/>
        <w:jc w:val="left"/>
        <w:rPr>
          <w:rFonts w:ascii="宋体" w:hAnsi="宋体"/>
          <w:szCs w:val="21"/>
        </w:rPr>
      </w:pPr>
      <w:r>
        <w:rPr>
          <w:rFonts w:hint="eastAsia" w:ascii="宋体" w:hAnsi="宋体"/>
          <w:szCs w:val="21"/>
        </w:rPr>
        <w:t>8.2.5 因勘察人自身原因导致的变更，勘察人无权要求追加合同价款。</w:t>
      </w:r>
    </w:p>
    <w:p>
      <w:pPr>
        <w:pStyle w:val="33"/>
        <w:spacing w:line="500" w:lineRule="exact"/>
        <w:jc w:val="left"/>
        <w:rPr>
          <w:rFonts w:ascii="宋体" w:hAnsi="宋体"/>
          <w:b/>
          <w:bCs/>
          <w:szCs w:val="21"/>
        </w:rPr>
      </w:pPr>
      <w:r>
        <w:rPr>
          <w:rFonts w:hint="eastAsia" w:ascii="宋体" w:hAnsi="宋体"/>
          <w:b/>
          <w:bCs/>
          <w:szCs w:val="21"/>
        </w:rPr>
        <w:t>第9条 知识产权</w:t>
      </w:r>
    </w:p>
    <w:p>
      <w:pPr>
        <w:pStyle w:val="33"/>
        <w:spacing w:line="500" w:lineRule="exact"/>
        <w:jc w:val="left"/>
        <w:rPr>
          <w:rFonts w:ascii="宋体" w:hAnsi="宋体"/>
          <w:szCs w:val="21"/>
        </w:rPr>
      </w:pPr>
      <w:r>
        <w:rPr>
          <w:rFonts w:hint="eastAsia" w:ascii="宋体" w:hAnsi="宋体"/>
          <w:szCs w:val="21"/>
        </w:rPr>
        <w:t>9.1 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pStyle w:val="33"/>
        <w:spacing w:line="500" w:lineRule="exact"/>
        <w:jc w:val="left"/>
        <w:rPr>
          <w:rFonts w:ascii="宋体" w:hAnsi="宋体"/>
          <w:szCs w:val="21"/>
        </w:rPr>
      </w:pPr>
      <w:r>
        <w:rPr>
          <w:rFonts w:hint="eastAsia" w:ascii="宋体" w:hAnsi="宋体"/>
          <w:szCs w:val="21"/>
        </w:rPr>
        <w:t>9.2 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pStyle w:val="33"/>
        <w:spacing w:line="500" w:lineRule="exact"/>
        <w:jc w:val="left"/>
        <w:rPr>
          <w:rFonts w:ascii="宋体" w:hAnsi="宋体"/>
          <w:szCs w:val="21"/>
        </w:rPr>
      </w:pPr>
      <w:r>
        <w:rPr>
          <w:rFonts w:hint="eastAsia" w:ascii="宋体" w:hAnsi="宋体"/>
          <w:szCs w:val="21"/>
        </w:rPr>
        <w:t>9.3 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pStyle w:val="33"/>
        <w:spacing w:line="500" w:lineRule="exact"/>
        <w:jc w:val="left"/>
        <w:rPr>
          <w:rFonts w:ascii="宋体" w:hAnsi="宋体"/>
          <w:szCs w:val="21"/>
        </w:rPr>
      </w:pPr>
      <w:r>
        <w:rPr>
          <w:rFonts w:hint="eastAsia" w:ascii="宋体" w:hAnsi="宋体"/>
          <w:szCs w:val="21"/>
        </w:rPr>
        <w:t>9.4 在不损害对方利益情况下，合同当事人双方均有权在申报奖项、制作宣传印刷品及出版物时使用有关项目的文字和图片材料。</w:t>
      </w:r>
    </w:p>
    <w:p>
      <w:pPr>
        <w:pStyle w:val="33"/>
        <w:spacing w:line="500" w:lineRule="exact"/>
        <w:jc w:val="left"/>
        <w:rPr>
          <w:rFonts w:ascii="宋体" w:hAnsi="宋体"/>
          <w:szCs w:val="21"/>
        </w:rPr>
      </w:pPr>
      <w:r>
        <w:rPr>
          <w:rFonts w:hint="eastAsia" w:ascii="宋体" w:hAnsi="宋体"/>
          <w:szCs w:val="21"/>
        </w:rPr>
        <w:t>9.5 除专用合同条款另有约定外，勘察人在合同签订前和签订时已确定采用的专利、专有技术、技术秘密的使用费已包含在合同价款中。</w:t>
      </w:r>
    </w:p>
    <w:p>
      <w:pPr>
        <w:pStyle w:val="33"/>
        <w:spacing w:line="500" w:lineRule="exact"/>
        <w:jc w:val="left"/>
        <w:rPr>
          <w:rFonts w:ascii="宋体" w:hAnsi="宋体"/>
          <w:b/>
          <w:bCs/>
          <w:szCs w:val="21"/>
        </w:rPr>
      </w:pPr>
      <w:r>
        <w:rPr>
          <w:rFonts w:hint="eastAsia" w:ascii="宋体" w:hAnsi="宋体"/>
          <w:b/>
          <w:bCs/>
          <w:szCs w:val="21"/>
        </w:rPr>
        <w:t>第10条 不可抗力</w:t>
      </w:r>
    </w:p>
    <w:p>
      <w:pPr>
        <w:pStyle w:val="33"/>
        <w:spacing w:line="500" w:lineRule="exact"/>
        <w:jc w:val="left"/>
        <w:rPr>
          <w:rFonts w:ascii="宋体" w:hAnsi="宋体"/>
          <w:szCs w:val="21"/>
        </w:rPr>
      </w:pPr>
      <w:r>
        <w:rPr>
          <w:rFonts w:hint="eastAsia" w:ascii="宋体" w:hAnsi="宋体"/>
          <w:szCs w:val="21"/>
        </w:rPr>
        <w:t>10.1 不可抗力的确认</w:t>
      </w:r>
    </w:p>
    <w:p>
      <w:pPr>
        <w:pStyle w:val="33"/>
        <w:spacing w:line="500" w:lineRule="exact"/>
        <w:jc w:val="left"/>
        <w:rPr>
          <w:rFonts w:ascii="宋体" w:hAnsi="宋体"/>
          <w:szCs w:val="21"/>
        </w:rPr>
      </w:pPr>
      <w:r>
        <w:rPr>
          <w:rFonts w:hint="eastAsia" w:ascii="宋体" w:hAnsi="宋体"/>
          <w:szCs w:val="21"/>
        </w:rPr>
        <w:t>10.1.1 不可抗力是在订立合同时不可合理预见，在履行合同中不可避免发生且不能克服的自然灾害和社会突发事件，如地震、海啸、瘟疫、洪水、骚乱、暴动、战争以及专用条款约定的其他自然灾害和社会突发事件。</w:t>
      </w:r>
    </w:p>
    <w:p>
      <w:pPr>
        <w:pStyle w:val="33"/>
        <w:spacing w:line="500" w:lineRule="exact"/>
        <w:jc w:val="left"/>
        <w:rPr>
          <w:rFonts w:ascii="宋体" w:hAnsi="宋体"/>
          <w:szCs w:val="21"/>
        </w:rPr>
      </w:pPr>
      <w:r>
        <w:rPr>
          <w:rFonts w:hint="eastAsia" w:ascii="宋体" w:hAnsi="宋体"/>
          <w:szCs w:val="21"/>
        </w:rPr>
        <w:t>10.1.2 不可抗力发生后，发包人和勘察人应收集不可抗力发生及造成损失的证据。合同当事双方对是否属于不可抗力或其损失发生争议时，按第16条〔争议解决〕的约定处理。</w:t>
      </w:r>
    </w:p>
    <w:p>
      <w:pPr>
        <w:pStyle w:val="33"/>
        <w:spacing w:line="500" w:lineRule="exact"/>
        <w:jc w:val="left"/>
        <w:rPr>
          <w:rFonts w:ascii="宋体" w:hAnsi="宋体"/>
          <w:szCs w:val="21"/>
        </w:rPr>
      </w:pPr>
      <w:r>
        <w:rPr>
          <w:rFonts w:hint="eastAsia" w:ascii="宋体" w:hAnsi="宋体"/>
          <w:szCs w:val="21"/>
        </w:rPr>
        <w:t>10.2 不可抗力的通知</w:t>
      </w:r>
    </w:p>
    <w:p>
      <w:pPr>
        <w:pStyle w:val="33"/>
        <w:spacing w:line="500" w:lineRule="exact"/>
        <w:jc w:val="left"/>
        <w:rPr>
          <w:rFonts w:ascii="宋体" w:hAnsi="宋体"/>
          <w:szCs w:val="21"/>
        </w:rPr>
      </w:pPr>
      <w:r>
        <w:rPr>
          <w:rFonts w:hint="eastAsia" w:ascii="宋体" w:hAnsi="宋体"/>
          <w:szCs w:val="21"/>
        </w:rPr>
        <w:t>10.2.1 遇有不可抗力发生时，发包人和勘察人应立即通知对方，双方应共同采取措施减少损失。除专用合同条款对期限另有约定外，不可抗力持续发生，勘察人应每隔7天向发包人报告一次受害损失情况。</w:t>
      </w:r>
    </w:p>
    <w:p>
      <w:pPr>
        <w:pStyle w:val="33"/>
        <w:spacing w:line="500" w:lineRule="exact"/>
        <w:jc w:val="left"/>
        <w:rPr>
          <w:rFonts w:ascii="宋体" w:hAnsi="宋体"/>
          <w:szCs w:val="21"/>
        </w:rPr>
      </w:pPr>
      <w:r>
        <w:rPr>
          <w:rFonts w:hint="eastAsia" w:ascii="宋体" w:hAnsi="宋体"/>
          <w:szCs w:val="21"/>
        </w:rPr>
        <w:t>10.2.2 除专用合同条款对期限另有约定外，不可抗力结束后2天内，勘察人向发包人通报受害损失情况及预计清理和修复的费用；不可抗力结束后14天内，勘察人向发包人提交清理和修复费用的正式报告及有关资料。</w:t>
      </w:r>
    </w:p>
    <w:p>
      <w:pPr>
        <w:pStyle w:val="33"/>
        <w:spacing w:line="500" w:lineRule="exact"/>
        <w:jc w:val="left"/>
        <w:rPr>
          <w:rFonts w:ascii="宋体" w:hAnsi="宋体"/>
          <w:szCs w:val="21"/>
        </w:rPr>
      </w:pPr>
      <w:r>
        <w:rPr>
          <w:rFonts w:hint="eastAsia" w:ascii="宋体" w:hAnsi="宋体"/>
          <w:szCs w:val="21"/>
        </w:rPr>
        <w:t>10.3 不可抗力后果的承担</w:t>
      </w:r>
    </w:p>
    <w:p>
      <w:pPr>
        <w:pStyle w:val="33"/>
        <w:spacing w:line="500" w:lineRule="exact"/>
        <w:jc w:val="left"/>
        <w:rPr>
          <w:rFonts w:ascii="宋体" w:hAnsi="宋体"/>
          <w:szCs w:val="21"/>
        </w:rPr>
      </w:pPr>
      <w:r>
        <w:rPr>
          <w:rFonts w:hint="eastAsia" w:ascii="宋体" w:hAnsi="宋体"/>
          <w:szCs w:val="21"/>
        </w:rPr>
        <w:t>10.3.1 因不可抗力发生的费用及延误的工期由双方按以下方法分别承担：</w:t>
      </w:r>
    </w:p>
    <w:p>
      <w:pPr>
        <w:pStyle w:val="33"/>
        <w:spacing w:line="500" w:lineRule="exact"/>
        <w:jc w:val="left"/>
        <w:rPr>
          <w:rFonts w:ascii="宋体" w:hAnsi="宋体"/>
          <w:szCs w:val="21"/>
        </w:rPr>
      </w:pPr>
      <w:r>
        <w:rPr>
          <w:rFonts w:hint="eastAsia" w:ascii="宋体" w:hAnsi="宋体"/>
          <w:szCs w:val="21"/>
        </w:rPr>
        <w:t>（1）发包人和勘察人人员伤亡由合同当事人双方自行负责，并承担相应费用；</w:t>
      </w:r>
    </w:p>
    <w:p>
      <w:pPr>
        <w:pStyle w:val="33"/>
        <w:spacing w:line="500" w:lineRule="exact"/>
        <w:jc w:val="left"/>
        <w:rPr>
          <w:rFonts w:ascii="宋体" w:hAnsi="宋体"/>
          <w:szCs w:val="21"/>
        </w:rPr>
      </w:pPr>
      <w:r>
        <w:rPr>
          <w:rFonts w:hint="eastAsia" w:ascii="宋体" w:hAnsi="宋体"/>
          <w:szCs w:val="21"/>
        </w:rPr>
        <w:t>（2）勘察人机械设备损坏及停工损失，由勘察人承担；</w:t>
      </w:r>
    </w:p>
    <w:p>
      <w:pPr>
        <w:pStyle w:val="33"/>
        <w:spacing w:line="500" w:lineRule="exact"/>
        <w:jc w:val="left"/>
        <w:rPr>
          <w:rFonts w:ascii="宋体" w:hAnsi="宋体"/>
          <w:szCs w:val="21"/>
        </w:rPr>
      </w:pPr>
      <w:r>
        <w:rPr>
          <w:rFonts w:hint="eastAsia" w:ascii="宋体" w:hAnsi="宋体"/>
          <w:szCs w:val="21"/>
        </w:rPr>
        <w:t>（3）停工期间，勘察人应发包人要求留在作业场地的管理人员及保卫人员的费用由发包人承担；</w:t>
      </w:r>
    </w:p>
    <w:p>
      <w:pPr>
        <w:pStyle w:val="33"/>
        <w:spacing w:line="500" w:lineRule="exact"/>
        <w:jc w:val="left"/>
        <w:rPr>
          <w:rFonts w:ascii="宋体" w:hAnsi="宋体"/>
          <w:szCs w:val="21"/>
        </w:rPr>
      </w:pPr>
      <w:r>
        <w:rPr>
          <w:rFonts w:hint="eastAsia" w:ascii="宋体" w:hAnsi="宋体"/>
          <w:szCs w:val="21"/>
        </w:rPr>
        <w:t>（4）作业场地发生的清理、修复费用由发包人承担；</w:t>
      </w:r>
    </w:p>
    <w:p>
      <w:pPr>
        <w:pStyle w:val="33"/>
        <w:spacing w:line="500" w:lineRule="exact"/>
        <w:jc w:val="left"/>
        <w:rPr>
          <w:rFonts w:ascii="宋体" w:hAnsi="宋体"/>
          <w:szCs w:val="21"/>
        </w:rPr>
      </w:pPr>
      <w:r>
        <w:rPr>
          <w:rFonts w:hint="eastAsia" w:ascii="宋体" w:hAnsi="宋体"/>
          <w:szCs w:val="21"/>
        </w:rPr>
        <w:t>（5）延误的工期相应顺延。</w:t>
      </w:r>
    </w:p>
    <w:p>
      <w:pPr>
        <w:pStyle w:val="33"/>
        <w:spacing w:line="500" w:lineRule="exact"/>
        <w:jc w:val="left"/>
        <w:rPr>
          <w:rFonts w:ascii="宋体" w:hAnsi="宋体"/>
          <w:szCs w:val="21"/>
        </w:rPr>
      </w:pPr>
      <w:r>
        <w:rPr>
          <w:rFonts w:hint="eastAsia" w:ascii="宋体" w:hAnsi="宋体"/>
          <w:szCs w:val="21"/>
        </w:rPr>
        <w:t>10.3.2 因合同一方迟延履行合同后发生不可抗力的，不能免除迟延履行方的相应责任。</w:t>
      </w:r>
    </w:p>
    <w:p>
      <w:pPr>
        <w:pStyle w:val="33"/>
        <w:spacing w:line="500" w:lineRule="exact"/>
        <w:jc w:val="left"/>
        <w:rPr>
          <w:rFonts w:ascii="宋体" w:hAnsi="宋体"/>
          <w:b/>
          <w:bCs/>
          <w:szCs w:val="21"/>
        </w:rPr>
      </w:pPr>
      <w:r>
        <w:rPr>
          <w:rFonts w:hint="eastAsia" w:ascii="宋体" w:hAnsi="宋体"/>
          <w:b/>
          <w:bCs/>
          <w:szCs w:val="21"/>
        </w:rPr>
        <w:t>第11条 合同生效与终止</w:t>
      </w:r>
    </w:p>
    <w:p>
      <w:pPr>
        <w:pStyle w:val="33"/>
        <w:spacing w:line="500" w:lineRule="exact"/>
        <w:jc w:val="left"/>
        <w:rPr>
          <w:rFonts w:ascii="宋体" w:hAnsi="宋体"/>
          <w:szCs w:val="21"/>
        </w:rPr>
      </w:pPr>
      <w:r>
        <w:rPr>
          <w:rFonts w:hint="eastAsia" w:ascii="宋体" w:hAnsi="宋体"/>
          <w:szCs w:val="21"/>
        </w:rPr>
        <w:t>11.1 双方在合同协议书中约定合同生效方式。</w:t>
      </w:r>
    </w:p>
    <w:p>
      <w:pPr>
        <w:pStyle w:val="33"/>
        <w:spacing w:line="500" w:lineRule="exact"/>
        <w:jc w:val="left"/>
        <w:rPr>
          <w:rFonts w:ascii="宋体" w:hAnsi="宋体"/>
          <w:szCs w:val="21"/>
        </w:rPr>
      </w:pPr>
      <w:r>
        <w:rPr>
          <w:rFonts w:hint="eastAsia" w:ascii="宋体" w:hAnsi="宋体"/>
          <w:szCs w:val="21"/>
        </w:rPr>
        <w:t>11.2 发包人、勘察人履行合同全部义务，合同价款支付完毕，本合同即告终止。</w:t>
      </w:r>
    </w:p>
    <w:p>
      <w:pPr>
        <w:pStyle w:val="33"/>
        <w:spacing w:line="500" w:lineRule="exact"/>
        <w:jc w:val="left"/>
        <w:rPr>
          <w:rFonts w:ascii="宋体" w:hAnsi="宋体"/>
          <w:szCs w:val="21"/>
        </w:rPr>
      </w:pPr>
      <w:r>
        <w:rPr>
          <w:rFonts w:hint="eastAsia" w:ascii="宋体" w:hAnsi="宋体"/>
          <w:szCs w:val="21"/>
        </w:rPr>
        <w:t>11.3 合同的权利义务终止后，合同当事人应遵循诚实信用原则，履行通知、协助和保密等义务。</w:t>
      </w:r>
    </w:p>
    <w:p>
      <w:pPr>
        <w:pStyle w:val="33"/>
        <w:spacing w:line="500" w:lineRule="exact"/>
        <w:jc w:val="left"/>
        <w:rPr>
          <w:rFonts w:ascii="宋体" w:hAnsi="宋体"/>
          <w:b/>
          <w:bCs/>
          <w:szCs w:val="21"/>
        </w:rPr>
      </w:pPr>
      <w:r>
        <w:rPr>
          <w:rFonts w:hint="eastAsia" w:ascii="宋体" w:hAnsi="宋体"/>
          <w:b/>
          <w:bCs/>
          <w:szCs w:val="21"/>
        </w:rPr>
        <w:t>第12条 合同解除</w:t>
      </w:r>
    </w:p>
    <w:p>
      <w:pPr>
        <w:pStyle w:val="33"/>
        <w:spacing w:line="500" w:lineRule="exact"/>
        <w:jc w:val="left"/>
        <w:rPr>
          <w:rFonts w:ascii="宋体" w:hAnsi="宋体"/>
          <w:szCs w:val="21"/>
        </w:rPr>
      </w:pPr>
      <w:r>
        <w:rPr>
          <w:rFonts w:hint="eastAsia" w:ascii="宋体" w:hAnsi="宋体"/>
          <w:szCs w:val="21"/>
        </w:rPr>
        <w:t>12.1 有下列情形之一的，发包人、勘察人可以解除合同：</w:t>
      </w:r>
    </w:p>
    <w:p>
      <w:pPr>
        <w:pStyle w:val="33"/>
        <w:spacing w:line="500" w:lineRule="exact"/>
        <w:jc w:val="left"/>
        <w:rPr>
          <w:rFonts w:ascii="宋体" w:hAnsi="宋体"/>
          <w:szCs w:val="21"/>
        </w:rPr>
      </w:pPr>
      <w:r>
        <w:rPr>
          <w:rFonts w:hint="eastAsia" w:ascii="宋体" w:hAnsi="宋体"/>
          <w:szCs w:val="21"/>
        </w:rPr>
        <w:t>（1）因不可抗力致使合同无法履行；</w:t>
      </w:r>
    </w:p>
    <w:p>
      <w:pPr>
        <w:pStyle w:val="33"/>
        <w:spacing w:line="500" w:lineRule="exact"/>
        <w:jc w:val="left"/>
        <w:rPr>
          <w:rFonts w:ascii="宋体" w:hAnsi="宋体"/>
          <w:szCs w:val="21"/>
        </w:rPr>
      </w:pPr>
      <w:r>
        <w:rPr>
          <w:rFonts w:hint="eastAsia" w:ascii="宋体" w:hAnsi="宋体"/>
          <w:szCs w:val="21"/>
        </w:rPr>
        <w:t>（2）发生未按第7.2款〔定金或预付款〕或第7.3款〔进度款支付〕约定按时支付合同价款的情况，停止作业超过28天，勘察人有权解除合同，由发包人承担违约责任；</w:t>
      </w:r>
    </w:p>
    <w:p>
      <w:pPr>
        <w:pStyle w:val="33"/>
        <w:spacing w:line="500" w:lineRule="exact"/>
        <w:jc w:val="left"/>
        <w:rPr>
          <w:rFonts w:ascii="宋体" w:hAnsi="宋体"/>
          <w:szCs w:val="21"/>
        </w:rPr>
      </w:pPr>
      <w:r>
        <w:rPr>
          <w:rFonts w:hint="eastAsia" w:ascii="宋体" w:hAnsi="宋体"/>
          <w:szCs w:val="21"/>
        </w:rPr>
        <w:t>（3）勘察人将其承包的全部工程转包给他人或者肢解以后以分包的名义分别转包给他人，发包人有权解除合同，由勘察人承担违约责任；</w:t>
      </w:r>
    </w:p>
    <w:p>
      <w:pPr>
        <w:pStyle w:val="33"/>
        <w:spacing w:line="500" w:lineRule="exact"/>
        <w:jc w:val="left"/>
        <w:rPr>
          <w:rFonts w:ascii="宋体" w:hAnsi="宋体"/>
          <w:szCs w:val="21"/>
        </w:rPr>
      </w:pPr>
      <w:r>
        <w:rPr>
          <w:rFonts w:hint="eastAsia" w:ascii="宋体" w:hAnsi="宋体"/>
          <w:szCs w:val="21"/>
        </w:rPr>
        <w:t>（4）发包人和勘察人协商一致可以解除合同的其他情形。</w:t>
      </w:r>
    </w:p>
    <w:p>
      <w:pPr>
        <w:pStyle w:val="33"/>
        <w:spacing w:line="500" w:lineRule="exact"/>
        <w:jc w:val="left"/>
        <w:rPr>
          <w:rFonts w:ascii="宋体" w:hAnsi="宋体"/>
          <w:szCs w:val="21"/>
        </w:rPr>
      </w:pPr>
      <w:r>
        <w:rPr>
          <w:rFonts w:hint="eastAsia" w:ascii="宋体" w:hAnsi="宋体"/>
          <w:szCs w:val="21"/>
        </w:rPr>
        <w:t>12.2 一方依据第12.1款约定要求解除合同的，应以书面形式向对方发出解除合同的通知，并在发出通知前不少于14天告知对方，通知到达对方时合同解除。对解除合同有争议的，按第16条〔争议解决〕的约定处理。</w:t>
      </w:r>
    </w:p>
    <w:p>
      <w:pPr>
        <w:pStyle w:val="33"/>
        <w:spacing w:line="500" w:lineRule="exact"/>
        <w:jc w:val="left"/>
        <w:rPr>
          <w:rFonts w:ascii="宋体" w:hAnsi="宋体"/>
          <w:szCs w:val="21"/>
        </w:rPr>
      </w:pPr>
      <w:r>
        <w:rPr>
          <w:rFonts w:hint="eastAsia" w:ascii="宋体" w:hAnsi="宋体"/>
          <w:szCs w:val="21"/>
        </w:rPr>
        <w:t>12.3 因不可抗力致使合同无法履行时，发包人应按合同约定向勘察人支付已完工作量相对应比例的合同价款后解除合同。</w:t>
      </w:r>
    </w:p>
    <w:p>
      <w:pPr>
        <w:pStyle w:val="33"/>
        <w:spacing w:line="500" w:lineRule="exact"/>
        <w:jc w:val="left"/>
        <w:rPr>
          <w:rFonts w:ascii="宋体" w:hAnsi="宋体"/>
          <w:szCs w:val="21"/>
        </w:rPr>
      </w:pPr>
      <w:r>
        <w:rPr>
          <w:rFonts w:hint="eastAsia" w:ascii="宋体" w:hAnsi="宋体"/>
          <w:szCs w:val="21"/>
        </w:rPr>
        <w:t>12.4 合同解除后，勘察人应按发包人要求将自有设备和人员撤出作业场地，发包人应为勘察人撤出提供必要条件。</w:t>
      </w:r>
    </w:p>
    <w:p>
      <w:pPr>
        <w:pStyle w:val="33"/>
        <w:spacing w:line="500" w:lineRule="exact"/>
        <w:jc w:val="left"/>
        <w:rPr>
          <w:rFonts w:ascii="宋体" w:hAnsi="宋体"/>
          <w:b/>
          <w:bCs/>
          <w:szCs w:val="21"/>
        </w:rPr>
      </w:pPr>
      <w:r>
        <w:rPr>
          <w:rFonts w:hint="eastAsia" w:ascii="宋体" w:hAnsi="宋体"/>
          <w:b/>
          <w:bCs/>
          <w:szCs w:val="21"/>
        </w:rPr>
        <w:t>第13条 责任与保险</w:t>
      </w:r>
    </w:p>
    <w:p>
      <w:pPr>
        <w:pStyle w:val="33"/>
        <w:spacing w:line="500" w:lineRule="exact"/>
        <w:jc w:val="left"/>
        <w:rPr>
          <w:rFonts w:ascii="宋体" w:hAnsi="宋体"/>
          <w:szCs w:val="21"/>
        </w:rPr>
      </w:pPr>
      <w:r>
        <w:rPr>
          <w:rFonts w:hint="eastAsia" w:ascii="宋体" w:hAnsi="宋体"/>
          <w:szCs w:val="21"/>
        </w:rPr>
        <w:t>13.1 勘察人应运用一切合理的专业技术和经验，按照公认的职业标准尽其全部职责和谨慎、勤勉地履行其在本合同项下的责任和义务。</w:t>
      </w:r>
    </w:p>
    <w:p>
      <w:pPr>
        <w:pStyle w:val="33"/>
        <w:spacing w:line="500" w:lineRule="exact"/>
        <w:jc w:val="left"/>
        <w:rPr>
          <w:rFonts w:ascii="宋体" w:hAnsi="宋体"/>
          <w:szCs w:val="21"/>
        </w:rPr>
      </w:pPr>
      <w:r>
        <w:rPr>
          <w:rFonts w:hint="eastAsia" w:ascii="宋体" w:hAnsi="宋体"/>
          <w:szCs w:val="21"/>
        </w:rPr>
        <w:t>13.2 合同当事人可按照法律法规的要求在专用合同条款中约定履行本合同所需要的工程勘察责任保险，并使其于合同责任期内保持有效。</w:t>
      </w:r>
    </w:p>
    <w:p>
      <w:pPr>
        <w:pStyle w:val="33"/>
        <w:spacing w:line="500" w:lineRule="exact"/>
        <w:jc w:val="left"/>
        <w:rPr>
          <w:rFonts w:ascii="宋体" w:hAnsi="宋体"/>
          <w:szCs w:val="21"/>
        </w:rPr>
      </w:pPr>
      <w:r>
        <w:rPr>
          <w:rFonts w:hint="eastAsia" w:ascii="宋体" w:hAnsi="宋体"/>
          <w:szCs w:val="21"/>
        </w:rPr>
        <w:t>13.3 勘察人应依照法律法规的规定为勘察作业人员参加工伤保险、人身意外伤害险和其他保险。</w:t>
      </w:r>
    </w:p>
    <w:p>
      <w:pPr>
        <w:pStyle w:val="33"/>
        <w:spacing w:line="500" w:lineRule="exact"/>
        <w:jc w:val="left"/>
        <w:rPr>
          <w:rFonts w:ascii="宋体" w:hAnsi="宋体"/>
          <w:b/>
          <w:bCs/>
          <w:szCs w:val="21"/>
        </w:rPr>
      </w:pPr>
      <w:r>
        <w:rPr>
          <w:rFonts w:hint="eastAsia" w:ascii="宋体" w:hAnsi="宋体"/>
          <w:b/>
          <w:bCs/>
          <w:szCs w:val="21"/>
        </w:rPr>
        <w:t>第14条 违约</w:t>
      </w:r>
    </w:p>
    <w:p>
      <w:pPr>
        <w:pStyle w:val="33"/>
        <w:spacing w:line="500" w:lineRule="exact"/>
        <w:jc w:val="left"/>
        <w:rPr>
          <w:rFonts w:ascii="宋体" w:hAnsi="宋体"/>
          <w:szCs w:val="21"/>
        </w:rPr>
      </w:pPr>
      <w:r>
        <w:rPr>
          <w:rFonts w:hint="eastAsia" w:ascii="宋体" w:hAnsi="宋体"/>
          <w:szCs w:val="21"/>
        </w:rPr>
        <w:t>14.1 发包人违约</w:t>
      </w:r>
    </w:p>
    <w:p>
      <w:pPr>
        <w:pStyle w:val="33"/>
        <w:spacing w:line="500" w:lineRule="exact"/>
        <w:jc w:val="left"/>
        <w:rPr>
          <w:rFonts w:ascii="宋体" w:hAnsi="宋体"/>
          <w:szCs w:val="21"/>
        </w:rPr>
      </w:pPr>
      <w:r>
        <w:rPr>
          <w:rFonts w:hint="eastAsia" w:ascii="宋体" w:hAnsi="宋体"/>
          <w:szCs w:val="21"/>
        </w:rPr>
        <w:t>14.1.1 发包人违约情形</w:t>
      </w:r>
    </w:p>
    <w:p>
      <w:pPr>
        <w:pStyle w:val="33"/>
        <w:spacing w:line="500" w:lineRule="exact"/>
        <w:jc w:val="left"/>
        <w:rPr>
          <w:rFonts w:ascii="宋体" w:hAnsi="宋体"/>
          <w:szCs w:val="21"/>
        </w:rPr>
      </w:pPr>
      <w:r>
        <w:rPr>
          <w:rFonts w:hint="eastAsia" w:ascii="宋体" w:hAnsi="宋体"/>
          <w:szCs w:val="21"/>
        </w:rPr>
        <w:t>（1）合同生效后，发包人无故要求终止或解除合同；</w:t>
      </w:r>
    </w:p>
    <w:p>
      <w:pPr>
        <w:pStyle w:val="33"/>
        <w:spacing w:line="500" w:lineRule="exact"/>
        <w:jc w:val="left"/>
        <w:rPr>
          <w:rFonts w:ascii="宋体" w:hAnsi="宋体"/>
          <w:szCs w:val="21"/>
        </w:rPr>
      </w:pPr>
      <w:r>
        <w:rPr>
          <w:rFonts w:hint="eastAsia" w:ascii="宋体" w:hAnsi="宋体"/>
          <w:szCs w:val="21"/>
        </w:rPr>
        <w:t>（2）发包人未按第7.2款〔定金或预付款〕约定按时支付定金或预付款；</w:t>
      </w:r>
    </w:p>
    <w:p>
      <w:pPr>
        <w:pStyle w:val="33"/>
        <w:spacing w:line="500" w:lineRule="exact"/>
        <w:jc w:val="left"/>
        <w:rPr>
          <w:rFonts w:ascii="宋体" w:hAnsi="宋体"/>
          <w:szCs w:val="21"/>
        </w:rPr>
      </w:pPr>
      <w:r>
        <w:rPr>
          <w:rFonts w:hint="eastAsia" w:ascii="宋体" w:hAnsi="宋体"/>
          <w:szCs w:val="21"/>
        </w:rPr>
        <w:t>（3）发包人未按第7.3款〔进度款支付〕约定按时支付进度款；</w:t>
      </w:r>
    </w:p>
    <w:p>
      <w:pPr>
        <w:pStyle w:val="33"/>
        <w:spacing w:line="500" w:lineRule="exact"/>
        <w:jc w:val="left"/>
        <w:rPr>
          <w:rFonts w:ascii="宋体" w:hAnsi="宋体"/>
          <w:szCs w:val="21"/>
        </w:rPr>
      </w:pPr>
      <w:r>
        <w:rPr>
          <w:rFonts w:hint="eastAsia" w:ascii="宋体" w:hAnsi="宋体"/>
          <w:szCs w:val="21"/>
        </w:rPr>
        <w:t>（4）发包人不履行合同义务或不按合同约定履行义务的其他情形。</w:t>
      </w:r>
    </w:p>
    <w:p>
      <w:pPr>
        <w:pStyle w:val="33"/>
        <w:spacing w:line="500" w:lineRule="exact"/>
        <w:jc w:val="left"/>
        <w:rPr>
          <w:rFonts w:ascii="宋体" w:hAnsi="宋体"/>
          <w:szCs w:val="21"/>
        </w:rPr>
      </w:pPr>
      <w:r>
        <w:rPr>
          <w:rFonts w:hint="eastAsia" w:ascii="宋体" w:hAnsi="宋体"/>
          <w:szCs w:val="21"/>
        </w:rPr>
        <w:t>14.1.2 发包人违约责任</w:t>
      </w:r>
    </w:p>
    <w:p>
      <w:pPr>
        <w:pStyle w:val="33"/>
        <w:spacing w:line="500" w:lineRule="exact"/>
        <w:jc w:val="left"/>
        <w:rPr>
          <w:rFonts w:ascii="宋体" w:hAnsi="宋体"/>
          <w:szCs w:val="21"/>
        </w:rPr>
      </w:pPr>
      <w:r>
        <w:rPr>
          <w:rFonts w:hint="eastAsia" w:ascii="宋体" w:hAnsi="宋体"/>
          <w:szCs w:val="21"/>
        </w:rPr>
        <w:t>（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pStyle w:val="33"/>
        <w:spacing w:line="500" w:lineRule="exact"/>
        <w:jc w:val="left"/>
        <w:rPr>
          <w:rFonts w:ascii="宋体" w:hAnsi="宋体"/>
          <w:szCs w:val="21"/>
        </w:rPr>
      </w:pPr>
      <w:r>
        <w:rPr>
          <w:rFonts w:hint="eastAsia" w:ascii="宋体" w:hAnsi="宋体"/>
          <w:szCs w:val="21"/>
        </w:rPr>
        <w:t>（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pStyle w:val="33"/>
        <w:spacing w:line="500" w:lineRule="exact"/>
        <w:jc w:val="left"/>
        <w:rPr>
          <w:rFonts w:ascii="宋体" w:hAnsi="宋体"/>
          <w:szCs w:val="21"/>
        </w:rPr>
      </w:pPr>
      <w:r>
        <w:rPr>
          <w:rFonts w:hint="eastAsia" w:ascii="宋体" w:hAnsi="宋体"/>
          <w:szCs w:val="21"/>
        </w:rPr>
        <w:t>14.2 勘察人违约</w:t>
      </w:r>
    </w:p>
    <w:p>
      <w:pPr>
        <w:pStyle w:val="33"/>
        <w:spacing w:line="500" w:lineRule="exact"/>
        <w:jc w:val="left"/>
        <w:rPr>
          <w:rFonts w:ascii="宋体" w:hAnsi="宋体"/>
          <w:szCs w:val="21"/>
        </w:rPr>
      </w:pPr>
      <w:r>
        <w:rPr>
          <w:rFonts w:hint="eastAsia" w:ascii="宋体" w:hAnsi="宋体"/>
          <w:szCs w:val="21"/>
        </w:rPr>
        <w:t>14.2.1 勘察人违约情形</w:t>
      </w:r>
    </w:p>
    <w:p>
      <w:pPr>
        <w:pStyle w:val="33"/>
        <w:spacing w:line="500" w:lineRule="exact"/>
        <w:jc w:val="left"/>
        <w:rPr>
          <w:rFonts w:ascii="宋体" w:hAnsi="宋体"/>
          <w:szCs w:val="21"/>
        </w:rPr>
      </w:pPr>
      <w:r>
        <w:rPr>
          <w:rFonts w:hint="eastAsia" w:ascii="宋体" w:hAnsi="宋体"/>
          <w:szCs w:val="21"/>
        </w:rPr>
        <w:t>（1）合同生效后，勘察人因自身原因要求终止或解除合同；</w:t>
      </w:r>
    </w:p>
    <w:p>
      <w:pPr>
        <w:pStyle w:val="33"/>
        <w:spacing w:line="500" w:lineRule="exact"/>
        <w:jc w:val="left"/>
        <w:rPr>
          <w:rFonts w:ascii="宋体" w:hAnsi="宋体"/>
          <w:szCs w:val="21"/>
        </w:rPr>
      </w:pPr>
      <w:r>
        <w:rPr>
          <w:rFonts w:hint="eastAsia" w:ascii="宋体" w:hAnsi="宋体"/>
          <w:szCs w:val="21"/>
        </w:rPr>
        <w:t>（2）因勘察人原因不能按照合同约定的日期或合同当事人同意顺延的工期提交成果资料；</w:t>
      </w:r>
    </w:p>
    <w:p>
      <w:pPr>
        <w:pStyle w:val="33"/>
        <w:spacing w:line="500" w:lineRule="exact"/>
        <w:jc w:val="left"/>
        <w:rPr>
          <w:rFonts w:ascii="宋体" w:hAnsi="宋体"/>
          <w:szCs w:val="21"/>
        </w:rPr>
      </w:pPr>
      <w:r>
        <w:rPr>
          <w:rFonts w:hint="eastAsia" w:ascii="宋体" w:hAnsi="宋体"/>
          <w:szCs w:val="21"/>
        </w:rPr>
        <w:t>（3）因勘察人原因造成成果资料质量达不到合同约定的质量标准；</w:t>
      </w:r>
    </w:p>
    <w:p>
      <w:pPr>
        <w:pStyle w:val="33"/>
        <w:spacing w:line="500" w:lineRule="exact"/>
        <w:jc w:val="left"/>
        <w:rPr>
          <w:rFonts w:ascii="宋体" w:hAnsi="宋体"/>
          <w:szCs w:val="21"/>
        </w:rPr>
      </w:pPr>
      <w:r>
        <w:rPr>
          <w:rFonts w:hint="eastAsia" w:ascii="宋体" w:hAnsi="宋体"/>
          <w:szCs w:val="21"/>
        </w:rPr>
        <w:t>（4）勘察人不履行合同义务或未按约定履行合同义务的其他情形。</w:t>
      </w:r>
    </w:p>
    <w:p>
      <w:pPr>
        <w:pStyle w:val="33"/>
        <w:spacing w:line="500" w:lineRule="exact"/>
        <w:jc w:val="left"/>
        <w:rPr>
          <w:rFonts w:ascii="宋体" w:hAnsi="宋体"/>
          <w:szCs w:val="21"/>
        </w:rPr>
      </w:pPr>
      <w:r>
        <w:rPr>
          <w:rFonts w:hint="eastAsia" w:ascii="宋体" w:hAnsi="宋体"/>
          <w:szCs w:val="21"/>
        </w:rPr>
        <w:t>14.2.2 勘察人违约责任</w:t>
      </w:r>
    </w:p>
    <w:p>
      <w:pPr>
        <w:pStyle w:val="33"/>
        <w:spacing w:line="500" w:lineRule="exact"/>
        <w:jc w:val="left"/>
        <w:rPr>
          <w:rFonts w:ascii="宋体" w:hAnsi="宋体"/>
          <w:szCs w:val="21"/>
        </w:rPr>
      </w:pPr>
      <w:r>
        <w:rPr>
          <w:rFonts w:hint="eastAsia" w:ascii="宋体" w:hAnsi="宋体"/>
          <w:szCs w:val="21"/>
        </w:rPr>
        <w:t>（1）合同生效后，勘察人因自身原因要求终止或解除合同，勘察人应双倍返还发包人已支付的定金或勘察人按照专用合同条款约定向发包人支付违约金。</w:t>
      </w:r>
    </w:p>
    <w:p>
      <w:pPr>
        <w:pStyle w:val="33"/>
        <w:spacing w:line="500" w:lineRule="exact"/>
        <w:jc w:val="left"/>
        <w:rPr>
          <w:rFonts w:ascii="宋体" w:hAnsi="宋体"/>
          <w:szCs w:val="21"/>
        </w:rPr>
      </w:pPr>
      <w:r>
        <w:rPr>
          <w:rFonts w:hint="eastAsia" w:ascii="宋体" w:hAnsi="宋体"/>
          <w:szCs w:val="21"/>
        </w:rPr>
        <w:t>（2）因勘察人原因造成工期延误的，应按专用合同条款约定向发包人支付违约金。</w:t>
      </w:r>
    </w:p>
    <w:p>
      <w:pPr>
        <w:pStyle w:val="33"/>
        <w:spacing w:line="500" w:lineRule="exact"/>
        <w:jc w:val="left"/>
        <w:rPr>
          <w:rFonts w:ascii="宋体" w:hAnsi="宋体"/>
          <w:szCs w:val="21"/>
        </w:rPr>
      </w:pPr>
      <w:r>
        <w:rPr>
          <w:rFonts w:hint="eastAsia" w:ascii="宋体" w:hAnsi="宋体"/>
          <w:szCs w:val="21"/>
        </w:rPr>
        <w:t>（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pStyle w:val="33"/>
        <w:spacing w:line="500" w:lineRule="exact"/>
        <w:jc w:val="left"/>
        <w:rPr>
          <w:rFonts w:ascii="宋体" w:hAnsi="宋体"/>
          <w:szCs w:val="21"/>
        </w:rPr>
      </w:pPr>
      <w:r>
        <w:rPr>
          <w:rFonts w:hint="eastAsia" w:ascii="宋体" w:hAnsi="宋体"/>
          <w:szCs w:val="21"/>
        </w:rPr>
        <w:t>（4）勘察人发生其他违约情形时，勘察人应承担违约责任并赔偿因其违约给发包人造成的损失，双方可在专用合同条款内约定勘察人赔偿发包人损失的计算方法和赔偿金额。</w:t>
      </w:r>
    </w:p>
    <w:p>
      <w:pPr>
        <w:pStyle w:val="33"/>
        <w:spacing w:line="500" w:lineRule="exact"/>
        <w:jc w:val="left"/>
        <w:rPr>
          <w:rFonts w:ascii="宋体" w:hAnsi="宋体"/>
          <w:b/>
          <w:bCs/>
          <w:szCs w:val="21"/>
        </w:rPr>
      </w:pPr>
      <w:r>
        <w:rPr>
          <w:rFonts w:hint="eastAsia" w:ascii="宋体" w:hAnsi="宋体"/>
          <w:b/>
          <w:bCs/>
          <w:szCs w:val="21"/>
        </w:rPr>
        <w:t>第15条 索赔</w:t>
      </w:r>
    </w:p>
    <w:p>
      <w:pPr>
        <w:pStyle w:val="33"/>
        <w:spacing w:line="500" w:lineRule="exact"/>
        <w:jc w:val="left"/>
        <w:rPr>
          <w:rFonts w:ascii="宋体" w:hAnsi="宋体"/>
          <w:szCs w:val="21"/>
        </w:rPr>
      </w:pPr>
      <w:r>
        <w:rPr>
          <w:rFonts w:hint="eastAsia" w:ascii="宋体" w:hAnsi="宋体"/>
          <w:szCs w:val="21"/>
        </w:rPr>
        <w:t>15.1 发包人索赔</w:t>
      </w:r>
    </w:p>
    <w:p>
      <w:pPr>
        <w:pStyle w:val="33"/>
        <w:spacing w:line="500" w:lineRule="exact"/>
        <w:ind w:left="210" w:leftChars="100" w:firstLine="420" w:firstLineChars="200"/>
        <w:jc w:val="left"/>
        <w:rPr>
          <w:rFonts w:ascii="宋体" w:hAnsi="宋体"/>
          <w:szCs w:val="21"/>
        </w:rPr>
      </w:pPr>
      <w:r>
        <w:rPr>
          <w:rFonts w:hint="eastAsia" w:ascii="宋体" w:hAnsi="宋体"/>
          <w:szCs w:val="21"/>
        </w:rPr>
        <w:t>勘察人未按合同约定履行义务或发生错误以及应由勘察人承担责任的其他情形，造成工期延误及发包人的经济损失，除专用合同条款另有约定外，发包人可按下列程序以书面形式向勘察人索赔：</w:t>
      </w:r>
    </w:p>
    <w:p>
      <w:pPr>
        <w:pStyle w:val="33"/>
        <w:spacing w:line="500" w:lineRule="exact"/>
        <w:jc w:val="left"/>
        <w:rPr>
          <w:rFonts w:ascii="宋体" w:hAnsi="宋体"/>
          <w:szCs w:val="21"/>
        </w:rPr>
      </w:pPr>
      <w:r>
        <w:rPr>
          <w:rFonts w:hint="eastAsia" w:ascii="宋体" w:hAnsi="宋体"/>
          <w:szCs w:val="21"/>
        </w:rPr>
        <w:t>（1）违约事件发生后7天内，向勘察人发出索赔意向通知；</w:t>
      </w:r>
    </w:p>
    <w:p>
      <w:pPr>
        <w:pStyle w:val="33"/>
        <w:spacing w:line="500" w:lineRule="exact"/>
        <w:jc w:val="left"/>
        <w:rPr>
          <w:rFonts w:ascii="宋体" w:hAnsi="宋体"/>
          <w:szCs w:val="21"/>
        </w:rPr>
      </w:pPr>
      <w:r>
        <w:rPr>
          <w:rFonts w:hint="eastAsia" w:ascii="宋体" w:hAnsi="宋体"/>
          <w:szCs w:val="21"/>
        </w:rPr>
        <w:t>（2）发出索赔意向通知后14天内，向勘察人提出经济损失的索赔报告及有关资料；</w:t>
      </w:r>
    </w:p>
    <w:p>
      <w:pPr>
        <w:pStyle w:val="33"/>
        <w:spacing w:line="500" w:lineRule="exact"/>
        <w:jc w:val="left"/>
        <w:rPr>
          <w:rFonts w:ascii="宋体" w:hAnsi="宋体"/>
          <w:szCs w:val="21"/>
        </w:rPr>
      </w:pPr>
      <w:r>
        <w:rPr>
          <w:rFonts w:hint="eastAsia" w:ascii="宋体" w:hAnsi="宋体"/>
          <w:szCs w:val="21"/>
        </w:rPr>
        <w:t>（3）勘察人在收到发包人送交的索赔报告和有关资料或补充索赔理由、证据后，于28天内给予答复；</w:t>
      </w:r>
    </w:p>
    <w:p>
      <w:pPr>
        <w:pStyle w:val="33"/>
        <w:spacing w:line="500" w:lineRule="exact"/>
        <w:jc w:val="left"/>
        <w:rPr>
          <w:rFonts w:ascii="宋体" w:hAnsi="宋体"/>
          <w:szCs w:val="21"/>
        </w:rPr>
      </w:pPr>
      <w:r>
        <w:rPr>
          <w:rFonts w:hint="eastAsia" w:ascii="宋体" w:hAnsi="宋体"/>
          <w:szCs w:val="21"/>
        </w:rPr>
        <w:t>（4）勘察人在收到发包人送交的索赔报告和有关资料后28天内未予答复或未对发包人作进一步要求，视为该项索赔已被认可；</w:t>
      </w:r>
    </w:p>
    <w:p>
      <w:pPr>
        <w:pStyle w:val="33"/>
        <w:spacing w:line="500" w:lineRule="exact"/>
        <w:jc w:val="left"/>
        <w:rPr>
          <w:rFonts w:ascii="宋体" w:hAnsi="宋体"/>
          <w:szCs w:val="21"/>
        </w:rPr>
      </w:pPr>
      <w:r>
        <w:rPr>
          <w:rFonts w:hint="eastAsia" w:ascii="宋体" w:hAnsi="宋体"/>
          <w:szCs w:val="21"/>
        </w:rPr>
        <w:t>（5）当该违约事件持续进行时，发包人应阶段性向勘察人发出索赔意向，在违约事件终了后21天内，向勘察人送交索赔的有关资料和最终索赔报告。索赔答复程序与本款第（3）、（4）项约定相同。</w:t>
      </w:r>
    </w:p>
    <w:p>
      <w:pPr>
        <w:pStyle w:val="33"/>
        <w:spacing w:line="500" w:lineRule="exact"/>
        <w:jc w:val="left"/>
        <w:rPr>
          <w:rFonts w:ascii="宋体" w:hAnsi="宋体"/>
          <w:szCs w:val="21"/>
        </w:rPr>
      </w:pPr>
      <w:r>
        <w:rPr>
          <w:rFonts w:hint="eastAsia" w:ascii="宋体" w:hAnsi="宋体"/>
          <w:szCs w:val="21"/>
        </w:rPr>
        <w:t>15.2 勘察人索赔</w:t>
      </w:r>
    </w:p>
    <w:p>
      <w:pPr>
        <w:pStyle w:val="33"/>
        <w:spacing w:line="500" w:lineRule="exact"/>
        <w:ind w:left="210" w:leftChars="100" w:firstLine="420" w:firstLineChars="200"/>
        <w:jc w:val="left"/>
        <w:rPr>
          <w:rFonts w:ascii="宋体" w:hAnsi="宋体"/>
          <w:szCs w:val="21"/>
        </w:rPr>
      </w:pPr>
      <w:r>
        <w:rPr>
          <w:rFonts w:hint="eastAsia" w:ascii="宋体" w:hAnsi="宋体"/>
          <w:szCs w:val="21"/>
        </w:rPr>
        <w:t>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pStyle w:val="33"/>
        <w:spacing w:line="500" w:lineRule="exact"/>
        <w:jc w:val="left"/>
        <w:rPr>
          <w:rFonts w:ascii="宋体" w:hAnsi="宋体"/>
          <w:szCs w:val="21"/>
        </w:rPr>
      </w:pPr>
      <w:r>
        <w:rPr>
          <w:rFonts w:hint="eastAsia" w:ascii="宋体" w:hAnsi="宋体"/>
          <w:szCs w:val="21"/>
        </w:rPr>
        <w:t>（1）违约事件发生后7天内，勘察人可向发包人发出要求其采取有效措施纠正违约行为的通知；发包人收到通知14天内仍不履行合同义务，勘察人有权停止作业，并向发包人发出索赔意向通知。</w:t>
      </w:r>
    </w:p>
    <w:p>
      <w:pPr>
        <w:pStyle w:val="33"/>
        <w:spacing w:line="500" w:lineRule="exact"/>
        <w:jc w:val="left"/>
        <w:rPr>
          <w:rFonts w:ascii="宋体" w:hAnsi="宋体"/>
          <w:szCs w:val="21"/>
        </w:rPr>
      </w:pPr>
      <w:r>
        <w:rPr>
          <w:rFonts w:hint="eastAsia" w:ascii="宋体" w:hAnsi="宋体"/>
          <w:szCs w:val="21"/>
        </w:rPr>
        <w:t>（2）发出索赔意向通知后14天内，向发包人提出延长工期和（或）补偿经济损失的索赔报告及有关资料；</w:t>
      </w:r>
    </w:p>
    <w:p>
      <w:pPr>
        <w:pStyle w:val="33"/>
        <w:spacing w:line="500" w:lineRule="exact"/>
        <w:jc w:val="left"/>
        <w:rPr>
          <w:rFonts w:ascii="宋体" w:hAnsi="宋体"/>
          <w:szCs w:val="21"/>
        </w:rPr>
      </w:pPr>
      <w:r>
        <w:rPr>
          <w:rFonts w:hint="eastAsia" w:ascii="宋体" w:hAnsi="宋体"/>
          <w:szCs w:val="21"/>
        </w:rPr>
        <w:t>（3）发包人在收到勘察人送交的索赔报告和有关资料或补充索赔理由、证据后，于28天内给予答复；</w:t>
      </w:r>
    </w:p>
    <w:p>
      <w:pPr>
        <w:pStyle w:val="33"/>
        <w:spacing w:line="500" w:lineRule="exact"/>
        <w:jc w:val="left"/>
        <w:rPr>
          <w:rFonts w:ascii="宋体" w:hAnsi="宋体"/>
          <w:szCs w:val="21"/>
        </w:rPr>
      </w:pPr>
      <w:r>
        <w:rPr>
          <w:rFonts w:hint="eastAsia" w:ascii="宋体" w:hAnsi="宋体"/>
          <w:szCs w:val="21"/>
        </w:rPr>
        <w:t>（4）发包人在收到勘察人送交的索赔报告和有关资料后28天内未予答复或未对勘察人作进一步要求，视为该项索赔已被认可；</w:t>
      </w:r>
    </w:p>
    <w:p>
      <w:pPr>
        <w:pStyle w:val="33"/>
        <w:spacing w:line="500" w:lineRule="exact"/>
        <w:jc w:val="left"/>
        <w:rPr>
          <w:rFonts w:ascii="宋体" w:hAnsi="宋体"/>
          <w:szCs w:val="21"/>
        </w:rPr>
      </w:pPr>
      <w:r>
        <w:rPr>
          <w:rFonts w:hint="eastAsia" w:ascii="宋体" w:hAnsi="宋体"/>
          <w:szCs w:val="21"/>
        </w:rPr>
        <w:t>（5）当该索赔事件持续进行时，勘察人应阶段性向发包人发出索赔意向，在索赔事件终了后21天内，向发包人送交索赔的有关资料和最终索赔报告。索赔答复程序与本款第（3）、（4）项约定相同。</w:t>
      </w:r>
    </w:p>
    <w:p>
      <w:pPr>
        <w:pStyle w:val="33"/>
        <w:spacing w:line="500" w:lineRule="exact"/>
        <w:jc w:val="left"/>
        <w:rPr>
          <w:rFonts w:ascii="宋体" w:hAnsi="宋体"/>
          <w:b/>
          <w:bCs/>
          <w:szCs w:val="21"/>
        </w:rPr>
      </w:pPr>
      <w:r>
        <w:rPr>
          <w:rFonts w:hint="eastAsia" w:ascii="宋体" w:hAnsi="宋体"/>
          <w:b/>
          <w:bCs/>
          <w:szCs w:val="21"/>
        </w:rPr>
        <w:t>第16条 争议解决</w:t>
      </w:r>
    </w:p>
    <w:p>
      <w:pPr>
        <w:pStyle w:val="33"/>
        <w:spacing w:line="500" w:lineRule="exact"/>
        <w:jc w:val="left"/>
        <w:rPr>
          <w:rFonts w:ascii="宋体" w:hAnsi="宋体"/>
          <w:szCs w:val="21"/>
        </w:rPr>
      </w:pPr>
      <w:r>
        <w:rPr>
          <w:rFonts w:hint="eastAsia" w:ascii="宋体" w:hAnsi="宋体"/>
          <w:szCs w:val="21"/>
        </w:rPr>
        <w:t>16.1 和解</w:t>
      </w:r>
    </w:p>
    <w:p>
      <w:pPr>
        <w:pStyle w:val="33"/>
        <w:spacing w:line="500" w:lineRule="exact"/>
        <w:ind w:left="210" w:leftChars="100" w:firstLine="420" w:firstLineChars="200"/>
        <w:jc w:val="left"/>
        <w:rPr>
          <w:rFonts w:ascii="宋体" w:hAnsi="宋体"/>
          <w:szCs w:val="21"/>
        </w:rPr>
      </w:pPr>
      <w:r>
        <w:rPr>
          <w:rFonts w:hint="eastAsia" w:ascii="宋体" w:hAnsi="宋体"/>
          <w:szCs w:val="21"/>
        </w:rPr>
        <w:t>因本合同以及与本合同有关事项发生争议的，双方可以就争议自行和解。自行和解达成协议的，经签字并盖章后作为合同补充文件，双方均应遵照执行。</w:t>
      </w:r>
    </w:p>
    <w:p>
      <w:pPr>
        <w:pStyle w:val="33"/>
        <w:spacing w:line="500" w:lineRule="exact"/>
        <w:jc w:val="left"/>
        <w:rPr>
          <w:rFonts w:ascii="宋体" w:hAnsi="宋体"/>
          <w:szCs w:val="21"/>
        </w:rPr>
      </w:pPr>
      <w:r>
        <w:rPr>
          <w:rFonts w:hint="eastAsia" w:ascii="宋体" w:hAnsi="宋体"/>
          <w:szCs w:val="21"/>
        </w:rPr>
        <w:t>16.2 调解</w:t>
      </w:r>
    </w:p>
    <w:p>
      <w:pPr>
        <w:pStyle w:val="33"/>
        <w:spacing w:line="500" w:lineRule="exact"/>
        <w:ind w:left="210" w:leftChars="100" w:firstLine="420" w:firstLineChars="200"/>
        <w:jc w:val="left"/>
        <w:rPr>
          <w:rFonts w:ascii="宋体" w:hAnsi="宋体"/>
          <w:szCs w:val="21"/>
        </w:rPr>
      </w:pPr>
      <w:r>
        <w:rPr>
          <w:rFonts w:hint="eastAsia" w:ascii="宋体" w:hAnsi="宋体"/>
          <w:szCs w:val="21"/>
        </w:rPr>
        <w:t>因本合同以及与本合同有关事项发生争议的，双方可以就争议请求行政主管部门、行业协会或其他第三方进行调解。调解达成协议的，经签字并盖章后作为合同补充文件，双方均应遵照执行。</w:t>
      </w:r>
    </w:p>
    <w:p>
      <w:pPr>
        <w:pStyle w:val="33"/>
        <w:spacing w:line="500" w:lineRule="exact"/>
        <w:jc w:val="left"/>
        <w:rPr>
          <w:rFonts w:ascii="宋体" w:hAnsi="宋体"/>
          <w:szCs w:val="21"/>
        </w:rPr>
      </w:pPr>
      <w:r>
        <w:rPr>
          <w:rFonts w:hint="eastAsia" w:ascii="宋体" w:hAnsi="宋体"/>
          <w:szCs w:val="21"/>
        </w:rPr>
        <w:t>16.3 仲裁或诉讼</w:t>
      </w:r>
    </w:p>
    <w:p>
      <w:pPr>
        <w:pStyle w:val="33"/>
        <w:spacing w:line="500" w:lineRule="exact"/>
        <w:ind w:left="210" w:leftChars="100" w:firstLine="420" w:firstLineChars="200"/>
        <w:jc w:val="left"/>
        <w:rPr>
          <w:rFonts w:ascii="宋体" w:hAnsi="宋体"/>
          <w:szCs w:val="21"/>
        </w:rPr>
      </w:pPr>
      <w:r>
        <w:rPr>
          <w:rFonts w:hint="eastAsia" w:ascii="宋体" w:hAnsi="宋体"/>
          <w:szCs w:val="21"/>
        </w:rPr>
        <w:t>因本合同以及与本合同有关事项发生争议的，当事人不愿和解、调解或者和解、调解不成的，双方可以在专用合同条款内约定以下一种方式解决争议：</w:t>
      </w:r>
    </w:p>
    <w:p>
      <w:pPr>
        <w:pStyle w:val="33"/>
        <w:spacing w:line="500" w:lineRule="exact"/>
        <w:jc w:val="left"/>
        <w:rPr>
          <w:rFonts w:ascii="宋体" w:hAnsi="宋体"/>
          <w:szCs w:val="21"/>
        </w:rPr>
      </w:pPr>
      <w:r>
        <w:rPr>
          <w:rFonts w:hint="eastAsia" w:ascii="宋体" w:hAnsi="宋体"/>
          <w:szCs w:val="21"/>
        </w:rPr>
        <w:t>（1）双方达成仲裁协议，向约定的仲裁委员会申请仲裁；</w:t>
      </w:r>
    </w:p>
    <w:p>
      <w:pPr>
        <w:pStyle w:val="33"/>
        <w:spacing w:line="500" w:lineRule="exact"/>
        <w:jc w:val="left"/>
        <w:rPr>
          <w:rFonts w:ascii="宋体" w:hAnsi="宋体"/>
          <w:szCs w:val="21"/>
        </w:rPr>
      </w:pPr>
      <w:r>
        <w:rPr>
          <w:rFonts w:hint="eastAsia" w:ascii="宋体" w:hAnsi="宋体"/>
          <w:szCs w:val="21"/>
        </w:rPr>
        <w:t>（2）向有管辖权的人民法院起诉。</w:t>
      </w:r>
    </w:p>
    <w:p>
      <w:pPr>
        <w:pStyle w:val="33"/>
        <w:spacing w:line="500" w:lineRule="exact"/>
        <w:jc w:val="left"/>
        <w:rPr>
          <w:rFonts w:ascii="宋体" w:hAnsi="宋体"/>
          <w:b/>
          <w:bCs/>
          <w:szCs w:val="21"/>
        </w:rPr>
      </w:pPr>
      <w:r>
        <w:rPr>
          <w:rFonts w:hint="eastAsia" w:ascii="宋体" w:hAnsi="宋体"/>
          <w:b/>
          <w:bCs/>
          <w:szCs w:val="21"/>
        </w:rPr>
        <w:t>第17条 补充条款</w:t>
      </w:r>
    </w:p>
    <w:p>
      <w:pPr>
        <w:pStyle w:val="2"/>
        <w:spacing w:line="500" w:lineRule="exact"/>
        <w:ind w:firstLine="371" w:firstLineChars="177"/>
        <w:outlineLvl w:val="9"/>
        <w:rPr>
          <w:rFonts w:ascii="宋体" w:hAnsi="宋体" w:cs="Times New Roman"/>
          <w:b w:val="0"/>
          <w:bCs w:val="0"/>
          <w:kern w:val="2"/>
          <w:szCs w:val="21"/>
        </w:rPr>
      </w:pPr>
      <w:r>
        <w:rPr>
          <w:rFonts w:hint="eastAsia" w:ascii="宋体" w:hAnsi="宋体" w:cs="Times New Roman"/>
          <w:b w:val="0"/>
          <w:bCs w:val="0"/>
          <w:kern w:val="2"/>
          <w:szCs w:val="21"/>
        </w:rPr>
        <w:t>双方根据有关法律法规规定，结合实际经协商一致，可对通用合同条款内容具体化、补充或修改，并在专用合同条款内约定。</w:t>
      </w: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jc w:val="left"/>
        <w:rPr>
          <w:rFonts w:ascii="宋体" w:hAnsi="宋体" w:eastAsia="宋体" w:cs="Times New Roman"/>
          <w:sz w:val="24"/>
        </w:rPr>
      </w:pPr>
      <w:r>
        <w:rPr>
          <w:rFonts w:ascii="宋体" w:hAnsi="宋体" w:eastAsia="宋体" w:cs="Times New Roman"/>
          <w:sz w:val="24"/>
        </w:rPr>
        <w:br w:type="page"/>
      </w:r>
    </w:p>
    <w:p>
      <w:pPr>
        <w:pStyle w:val="5"/>
        <w:bidi w:val="0"/>
        <w:jc w:val="center"/>
        <w:rPr>
          <w:rFonts w:hint="eastAsia"/>
          <w:b/>
          <w:bCs w:val="0"/>
          <w:sz w:val="24"/>
          <w:szCs w:val="24"/>
          <w:lang w:val="en-US" w:eastAsia="zh-CN"/>
        </w:rPr>
      </w:pPr>
      <w:bookmarkStart w:id="544" w:name="_Toc27161"/>
      <w:r>
        <w:rPr>
          <w:rFonts w:hint="eastAsia"/>
          <w:b/>
          <w:bCs w:val="0"/>
          <w:sz w:val="24"/>
          <w:szCs w:val="24"/>
          <w:lang w:val="en-US" w:eastAsia="zh-CN"/>
        </w:rPr>
        <w:t>4.造价咨询部分</w:t>
      </w:r>
      <w:bookmarkEnd w:id="544"/>
    </w:p>
    <w:p>
      <w:pPr>
        <w:pStyle w:val="7"/>
        <w:spacing w:line="500" w:lineRule="exact"/>
        <w:jc w:val="center"/>
        <w:rPr>
          <w:rFonts w:ascii="宋体" w:hAnsi="宋体" w:cs="宋体"/>
          <w:b/>
          <w:bCs/>
        </w:rPr>
      </w:pPr>
      <w:r>
        <w:rPr>
          <w:rFonts w:hint="eastAsia" w:ascii="宋体" w:hAnsi="宋体" w:cs="宋体"/>
          <w:b/>
          <w:bCs/>
        </w:rPr>
        <w:t>《建设工程造价咨询合同（示范文本）》（GF-2015-0212）</w:t>
      </w:r>
    </w:p>
    <w:p>
      <w:pPr>
        <w:spacing w:line="500" w:lineRule="exact"/>
      </w:pPr>
    </w:p>
    <w:p>
      <w:pPr>
        <w:spacing w:line="500" w:lineRule="exact"/>
        <w:ind w:firstLine="426" w:firstLineChars="202"/>
        <w:rPr>
          <w:rFonts w:ascii="宋体" w:hAnsi="宋体"/>
          <w:b/>
          <w:szCs w:val="21"/>
        </w:rPr>
      </w:pPr>
      <w:r>
        <w:rPr>
          <w:rFonts w:hint="eastAsia" w:ascii="宋体" w:hAnsi="宋体"/>
          <w:b/>
          <w:szCs w:val="21"/>
        </w:rPr>
        <w:t>1.词语定义、语言、解释顺序与适用法律</w:t>
      </w:r>
    </w:p>
    <w:p>
      <w:pPr>
        <w:spacing w:line="500" w:lineRule="exact"/>
        <w:ind w:firstLine="424" w:firstLineChars="202"/>
        <w:rPr>
          <w:rFonts w:ascii="宋体" w:hAnsi="宋体"/>
          <w:szCs w:val="21"/>
        </w:rPr>
      </w:pPr>
      <w:r>
        <w:rPr>
          <w:rFonts w:hint="eastAsia" w:ascii="宋体" w:hAnsi="宋体"/>
          <w:szCs w:val="21"/>
        </w:rPr>
        <w:t>1.1词语定义</w:t>
      </w:r>
    </w:p>
    <w:p>
      <w:pPr>
        <w:spacing w:line="500" w:lineRule="exact"/>
        <w:ind w:firstLine="424" w:firstLineChars="202"/>
        <w:rPr>
          <w:rFonts w:ascii="宋体" w:hAnsi="宋体"/>
          <w:szCs w:val="21"/>
        </w:rPr>
      </w:pPr>
      <w:r>
        <w:rPr>
          <w:rFonts w:hint="eastAsia" w:ascii="宋体" w:hAnsi="宋体"/>
          <w:szCs w:val="21"/>
        </w:rPr>
        <w:t>组成本合同的全部文件中的下列名词和用语应具有本款所赋予的含义：</w:t>
      </w:r>
    </w:p>
    <w:p>
      <w:pPr>
        <w:spacing w:line="500" w:lineRule="exact"/>
        <w:ind w:firstLine="424" w:firstLineChars="202"/>
        <w:rPr>
          <w:rFonts w:ascii="宋体" w:hAnsi="宋体"/>
          <w:szCs w:val="21"/>
        </w:rPr>
      </w:pPr>
      <w:r>
        <w:rPr>
          <w:rFonts w:hint="eastAsia" w:ascii="宋体" w:hAnsi="宋体"/>
          <w:szCs w:val="21"/>
        </w:rPr>
        <w:t xml:space="preserve">1.1.1“工程”是指按照本合同约定实施造价咨询与其他服务的建设工程。    </w:t>
      </w:r>
    </w:p>
    <w:p>
      <w:pPr>
        <w:spacing w:line="500" w:lineRule="exact"/>
        <w:ind w:firstLine="424" w:firstLineChars="202"/>
        <w:rPr>
          <w:rFonts w:ascii="宋体" w:hAnsi="宋体"/>
          <w:szCs w:val="21"/>
        </w:rPr>
      </w:pPr>
      <w:r>
        <w:rPr>
          <w:rFonts w:hint="eastAsia" w:ascii="宋体" w:hAnsi="宋体"/>
          <w:szCs w:val="21"/>
        </w:rPr>
        <w:t>1.1.2“工程造价”是指工程项目建设过程中预计或实际支出的全部费用。</w:t>
      </w:r>
    </w:p>
    <w:p>
      <w:pPr>
        <w:spacing w:line="500" w:lineRule="exact"/>
        <w:ind w:firstLine="424" w:firstLineChars="202"/>
        <w:rPr>
          <w:rFonts w:ascii="宋体" w:hAnsi="宋体"/>
          <w:szCs w:val="21"/>
        </w:rPr>
      </w:pPr>
      <w:r>
        <w:rPr>
          <w:rFonts w:hint="eastAsia" w:ascii="宋体" w:hAnsi="宋体"/>
          <w:szCs w:val="21"/>
        </w:rPr>
        <w:t>1.1.3“委托人”是指本合同中委托造价咨询与其他服务的一方，及其合法的继承人或受让人。</w:t>
      </w:r>
    </w:p>
    <w:p>
      <w:pPr>
        <w:spacing w:line="500" w:lineRule="exact"/>
        <w:ind w:firstLine="424" w:firstLineChars="202"/>
        <w:rPr>
          <w:rFonts w:ascii="宋体" w:hAnsi="宋体"/>
          <w:szCs w:val="21"/>
        </w:rPr>
      </w:pPr>
      <w:r>
        <w:rPr>
          <w:rFonts w:hint="eastAsia" w:ascii="宋体" w:hAnsi="宋体"/>
          <w:szCs w:val="21"/>
        </w:rPr>
        <w:t>1.1.4“咨询人”是指本合同中提供造价咨询与其他服务的一方，及其合法的继承人。</w:t>
      </w:r>
    </w:p>
    <w:p>
      <w:pPr>
        <w:spacing w:line="500" w:lineRule="exact"/>
        <w:ind w:firstLine="424" w:firstLineChars="202"/>
        <w:rPr>
          <w:rFonts w:ascii="宋体" w:hAnsi="宋体"/>
          <w:szCs w:val="21"/>
        </w:rPr>
      </w:pPr>
      <w:r>
        <w:rPr>
          <w:rFonts w:hint="eastAsia" w:ascii="宋体" w:hAnsi="宋体"/>
          <w:szCs w:val="21"/>
        </w:rPr>
        <w:t>1.1.5“第三人”是指除委托人、咨询人以外与本咨询业务有关的当事人。</w:t>
      </w:r>
    </w:p>
    <w:p>
      <w:pPr>
        <w:spacing w:line="500" w:lineRule="exact"/>
        <w:ind w:firstLine="424" w:firstLineChars="202"/>
        <w:rPr>
          <w:rFonts w:ascii="宋体" w:hAnsi="宋体"/>
          <w:szCs w:val="21"/>
        </w:rPr>
      </w:pPr>
      <w:r>
        <w:rPr>
          <w:rFonts w:hint="eastAsia" w:ascii="宋体" w:hAnsi="宋体"/>
          <w:szCs w:val="21"/>
        </w:rPr>
        <w:t>1.1.6“正常工作”是指本合同订立时通用条件和专用条件中约定的咨询人的工作。</w:t>
      </w:r>
    </w:p>
    <w:p>
      <w:pPr>
        <w:spacing w:line="500" w:lineRule="exact"/>
        <w:ind w:firstLine="424" w:firstLineChars="202"/>
        <w:rPr>
          <w:rFonts w:ascii="宋体" w:hAnsi="宋体"/>
          <w:szCs w:val="21"/>
        </w:rPr>
      </w:pPr>
      <w:r>
        <w:rPr>
          <w:rFonts w:hint="eastAsia" w:ascii="宋体" w:hAnsi="宋体"/>
          <w:szCs w:val="21"/>
        </w:rPr>
        <w:t>1.1.7“附加工作”是指咨询人根据合同条件完成的正常工作以外的工作。</w:t>
      </w:r>
    </w:p>
    <w:p>
      <w:pPr>
        <w:spacing w:line="500" w:lineRule="exact"/>
        <w:ind w:firstLine="424" w:firstLineChars="202"/>
        <w:rPr>
          <w:rFonts w:ascii="宋体" w:hAnsi="宋体"/>
          <w:szCs w:val="21"/>
        </w:rPr>
      </w:pPr>
      <w:r>
        <w:rPr>
          <w:rFonts w:hint="eastAsia" w:ascii="宋体" w:hAnsi="宋体"/>
          <w:szCs w:val="21"/>
        </w:rPr>
        <w:t>1.1.8“项目咨询团队”是指咨询人指派负责履行本合同的团队，其团队成员为本合同的项目咨询人员。</w:t>
      </w:r>
    </w:p>
    <w:p>
      <w:pPr>
        <w:spacing w:line="500" w:lineRule="exact"/>
        <w:ind w:firstLine="424" w:firstLineChars="202"/>
        <w:rPr>
          <w:rFonts w:ascii="宋体" w:hAnsi="宋体"/>
          <w:szCs w:val="21"/>
        </w:rPr>
      </w:pPr>
      <w:r>
        <w:rPr>
          <w:rFonts w:hint="eastAsia" w:ascii="宋体" w:hAnsi="宋体"/>
          <w:szCs w:val="21"/>
        </w:rPr>
        <w:t>1.1.9“项目负责人”是指由咨询人的法定代表人书面授权，在授权范围内负责履行本合同、主持项目咨询团队工作的负责人。</w:t>
      </w:r>
    </w:p>
    <w:p>
      <w:pPr>
        <w:spacing w:line="500" w:lineRule="exact"/>
        <w:ind w:firstLine="424" w:firstLineChars="202"/>
        <w:rPr>
          <w:rFonts w:ascii="宋体" w:hAnsi="宋体"/>
          <w:szCs w:val="21"/>
        </w:rPr>
      </w:pPr>
      <w:r>
        <w:rPr>
          <w:rFonts w:hint="eastAsia" w:ascii="宋体" w:hAnsi="宋体"/>
          <w:szCs w:val="21"/>
        </w:rPr>
        <w:t>1.1.10“委托人代表”是指由委托人的法定代表人书面授权，在授权范围内行使委托人权利的人。</w:t>
      </w:r>
    </w:p>
    <w:p>
      <w:pPr>
        <w:spacing w:line="500" w:lineRule="exact"/>
        <w:ind w:firstLine="424" w:firstLineChars="202"/>
        <w:rPr>
          <w:rFonts w:ascii="宋体" w:hAnsi="宋体"/>
          <w:szCs w:val="21"/>
        </w:rPr>
      </w:pPr>
      <w:r>
        <w:rPr>
          <w:rFonts w:hint="eastAsia" w:ascii="宋体" w:hAnsi="宋体"/>
          <w:szCs w:val="21"/>
        </w:rPr>
        <w:t>1.1.11“酬金”是指咨询人履行本合同义务，委托人按照本合同约定给付咨询人的金额。</w:t>
      </w:r>
    </w:p>
    <w:p>
      <w:pPr>
        <w:spacing w:line="500" w:lineRule="exact"/>
        <w:ind w:firstLine="424" w:firstLineChars="202"/>
        <w:rPr>
          <w:rFonts w:ascii="宋体" w:hAnsi="宋体"/>
          <w:szCs w:val="21"/>
        </w:rPr>
      </w:pPr>
      <w:r>
        <w:rPr>
          <w:rFonts w:hint="eastAsia" w:ascii="宋体" w:hAnsi="宋体"/>
          <w:szCs w:val="21"/>
        </w:rPr>
        <w:t>1.1.12“正常工作酬金”是指在协议书中载明的，咨询人完成正常工作，委托人应给付咨询人的酬金。</w:t>
      </w:r>
    </w:p>
    <w:p>
      <w:pPr>
        <w:spacing w:line="500" w:lineRule="exact"/>
        <w:ind w:firstLine="424" w:firstLineChars="202"/>
        <w:rPr>
          <w:rFonts w:ascii="宋体" w:hAnsi="宋体"/>
          <w:szCs w:val="21"/>
        </w:rPr>
      </w:pPr>
      <w:r>
        <w:rPr>
          <w:rFonts w:ascii="宋体" w:hAnsi="宋体"/>
          <w:szCs w:val="21"/>
        </w:rPr>
        <w:t>1.1.13</w:t>
      </w:r>
      <w:r>
        <w:rPr>
          <w:rFonts w:hint="eastAsia" w:ascii="宋体" w:hAnsi="宋体"/>
          <w:szCs w:val="21"/>
        </w:rPr>
        <w:t>“附加工作酬金”是指咨询人完成附加工作，委托人应给付咨询人的酬金。</w:t>
      </w:r>
    </w:p>
    <w:p>
      <w:pPr>
        <w:spacing w:line="500" w:lineRule="exact"/>
        <w:ind w:firstLine="424" w:firstLineChars="202"/>
        <w:rPr>
          <w:rFonts w:ascii="宋体" w:hAnsi="宋体"/>
          <w:szCs w:val="21"/>
        </w:rPr>
      </w:pPr>
      <w:r>
        <w:rPr>
          <w:rFonts w:hint="eastAsia" w:ascii="宋体" w:hAnsi="宋体"/>
          <w:szCs w:val="21"/>
        </w:rPr>
        <w:t>1.1.14 “书面形式”是指合同书、信件和数据电文（包括电报、电传、传真、电子数据交换和电子邮件）等可以有形地表现所载内容的形式。</w:t>
      </w:r>
    </w:p>
    <w:p>
      <w:pPr>
        <w:spacing w:line="500" w:lineRule="exact"/>
        <w:ind w:firstLine="424" w:firstLineChars="202"/>
        <w:rPr>
          <w:rFonts w:ascii="宋体" w:hAnsi="宋体"/>
          <w:szCs w:val="21"/>
        </w:rPr>
      </w:pPr>
      <w:r>
        <w:rPr>
          <w:rFonts w:hint="eastAsia" w:ascii="宋体" w:hAnsi="宋体"/>
          <w:szCs w:val="21"/>
        </w:rPr>
        <w:t>1.1.15 “不可抗力”是指委托人和咨询人在订立本合同时不可预见，在合同履行过程中不可避免并不能克服的自然灾害和社会性突发事件，如地震、海啸、瘟疫、水灾、骚乱、暴动、战争等情形。</w:t>
      </w:r>
    </w:p>
    <w:p>
      <w:pPr>
        <w:spacing w:line="500" w:lineRule="exact"/>
        <w:ind w:firstLine="424" w:firstLineChars="202"/>
        <w:rPr>
          <w:rFonts w:ascii="宋体" w:hAnsi="宋体"/>
          <w:szCs w:val="21"/>
        </w:rPr>
      </w:pPr>
      <w:r>
        <w:rPr>
          <w:rFonts w:hint="eastAsia" w:ascii="宋体" w:hAnsi="宋体"/>
          <w:szCs w:val="21"/>
        </w:rPr>
        <w:t>1.2语言</w:t>
      </w:r>
    </w:p>
    <w:p>
      <w:pPr>
        <w:spacing w:line="500" w:lineRule="exact"/>
        <w:ind w:firstLine="424" w:firstLineChars="202"/>
        <w:rPr>
          <w:rFonts w:ascii="宋体" w:hAnsi="宋体"/>
          <w:szCs w:val="21"/>
        </w:rPr>
      </w:pPr>
      <w:r>
        <w:rPr>
          <w:rFonts w:hint="eastAsia" w:ascii="宋体" w:hAnsi="宋体"/>
          <w:szCs w:val="21"/>
        </w:rPr>
        <w:t>本合同使用中文书写、解释和说明。如专用条件约定使用两种及以上语言文字时，应以中文为准。</w:t>
      </w:r>
    </w:p>
    <w:p>
      <w:pPr>
        <w:spacing w:line="500" w:lineRule="exact"/>
        <w:ind w:firstLine="424" w:firstLineChars="202"/>
        <w:rPr>
          <w:rFonts w:ascii="宋体" w:hAnsi="宋体"/>
          <w:szCs w:val="21"/>
        </w:rPr>
      </w:pPr>
      <w:r>
        <w:rPr>
          <w:rFonts w:hint="eastAsia" w:ascii="宋体" w:hAnsi="宋体"/>
          <w:szCs w:val="21"/>
        </w:rPr>
        <w:t>1.3合同文件的优先顺序</w:t>
      </w:r>
    </w:p>
    <w:p>
      <w:pPr>
        <w:spacing w:line="500" w:lineRule="exact"/>
        <w:ind w:firstLine="424" w:firstLineChars="202"/>
        <w:rPr>
          <w:rFonts w:ascii="宋体" w:hAnsi="宋体"/>
          <w:szCs w:val="21"/>
        </w:rPr>
      </w:pPr>
      <w:r>
        <w:rPr>
          <w:rFonts w:hint="eastAsia" w:ascii="宋体" w:hAnsi="宋体"/>
          <w:szCs w:val="21"/>
        </w:rPr>
        <w:t>组成本合同的下列文件彼此应能相互解释、互为说明。除专用条件另有约定外，本合同文件的解释顺序如下：</w:t>
      </w:r>
    </w:p>
    <w:p>
      <w:pPr>
        <w:spacing w:line="500" w:lineRule="exact"/>
        <w:ind w:firstLine="424" w:firstLineChars="202"/>
        <w:rPr>
          <w:rFonts w:ascii="宋体" w:hAnsi="宋体"/>
          <w:szCs w:val="21"/>
        </w:rPr>
      </w:pPr>
      <w:r>
        <w:rPr>
          <w:rFonts w:hint="eastAsia" w:ascii="宋体" w:hAnsi="宋体"/>
          <w:szCs w:val="21"/>
        </w:rPr>
        <w:t>1.协议书</w:t>
      </w:r>
    </w:p>
    <w:p>
      <w:pPr>
        <w:spacing w:line="500" w:lineRule="exact"/>
        <w:ind w:firstLine="424" w:firstLineChars="202"/>
        <w:rPr>
          <w:rFonts w:ascii="宋体" w:hAnsi="宋体"/>
          <w:szCs w:val="21"/>
        </w:rPr>
      </w:pPr>
      <w:r>
        <w:rPr>
          <w:rFonts w:hint="eastAsia" w:ascii="宋体" w:hAnsi="宋体"/>
          <w:szCs w:val="21"/>
        </w:rPr>
        <w:t>2.中标通知书或委托书（如果有）；</w:t>
      </w:r>
    </w:p>
    <w:p>
      <w:pPr>
        <w:spacing w:line="500" w:lineRule="exact"/>
        <w:ind w:firstLine="424" w:firstLineChars="202"/>
        <w:rPr>
          <w:rFonts w:ascii="宋体" w:hAnsi="宋体"/>
          <w:szCs w:val="21"/>
        </w:rPr>
      </w:pPr>
      <w:r>
        <w:rPr>
          <w:rFonts w:hint="eastAsia" w:ascii="宋体" w:hAnsi="宋体"/>
          <w:szCs w:val="21"/>
        </w:rPr>
        <w:t>3.专用条件及附录；</w:t>
      </w:r>
    </w:p>
    <w:p>
      <w:pPr>
        <w:spacing w:line="500" w:lineRule="exact"/>
        <w:ind w:firstLine="424" w:firstLineChars="202"/>
        <w:rPr>
          <w:rFonts w:ascii="宋体" w:hAnsi="宋体"/>
          <w:szCs w:val="21"/>
        </w:rPr>
      </w:pPr>
      <w:r>
        <w:rPr>
          <w:rFonts w:hint="eastAsia" w:ascii="宋体" w:hAnsi="宋体"/>
          <w:szCs w:val="21"/>
        </w:rPr>
        <w:t>4.通用条件；</w:t>
      </w:r>
    </w:p>
    <w:p>
      <w:pPr>
        <w:spacing w:line="500" w:lineRule="exact"/>
        <w:ind w:firstLine="424" w:firstLineChars="202"/>
        <w:rPr>
          <w:rFonts w:ascii="宋体" w:hAnsi="宋体"/>
          <w:szCs w:val="21"/>
        </w:rPr>
      </w:pPr>
      <w:r>
        <w:rPr>
          <w:rFonts w:hint="eastAsia" w:ascii="宋体" w:hAnsi="宋体"/>
          <w:szCs w:val="21"/>
        </w:rPr>
        <w:t>5.投标函及投标函附录或造价咨询服务建议书（如果有）；</w:t>
      </w:r>
    </w:p>
    <w:p>
      <w:pPr>
        <w:spacing w:line="500" w:lineRule="exact"/>
        <w:ind w:firstLine="424" w:firstLineChars="202"/>
        <w:rPr>
          <w:rFonts w:ascii="宋体" w:hAnsi="宋体"/>
          <w:szCs w:val="21"/>
        </w:rPr>
      </w:pPr>
      <w:r>
        <w:rPr>
          <w:rFonts w:hint="eastAsia" w:ascii="宋体" w:hAnsi="宋体"/>
          <w:szCs w:val="21"/>
        </w:rPr>
        <w:t>6.其他合同文件。</w:t>
      </w:r>
    </w:p>
    <w:p>
      <w:pPr>
        <w:spacing w:line="500" w:lineRule="exact"/>
        <w:ind w:firstLine="424" w:firstLineChars="202"/>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w:t>
      </w:r>
    </w:p>
    <w:p>
      <w:pPr>
        <w:spacing w:line="500" w:lineRule="exact"/>
        <w:ind w:firstLine="424" w:firstLineChars="202"/>
        <w:rPr>
          <w:rFonts w:ascii="宋体" w:hAnsi="宋体"/>
          <w:szCs w:val="21"/>
        </w:rPr>
      </w:pPr>
      <w:r>
        <w:rPr>
          <w:rFonts w:hint="eastAsia" w:ascii="宋体" w:hAnsi="宋体"/>
          <w:szCs w:val="21"/>
        </w:rPr>
        <w:t>在合同订立及履行过程中形成的与合同有关的文件均构成合同文件的组成部分。</w:t>
      </w:r>
    </w:p>
    <w:p>
      <w:pPr>
        <w:spacing w:line="500" w:lineRule="exact"/>
        <w:ind w:firstLine="424" w:firstLineChars="202"/>
        <w:rPr>
          <w:rFonts w:ascii="宋体" w:hAnsi="宋体"/>
          <w:szCs w:val="21"/>
        </w:rPr>
      </w:pPr>
      <w:r>
        <w:rPr>
          <w:rFonts w:hint="eastAsia" w:ascii="宋体" w:hAnsi="宋体"/>
          <w:szCs w:val="21"/>
        </w:rPr>
        <w:t>1.4适用法律</w:t>
      </w:r>
    </w:p>
    <w:p>
      <w:pPr>
        <w:spacing w:line="500" w:lineRule="exact"/>
        <w:ind w:firstLine="424" w:firstLineChars="202"/>
        <w:rPr>
          <w:rFonts w:ascii="宋体" w:hAnsi="宋体"/>
          <w:szCs w:val="21"/>
        </w:rPr>
      </w:pPr>
      <w:r>
        <w:rPr>
          <w:rFonts w:hint="eastAsia" w:ascii="宋体" w:hAnsi="宋体"/>
          <w:szCs w:val="21"/>
        </w:rPr>
        <w:t>本合同适用中华人民共和国法律、行政法规、部门规章以及工程所在地的地方性法规、自治条例、单行条例和地方政府规章等。</w:t>
      </w:r>
    </w:p>
    <w:p>
      <w:pPr>
        <w:spacing w:line="500" w:lineRule="exact"/>
        <w:ind w:firstLine="424" w:firstLineChars="202"/>
        <w:rPr>
          <w:rFonts w:ascii="宋体" w:hAnsi="宋体"/>
          <w:szCs w:val="21"/>
        </w:rPr>
      </w:pPr>
      <w:r>
        <w:rPr>
          <w:rFonts w:hint="eastAsia" w:ascii="宋体" w:hAnsi="宋体"/>
          <w:szCs w:val="21"/>
        </w:rPr>
        <w:t>合同当事人可以在专用条件中约定本合同适用的其他规范、规程、定额、技术标准等规范性文件。</w:t>
      </w:r>
    </w:p>
    <w:p>
      <w:pPr>
        <w:spacing w:line="500" w:lineRule="exact"/>
        <w:ind w:firstLine="426" w:firstLineChars="202"/>
        <w:rPr>
          <w:rFonts w:ascii="宋体" w:hAnsi="宋体"/>
          <w:b/>
          <w:szCs w:val="21"/>
        </w:rPr>
      </w:pPr>
      <w:r>
        <w:rPr>
          <w:rFonts w:hint="eastAsia" w:ascii="宋体" w:hAnsi="宋体"/>
          <w:b/>
          <w:szCs w:val="21"/>
        </w:rPr>
        <w:t>2.委托人的义务</w:t>
      </w:r>
    </w:p>
    <w:p>
      <w:pPr>
        <w:spacing w:line="500" w:lineRule="exact"/>
        <w:ind w:firstLine="424" w:firstLineChars="202"/>
        <w:rPr>
          <w:rFonts w:ascii="宋体" w:hAnsi="宋体"/>
          <w:szCs w:val="21"/>
        </w:rPr>
      </w:pPr>
      <w:r>
        <w:rPr>
          <w:rFonts w:hint="eastAsia" w:ascii="宋体" w:hAnsi="宋体"/>
          <w:szCs w:val="21"/>
        </w:rPr>
        <w:t>2.1提供资料</w:t>
      </w:r>
    </w:p>
    <w:p>
      <w:pPr>
        <w:spacing w:line="500" w:lineRule="exact"/>
        <w:ind w:firstLine="424" w:firstLineChars="202"/>
        <w:rPr>
          <w:rFonts w:ascii="宋体" w:hAnsi="宋体"/>
          <w:szCs w:val="21"/>
        </w:rPr>
      </w:pPr>
      <w:r>
        <w:rPr>
          <w:rFonts w:hint="eastAsia" w:ascii="宋体" w:hAnsi="宋体"/>
          <w:szCs w:val="21"/>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pPr>
        <w:spacing w:line="500" w:lineRule="exact"/>
        <w:ind w:firstLine="424" w:firstLineChars="202"/>
        <w:rPr>
          <w:rFonts w:ascii="宋体" w:hAnsi="宋体"/>
          <w:szCs w:val="21"/>
        </w:rPr>
      </w:pPr>
      <w:r>
        <w:rPr>
          <w:rFonts w:hint="eastAsia" w:ascii="宋体" w:hAnsi="宋体"/>
          <w:szCs w:val="21"/>
        </w:rPr>
        <w:t>2.2提供工作条件</w:t>
      </w:r>
    </w:p>
    <w:p>
      <w:pPr>
        <w:spacing w:line="500" w:lineRule="exact"/>
        <w:ind w:firstLine="424" w:firstLineChars="202"/>
        <w:rPr>
          <w:rFonts w:ascii="宋体" w:hAnsi="宋体"/>
          <w:szCs w:val="21"/>
        </w:rPr>
      </w:pPr>
      <w:r>
        <w:rPr>
          <w:rFonts w:hint="eastAsia" w:ascii="宋体" w:hAnsi="宋体"/>
          <w:szCs w:val="21"/>
        </w:rPr>
        <w:t>委托人应为咨询人完成造价咨询提供必要的条件。</w:t>
      </w:r>
    </w:p>
    <w:p>
      <w:pPr>
        <w:spacing w:line="500" w:lineRule="exact"/>
        <w:ind w:firstLine="424" w:firstLineChars="202"/>
        <w:rPr>
          <w:rFonts w:ascii="宋体" w:hAnsi="宋体"/>
          <w:szCs w:val="21"/>
        </w:rPr>
      </w:pPr>
      <w:r>
        <w:rPr>
          <w:rFonts w:hint="eastAsia" w:ascii="宋体" w:hAnsi="宋体"/>
          <w:szCs w:val="21"/>
        </w:rPr>
        <w:t>2.2.1委托人需要咨询人派驻项目现场咨询人员的，除专用条件另有约定外，项目咨询人员有权无偿使用附录D中由委托人提供的房屋及设备。</w:t>
      </w:r>
    </w:p>
    <w:p>
      <w:pPr>
        <w:spacing w:line="500" w:lineRule="exact"/>
        <w:ind w:firstLine="424" w:firstLineChars="202"/>
        <w:rPr>
          <w:rFonts w:ascii="宋体" w:hAnsi="宋体"/>
          <w:szCs w:val="21"/>
        </w:rPr>
      </w:pPr>
      <w:r>
        <w:rPr>
          <w:rFonts w:hint="eastAsia" w:ascii="宋体" w:hAnsi="宋体"/>
          <w:szCs w:val="21"/>
        </w:rPr>
        <w:t>2.2.2委托人应负责与本工程造价咨询业务有关的所有外部关系的协调，为咨询人履行本合同提供必要的外部条件。</w:t>
      </w:r>
    </w:p>
    <w:p>
      <w:pPr>
        <w:spacing w:line="500" w:lineRule="exact"/>
        <w:ind w:firstLine="424" w:firstLineChars="202"/>
        <w:rPr>
          <w:rFonts w:ascii="宋体" w:hAnsi="宋体"/>
          <w:szCs w:val="21"/>
        </w:rPr>
      </w:pPr>
      <w:r>
        <w:rPr>
          <w:rFonts w:hint="eastAsia" w:ascii="宋体" w:hAnsi="宋体"/>
          <w:szCs w:val="21"/>
        </w:rPr>
        <w:t>2.3合理工作时限</w:t>
      </w:r>
    </w:p>
    <w:p>
      <w:pPr>
        <w:spacing w:line="500" w:lineRule="exact"/>
        <w:ind w:firstLine="424" w:firstLineChars="202"/>
        <w:rPr>
          <w:rFonts w:ascii="宋体" w:hAnsi="宋体"/>
          <w:szCs w:val="21"/>
        </w:rPr>
      </w:pPr>
      <w:r>
        <w:rPr>
          <w:rFonts w:hint="eastAsia" w:ascii="宋体" w:hAnsi="宋体"/>
          <w:szCs w:val="21"/>
        </w:rPr>
        <w:t>委托人应当为咨询人完成其咨询工作，设定合理的工作时限。</w:t>
      </w:r>
    </w:p>
    <w:p>
      <w:pPr>
        <w:spacing w:line="500" w:lineRule="exact"/>
        <w:ind w:firstLine="424" w:firstLineChars="202"/>
        <w:rPr>
          <w:rFonts w:ascii="宋体" w:hAnsi="宋体"/>
          <w:szCs w:val="21"/>
        </w:rPr>
      </w:pPr>
      <w:r>
        <w:rPr>
          <w:rFonts w:hint="eastAsia" w:ascii="宋体" w:hAnsi="宋体"/>
          <w:szCs w:val="21"/>
        </w:rPr>
        <w:t>2.4委托人代表</w:t>
      </w:r>
    </w:p>
    <w:p>
      <w:pPr>
        <w:spacing w:line="500" w:lineRule="exact"/>
        <w:ind w:firstLine="424" w:firstLineChars="202"/>
        <w:rPr>
          <w:rFonts w:ascii="宋体" w:hAnsi="宋体"/>
          <w:szCs w:val="21"/>
        </w:rPr>
      </w:pPr>
      <w:r>
        <w:rPr>
          <w:rFonts w:hint="eastAsia" w:ascii="宋体" w:hAnsi="宋体"/>
          <w:szCs w:val="21"/>
        </w:rPr>
        <w:t>委托人应授权一名代表负责本合同的履行。委托人应在双方签订本合同7日内，将委托人代表的姓名和权限范围书面告知咨询人。委托人更换委托人代表时，应提前7日书面通知咨询人。</w:t>
      </w:r>
    </w:p>
    <w:p>
      <w:pPr>
        <w:spacing w:line="500" w:lineRule="exact"/>
        <w:ind w:firstLine="424" w:firstLineChars="202"/>
        <w:rPr>
          <w:rFonts w:ascii="宋体" w:hAnsi="宋体"/>
          <w:szCs w:val="21"/>
        </w:rPr>
      </w:pPr>
      <w:r>
        <w:rPr>
          <w:rFonts w:hint="eastAsia" w:ascii="宋体" w:hAnsi="宋体"/>
          <w:szCs w:val="21"/>
        </w:rPr>
        <w:t>2.5答复</w:t>
      </w:r>
    </w:p>
    <w:p>
      <w:pPr>
        <w:spacing w:line="500" w:lineRule="exact"/>
        <w:ind w:firstLine="424" w:firstLineChars="202"/>
        <w:rPr>
          <w:rFonts w:ascii="宋体" w:hAnsi="宋体"/>
          <w:szCs w:val="21"/>
        </w:rPr>
      </w:pPr>
      <w:r>
        <w:rPr>
          <w:rFonts w:hint="eastAsia" w:ascii="宋体" w:hAnsi="宋体"/>
          <w:szCs w:val="21"/>
        </w:rPr>
        <w:t>委托人应当在专用条件约定的时间内就咨询人以书面形式提交并要求做出答复的事宜给予书面答复。逾期未答复的，由此造成的工作延误和损失由委托人承担。</w:t>
      </w:r>
    </w:p>
    <w:p>
      <w:pPr>
        <w:spacing w:line="500" w:lineRule="exact"/>
        <w:ind w:firstLine="424" w:firstLineChars="202"/>
        <w:rPr>
          <w:rFonts w:ascii="宋体" w:hAnsi="宋体"/>
          <w:szCs w:val="21"/>
        </w:rPr>
      </w:pPr>
      <w:r>
        <w:rPr>
          <w:rFonts w:hint="eastAsia" w:ascii="宋体" w:hAnsi="宋体"/>
          <w:szCs w:val="21"/>
        </w:rPr>
        <w:t>2.6支付</w:t>
      </w:r>
    </w:p>
    <w:p>
      <w:pPr>
        <w:spacing w:line="500" w:lineRule="exact"/>
        <w:ind w:firstLine="424" w:firstLineChars="202"/>
        <w:rPr>
          <w:rFonts w:ascii="宋体" w:hAnsi="宋体"/>
          <w:szCs w:val="21"/>
        </w:rPr>
      </w:pPr>
      <w:r>
        <w:rPr>
          <w:rFonts w:hint="eastAsia" w:ascii="宋体" w:hAnsi="宋体"/>
          <w:szCs w:val="21"/>
        </w:rPr>
        <w:t>委托人应当按照合同的约定，向咨询人支付酬金。</w:t>
      </w:r>
    </w:p>
    <w:p>
      <w:pPr>
        <w:spacing w:line="500" w:lineRule="exact"/>
        <w:ind w:firstLine="426" w:firstLineChars="202"/>
        <w:rPr>
          <w:rFonts w:ascii="宋体" w:hAnsi="宋体"/>
          <w:b/>
          <w:szCs w:val="21"/>
        </w:rPr>
      </w:pPr>
      <w:r>
        <w:rPr>
          <w:rFonts w:hint="eastAsia" w:ascii="宋体" w:hAnsi="宋体"/>
          <w:b/>
          <w:szCs w:val="21"/>
        </w:rPr>
        <w:t>3.咨询人的义务</w:t>
      </w:r>
    </w:p>
    <w:p>
      <w:pPr>
        <w:spacing w:line="500" w:lineRule="exact"/>
        <w:ind w:firstLine="424" w:firstLineChars="202"/>
        <w:rPr>
          <w:rFonts w:ascii="宋体" w:hAnsi="宋体"/>
          <w:szCs w:val="21"/>
        </w:rPr>
      </w:pPr>
      <w:r>
        <w:rPr>
          <w:rFonts w:hint="eastAsia" w:ascii="宋体" w:hAnsi="宋体"/>
          <w:szCs w:val="21"/>
        </w:rPr>
        <w:t>3.1 项目咨询团队及人员</w:t>
      </w:r>
    </w:p>
    <w:p>
      <w:pPr>
        <w:spacing w:line="500" w:lineRule="exact"/>
        <w:ind w:firstLine="424" w:firstLineChars="202"/>
        <w:rPr>
          <w:rFonts w:ascii="宋体" w:hAnsi="宋体"/>
          <w:szCs w:val="21"/>
        </w:rPr>
      </w:pPr>
      <w:r>
        <w:rPr>
          <w:rFonts w:hint="eastAsia" w:ascii="宋体" w:hAnsi="宋体"/>
          <w:szCs w:val="21"/>
        </w:rPr>
        <w:t>3.1.1项目咨询团队的主要人员应具有专用条件约定的资格条件，团队人员的数量应符合专用条件的约定。</w:t>
      </w:r>
    </w:p>
    <w:p>
      <w:pPr>
        <w:spacing w:line="500" w:lineRule="exact"/>
        <w:ind w:firstLine="424" w:firstLineChars="202"/>
        <w:rPr>
          <w:rFonts w:ascii="宋体" w:hAnsi="宋体"/>
          <w:szCs w:val="21"/>
        </w:rPr>
      </w:pPr>
      <w:r>
        <w:rPr>
          <w:rFonts w:hint="eastAsia" w:ascii="宋体" w:hAnsi="宋体"/>
          <w:szCs w:val="21"/>
        </w:rPr>
        <w:t>3.1.2项目负责人</w:t>
      </w:r>
    </w:p>
    <w:p>
      <w:pPr>
        <w:spacing w:line="500" w:lineRule="exact"/>
        <w:ind w:firstLine="424" w:firstLineChars="202"/>
        <w:rPr>
          <w:rFonts w:ascii="宋体" w:hAnsi="宋体"/>
          <w:szCs w:val="21"/>
        </w:rPr>
      </w:pPr>
      <w:r>
        <w:rPr>
          <w:rFonts w:hint="eastAsia" w:ascii="宋体" w:hAnsi="宋体"/>
          <w:szCs w:val="21"/>
        </w:rPr>
        <w:t>咨询人应以书面形式授权一名项目负责人负责履行本合同、主持项目咨询团队工作。采用招标程序签署本合同的，项目负责人应当与投标文件载明的一致。</w:t>
      </w:r>
    </w:p>
    <w:p>
      <w:pPr>
        <w:spacing w:line="500" w:lineRule="exact"/>
        <w:ind w:firstLine="424" w:firstLineChars="202"/>
        <w:rPr>
          <w:rFonts w:ascii="宋体" w:hAnsi="宋体"/>
          <w:szCs w:val="21"/>
        </w:rPr>
      </w:pPr>
      <w:r>
        <w:rPr>
          <w:rFonts w:hint="eastAsia" w:ascii="宋体" w:hAnsi="宋体"/>
          <w:szCs w:val="21"/>
        </w:rPr>
        <w:t>3.1.3在本合同履行过程中，咨询人员应保持相对稳定，以保证咨询工作正常进行。</w:t>
      </w:r>
    </w:p>
    <w:p>
      <w:pPr>
        <w:spacing w:line="500" w:lineRule="exact"/>
        <w:ind w:firstLine="424" w:firstLineChars="202"/>
        <w:rPr>
          <w:rFonts w:ascii="宋体" w:hAnsi="宋体"/>
          <w:szCs w:val="21"/>
        </w:rPr>
      </w:pPr>
      <w:r>
        <w:rPr>
          <w:rFonts w:hint="eastAsia" w:ascii="宋体" w:hAnsi="宋体"/>
          <w:szCs w:val="21"/>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pPr>
        <w:spacing w:line="500" w:lineRule="exact"/>
        <w:ind w:firstLine="424" w:firstLineChars="202"/>
        <w:rPr>
          <w:rFonts w:ascii="宋体" w:hAnsi="宋体"/>
          <w:szCs w:val="21"/>
        </w:rPr>
      </w:pPr>
      <w:r>
        <w:rPr>
          <w:rFonts w:hint="eastAsia" w:ascii="宋体" w:hAnsi="宋体"/>
          <w:szCs w:val="21"/>
        </w:rPr>
        <w:t>3.1.4咨询人员有下列情形之一，委托人要求咨询人更换的，咨询人应当更换：</w:t>
      </w:r>
    </w:p>
    <w:p>
      <w:pPr>
        <w:spacing w:line="500" w:lineRule="exact"/>
        <w:ind w:firstLine="424" w:firstLineChars="202"/>
        <w:rPr>
          <w:rFonts w:ascii="宋体" w:hAnsi="宋体"/>
          <w:szCs w:val="21"/>
        </w:rPr>
      </w:pPr>
      <w:r>
        <w:rPr>
          <w:rFonts w:hint="eastAsia" w:ascii="宋体" w:hAnsi="宋体"/>
          <w:szCs w:val="21"/>
        </w:rPr>
        <w:t>（1）存在严重过失行为的；</w:t>
      </w:r>
    </w:p>
    <w:p>
      <w:pPr>
        <w:spacing w:line="500" w:lineRule="exact"/>
        <w:ind w:firstLine="424" w:firstLineChars="202"/>
        <w:rPr>
          <w:rFonts w:ascii="宋体" w:hAnsi="宋体"/>
          <w:szCs w:val="21"/>
        </w:rPr>
      </w:pPr>
      <w:r>
        <w:rPr>
          <w:rFonts w:hint="eastAsia" w:ascii="宋体" w:hAnsi="宋体"/>
          <w:szCs w:val="21"/>
        </w:rPr>
        <w:t>（2）存在违法行为不能履行职责的；</w:t>
      </w:r>
    </w:p>
    <w:p>
      <w:pPr>
        <w:spacing w:line="500" w:lineRule="exact"/>
        <w:ind w:firstLine="424" w:firstLineChars="202"/>
        <w:rPr>
          <w:rFonts w:ascii="宋体" w:hAnsi="宋体"/>
          <w:szCs w:val="21"/>
        </w:rPr>
      </w:pPr>
      <w:r>
        <w:rPr>
          <w:rFonts w:hint="eastAsia" w:ascii="宋体" w:hAnsi="宋体"/>
          <w:szCs w:val="21"/>
        </w:rPr>
        <w:t>（3）涉嫌犯罪的；</w:t>
      </w:r>
    </w:p>
    <w:p>
      <w:pPr>
        <w:spacing w:line="500" w:lineRule="exact"/>
        <w:ind w:firstLine="424" w:firstLineChars="202"/>
        <w:rPr>
          <w:rFonts w:ascii="宋体" w:hAnsi="宋体"/>
          <w:szCs w:val="21"/>
        </w:rPr>
      </w:pPr>
      <w:r>
        <w:rPr>
          <w:rFonts w:hint="eastAsia" w:ascii="宋体" w:hAnsi="宋体"/>
          <w:szCs w:val="21"/>
        </w:rPr>
        <w:t>（4）不能胜任岗位职责的；</w:t>
      </w:r>
    </w:p>
    <w:p>
      <w:pPr>
        <w:spacing w:line="500" w:lineRule="exact"/>
        <w:ind w:firstLine="424" w:firstLineChars="202"/>
        <w:rPr>
          <w:rFonts w:ascii="宋体" w:hAnsi="宋体"/>
          <w:szCs w:val="21"/>
        </w:rPr>
      </w:pPr>
      <w:r>
        <w:rPr>
          <w:rFonts w:hint="eastAsia" w:ascii="宋体" w:hAnsi="宋体"/>
          <w:szCs w:val="21"/>
        </w:rPr>
        <w:t>（5）严重违反职业道德的；</w:t>
      </w:r>
    </w:p>
    <w:p>
      <w:pPr>
        <w:spacing w:line="500" w:lineRule="exact"/>
        <w:ind w:firstLine="424" w:firstLineChars="202"/>
        <w:rPr>
          <w:rFonts w:ascii="宋体" w:hAnsi="宋体"/>
          <w:szCs w:val="21"/>
        </w:rPr>
      </w:pPr>
      <w:r>
        <w:rPr>
          <w:rFonts w:hint="eastAsia" w:ascii="宋体" w:hAnsi="宋体"/>
          <w:szCs w:val="21"/>
        </w:rPr>
        <w:t>（6）专用条件约定的其他情形。</w:t>
      </w:r>
    </w:p>
    <w:p>
      <w:pPr>
        <w:spacing w:line="500" w:lineRule="exact"/>
        <w:ind w:firstLine="424" w:firstLineChars="202"/>
        <w:rPr>
          <w:rFonts w:ascii="宋体" w:hAnsi="宋体"/>
          <w:szCs w:val="21"/>
        </w:rPr>
      </w:pPr>
      <w:r>
        <w:rPr>
          <w:rFonts w:hint="eastAsia" w:ascii="宋体" w:hAnsi="宋体"/>
          <w:szCs w:val="21"/>
        </w:rPr>
        <w:t>3.2 咨询人的工作要求</w:t>
      </w:r>
    </w:p>
    <w:p>
      <w:pPr>
        <w:spacing w:line="500" w:lineRule="exact"/>
        <w:ind w:firstLine="424" w:firstLineChars="202"/>
        <w:rPr>
          <w:rFonts w:ascii="宋体" w:hAnsi="宋体"/>
          <w:szCs w:val="21"/>
        </w:rPr>
      </w:pPr>
      <w:r>
        <w:rPr>
          <w:rFonts w:hint="eastAsia" w:ascii="宋体" w:hAnsi="宋体"/>
          <w:szCs w:val="21"/>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spacing w:line="500" w:lineRule="exact"/>
        <w:ind w:firstLine="424" w:firstLineChars="202"/>
        <w:rPr>
          <w:rFonts w:ascii="宋体" w:hAnsi="宋体"/>
          <w:szCs w:val="21"/>
        </w:rPr>
      </w:pPr>
      <w:r>
        <w:rPr>
          <w:rFonts w:hint="eastAsia" w:ascii="宋体" w:hAnsi="宋体"/>
          <w:szCs w:val="21"/>
        </w:rPr>
        <w:t>3.2.2咨询人应当在专用条件约定的时间内，按照专用条件约定的份数、组成向委托人提交咨询成果文件。</w:t>
      </w:r>
    </w:p>
    <w:p>
      <w:pPr>
        <w:spacing w:line="500" w:lineRule="exact"/>
        <w:ind w:firstLine="424" w:firstLineChars="202"/>
        <w:rPr>
          <w:rFonts w:ascii="宋体" w:hAnsi="宋体"/>
          <w:szCs w:val="21"/>
        </w:rPr>
      </w:pPr>
      <w:r>
        <w:rPr>
          <w:rFonts w:hint="eastAsia" w:ascii="宋体" w:hAnsi="宋体"/>
          <w:szCs w:val="21"/>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spacing w:line="500" w:lineRule="exact"/>
        <w:ind w:firstLine="424" w:firstLineChars="202"/>
        <w:rPr>
          <w:rFonts w:ascii="宋体" w:hAnsi="宋体"/>
          <w:szCs w:val="21"/>
        </w:rPr>
      </w:pPr>
      <w:r>
        <w:rPr>
          <w:rFonts w:hint="eastAsia" w:ascii="宋体" w:hAnsi="宋体"/>
          <w:szCs w:val="21"/>
        </w:rPr>
        <w:t>3.2.3咨询人提交的工程造价咨询成果文件，除加盖咨询人单位公章、工程造价咨询企业执业印章外，还必须按要求加盖参加咨询工作人员的执业（从业）资格印章。</w:t>
      </w:r>
    </w:p>
    <w:p>
      <w:pPr>
        <w:spacing w:line="500" w:lineRule="exact"/>
        <w:ind w:firstLine="424" w:firstLineChars="202"/>
        <w:rPr>
          <w:rFonts w:ascii="宋体" w:hAnsi="宋体"/>
          <w:szCs w:val="21"/>
        </w:rPr>
      </w:pPr>
      <w:r>
        <w:rPr>
          <w:rFonts w:hint="eastAsia" w:ascii="宋体" w:hAnsi="宋体"/>
          <w:szCs w:val="21"/>
        </w:rPr>
        <w:t>3.2.4咨询人应在专用条件约定的时间内，对委托人以书面形式提出的建议或者异议给予书面答复。</w:t>
      </w:r>
    </w:p>
    <w:p>
      <w:pPr>
        <w:spacing w:line="500" w:lineRule="exact"/>
        <w:ind w:firstLine="424" w:firstLineChars="202"/>
        <w:rPr>
          <w:rFonts w:ascii="宋体" w:hAnsi="宋体"/>
          <w:szCs w:val="21"/>
        </w:rPr>
      </w:pPr>
      <w:r>
        <w:rPr>
          <w:rFonts w:hint="eastAsia" w:ascii="宋体" w:hAnsi="宋体"/>
          <w:szCs w:val="21"/>
        </w:rPr>
        <w:t>3.2.5咨询人从事工程造价咨询活动，应当遵循独立、客观、公正、诚实信用的原则，不得损害社会公共利益和他人的合法权益。</w:t>
      </w:r>
    </w:p>
    <w:p>
      <w:pPr>
        <w:spacing w:line="500" w:lineRule="exact"/>
        <w:ind w:firstLine="424" w:firstLineChars="202"/>
        <w:rPr>
          <w:rFonts w:ascii="宋体" w:hAnsi="宋体"/>
          <w:szCs w:val="21"/>
        </w:rPr>
      </w:pPr>
      <w:r>
        <w:rPr>
          <w:rFonts w:hint="eastAsia" w:ascii="宋体" w:hAnsi="宋体"/>
          <w:szCs w:val="21"/>
        </w:rPr>
        <w:t>3.2.6咨询人承诺按照法律规定及合同约定，完成合同范围内的建设工程造价咨询服务，不转包承接的造价咨询服务业务。</w:t>
      </w:r>
    </w:p>
    <w:p>
      <w:pPr>
        <w:spacing w:line="500" w:lineRule="exact"/>
        <w:ind w:firstLine="424" w:firstLineChars="202"/>
        <w:rPr>
          <w:rFonts w:ascii="宋体" w:hAnsi="宋体"/>
          <w:szCs w:val="21"/>
        </w:rPr>
      </w:pPr>
      <w:r>
        <w:rPr>
          <w:rFonts w:hint="eastAsia" w:ascii="宋体" w:hAnsi="宋体"/>
          <w:szCs w:val="21"/>
        </w:rPr>
        <w:t>3.3咨询人的工作依据</w:t>
      </w:r>
    </w:p>
    <w:p>
      <w:pPr>
        <w:spacing w:line="500" w:lineRule="exact"/>
        <w:ind w:firstLine="424" w:firstLineChars="202"/>
        <w:rPr>
          <w:rFonts w:ascii="宋体" w:hAnsi="宋体"/>
          <w:szCs w:val="21"/>
        </w:rPr>
      </w:pPr>
      <w:r>
        <w:rPr>
          <w:rFonts w:hint="eastAsia" w:ascii="宋体" w:hAnsi="宋体"/>
          <w:szCs w:val="21"/>
        </w:rPr>
        <w:t>咨询人应在专用条件内与委托人协商明确履行本合同约定的咨询服务需要适用的技术标准、规范、定额等工作依据，但不得违反国家及工程所在地的强制性标准、规范。</w:t>
      </w:r>
    </w:p>
    <w:p>
      <w:pPr>
        <w:spacing w:line="500" w:lineRule="exact"/>
        <w:ind w:firstLine="424" w:firstLineChars="202"/>
        <w:rPr>
          <w:rFonts w:ascii="宋体" w:hAnsi="宋体"/>
          <w:szCs w:val="21"/>
        </w:rPr>
      </w:pPr>
      <w:r>
        <w:rPr>
          <w:rFonts w:hint="eastAsia" w:ascii="宋体" w:hAnsi="宋体"/>
          <w:szCs w:val="21"/>
        </w:rPr>
        <w:t>咨询人应自行配备本条所述的技术标准、规范、定额等相关资料。必须由委托人提供的资料，应在附录C中载明。需要委托人协助才能获得的资料，委托人应予以协助。</w:t>
      </w:r>
    </w:p>
    <w:p>
      <w:pPr>
        <w:spacing w:line="500" w:lineRule="exact"/>
        <w:ind w:firstLine="424" w:firstLineChars="202"/>
        <w:rPr>
          <w:rFonts w:ascii="宋体" w:hAnsi="宋体"/>
          <w:szCs w:val="21"/>
        </w:rPr>
      </w:pPr>
      <w:r>
        <w:rPr>
          <w:rFonts w:hint="eastAsia" w:ascii="宋体" w:hAnsi="宋体"/>
          <w:szCs w:val="21"/>
        </w:rPr>
        <w:t>3.4使用委托人房屋及设备的返还</w:t>
      </w:r>
    </w:p>
    <w:p>
      <w:pPr>
        <w:spacing w:line="500" w:lineRule="exact"/>
        <w:ind w:firstLine="424" w:firstLineChars="202"/>
        <w:rPr>
          <w:rFonts w:ascii="宋体" w:hAnsi="宋体"/>
          <w:szCs w:val="21"/>
        </w:rPr>
      </w:pPr>
      <w:r>
        <w:rPr>
          <w:rFonts w:hint="eastAsia" w:ascii="宋体" w:hAnsi="宋体"/>
          <w:szCs w:val="21"/>
        </w:rPr>
        <w:t>项目咨询人员使用委托人提供的房屋及设备的，咨询人应妥善使用和保管，在本合同终止时将上述房屋及设备按专用条件约定的时间和方式返还委托人。</w:t>
      </w:r>
    </w:p>
    <w:p>
      <w:pPr>
        <w:spacing w:line="500" w:lineRule="exact"/>
        <w:ind w:firstLine="426" w:firstLineChars="202"/>
        <w:rPr>
          <w:rFonts w:ascii="宋体" w:hAnsi="宋体"/>
          <w:b/>
          <w:szCs w:val="21"/>
        </w:rPr>
      </w:pPr>
      <w:r>
        <w:rPr>
          <w:rFonts w:hint="eastAsia" w:ascii="宋体" w:hAnsi="宋体"/>
          <w:b/>
          <w:szCs w:val="21"/>
        </w:rPr>
        <w:t>4.违约责任</w:t>
      </w:r>
    </w:p>
    <w:p>
      <w:pPr>
        <w:spacing w:line="500" w:lineRule="exact"/>
        <w:ind w:firstLine="424" w:firstLineChars="202"/>
        <w:rPr>
          <w:rFonts w:ascii="宋体" w:hAnsi="宋体"/>
          <w:szCs w:val="21"/>
        </w:rPr>
      </w:pPr>
      <w:r>
        <w:rPr>
          <w:rFonts w:hint="eastAsia" w:ascii="宋体" w:hAnsi="宋体"/>
          <w:szCs w:val="21"/>
        </w:rPr>
        <w:t>4.1委托人的违约责任</w:t>
      </w:r>
    </w:p>
    <w:p>
      <w:pPr>
        <w:spacing w:line="500" w:lineRule="exact"/>
        <w:ind w:firstLine="424" w:firstLineChars="202"/>
        <w:rPr>
          <w:rFonts w:ascii="宋体" w:hAnsi="宋体"/>
          <w:szCs w:val="21"/>
        </w:rPr>
      </w:pPr>
      <w:r>
        <w:rPr>
          <w:rFonts w:hint="eastAsia" w:ascii="宋体" w:hAnsi="宋体"/>
          <w:szCs w:val="21"/>
        </w:rPr>
        <w:t>4.1.1委托人不履行本合同义务或者履行义务不符合本合同约定的，应承担违约责任。双方可在专用条件中约定违约金的计算及支付方法。</w:t>
      </w:r>
    </w:p>
    <w:p>
      <w:pPr>
        <w:spacing w:line="500" w:lineRule="exact"/>
        <w:ind w:firstLine="424" w:firstLineChars="202"/>
        <w:rPr>
          <w:rFonts w:ascii="宋体" w:hAnsi="宋体"/>
          <w:szCs w:val="21"/>
        </w:rPr>
      </w:pPr>
      <w:r>
        <w:rPr>
          <w:rFonts w:hint="eastAsia" w:ascii="宋体" w:hAnsi="宋体"/>
          <w:szCs w:val="21"/>
        </w:rPr>
        <w:t>4.1.2委托人违反本合同约定造成咨询人损失的，委托人应予以赔偿。双方可在专用条件中约定赔偿金额的确定及支付方法。</w:t>
      </w:r>
    </w:p>
    <w:p>
      <w:pPr>
        <w:spacing w:line="500" w:lineRule="exact"/>
        <w:ind w:firstLine="424" w:firstLineChars="202"/>
        <w:rPr>
          <w:rFonts w:ascii="宋体" w:hAnsi="宋体"/>
          <w:szCs w:val="21"/>
        </w:rPr>
      </w:pPr>
      <w:r>
        <w:rPr>
          <w:rFonts w:hint="eastAsia" w:ascii="宋体" w:hAnsi="宋体"/>
          <w:szCs w:val="21"/>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pPr>
        <w:spacing w:line="500" w:lineRule="exact"/>
        <w:ind w:firstLine="424" w:firstLineChars="202"/>
        <w:rPr>
          <w:rFonts w:ascii="宋体" w:hAnsi="宋体"/>
          <w:szCs w:val="21"/>
        </w:rPr>
      </w:pPr>
      <w:r>
        <w:rPr>
          <w:rFonts w:hint="eastAsia" w:ascii="宋体" w:hAnsi="宋体"/>
          <w:szCs w:val="21"/>
        </w:rPr>
        <w:t>4.2咨询人的违约责任</w:t>
      </w:r>
    </w:p>
    <w:p>
      <w:pPr>
        <w:spacing w:line="500" w:lineRule="exact"/>
        <w:ind w:firstLine="424" w:firstLineChars="202"/>
        <w:rPr>
          <w:rFonts w:ascii="宋体" w:hAnsi="宋体"/>
          <w:szCs w:val="21"/>
        </w:rPr>
      </w:pPr>
      <w:r>
        <w:rPr>
          <w:rFonts w:hint="eastAsia" w:ascii="宋体" w:hAnsi="宋体"/>
          <w:szCs w:val="21"/>
        </w:rPr>
        <w:t>4.2.1咨询人不履行本合同义务或者履行义务不符合本合同约定的，应承担违约责任。双方可在专用条件中约定违约金的计算及支付方法。</w:t>
      </w:r>
    </w:p>
    <w:p>
      <w:pPr>
        <w:spacing w:line="500" w:lineRule="exact"/>
        <w:ind w:firstLine="424" w:firstLineChars="202"/>
        <w:rPr>
          <w:rFonts w:ascii="宋体" w:hAnsi="宋体"/>
          <w:szCs w:val="21"/>
        </w:rPr>
      </w:pPr>
      <w:r>
        <w:rPr>
          <w:rFonts w:hint="eastAsia" w:ascii="宋体" w:hAnsi="宋体"/>
          <w:szCs w:val="21"/>
        </w:rPr>
        <w:t>4.2.2因咨询人违反本合同约定给委托人造成损失的，咨询人应当赔偿委托人损失。双方可在专用条件中约定赔偿金额的确定及支付方法。</w:t>
      </w:r>
    </w:p>
    <w:p>
      <w:pPr>
        <w:spacing w:line="500" w:lineRule="exact"/>
        <w:ind w:firstLine="426" w:firstLineChars="202"/>
        <w:rPr>
          <w:rFonts w:ascii="宋体" w:hAnsi="宋体"/>
          <w:b/>
          <w:szCs w:val="21"/>
        </w:rPr>
      </w:pPr>
      <w:r>
        <w:rPr>
          <w:rFonts w:hint="eastAsia" w:ascii="宋体" w:hAnsi="宋体"/>
          <w:b/>
          <w:szCs w:val="21"/>
        </w:rPr>
        <w:t>5.支付</w:t>
      </w:r>
    </w:p>
    <w:p>
      <w:pPr>
        <w:spacing w:line="500" w:lineRule="exact"/>
        <w:ind w:firstLine="424" w:firstLineChars="202"/>
        <w:rPr>
          <w:rFonts w:ascii="宋体" w:hAnsi="宋体"/>
          <w:szCs w:val="21"/>
        </w:rPr>
      </w:pPr>
      <w:r>
        <w:rPr>
          <w:rFonts w:hint="eastAsia" w:ascii="宋体" w:hAnsi="宋体"/>
          <w:szCs w:val="21"/>
        </w:rPr>
        <w:t>5.1支付货币</w:t>
      </w:r>
    </w:p>
    <w:p>
      <w:pPr>
        <w:spacing w:line="500" w:lineRule="exact"/>
        <w:ind w:firstLine="424" w:firstLineChars="202"/>
        <w:rPr>
          <w:rFonts w:ascii="宋体" w:hAnsi="宋体"/>
          <w:szCs w:val="21"/>
        </w:rPr>
      </w:pPr>
      <w:r>
        <w:rPr>
          <w:rFonts w:hint="eastAsia" w:ascii="宋体" w:hAnsi="宋体"/>
          <w:szCs w:val="21"/>
        </w:rPr>
        <w:t>除专用条件另有约定外，酬金均以人民币支付。涉及外币支付的，所采用的货币种类和汇率等在专用条件中约定。</w:t>
      </w:r>
    </w:p>
    <w:p>
      <w:pPr>
        <w:spacing w:line="500" w:lineRule="exact"/>
        <w:ind w:firstLine="424" w:firstLineChars="202"/>
        <w:rPr>
          <w:rFonts w:ascii="宋体" w:hAnsi="宋体"/>
          <w:szCs w:val="21"/>
        </w:rPr>
      </w:pPr>
      <w:r>
        <w:rPr>
          <w:rFonts w:hint="eastAsia" w:ascii="宋体" w:hAnsi="宋体"/>
          <w:szCs w:val="21"/>
        </w:rPr>
        <w:t>5.2支付申请</w:t>
      </w:r>
    </w:p>
    <w:p>
      <w:pPr>
        <w:spacing w:line="500" w:lineRule="exact"/>
        <w:ind w:firstLine="424" w:firstLineChars="202"/>
        <w:rPr>
          <w:rFonts w:ascii="宋体" w:hAnsi="宋体"/>
          <w:szCs w:val="21"/>
        </w:rPr>
      </w:pPr>
      <w:r>
        <w:rPr>
          <w:rFonts w:hint="eastAsia" w:ascii="宋体" w:hAnsi="宋体"/>
          <w:szCs w:val="21"/>
        </w:rPr>
        <w:t>咨询人应在本合同约定的每次应付款日期前，向委托人提交支付申请书，支付申请书的提交日期由双方在专用条件中约定。支付申请书应当说明当期应付款总额，并列出当期应支付的款项及其金额。</w:t>
      </w:r>
    </w:p>
    <w:p>
      <w:pPr>
        <w:spacing w:line="500" w:lineRule="exact"/>
        <w:ind w:firstLine="424" w:firstLineChars="202"/>
        <w:rPr>
          <w:rFonts w:ascii="宋体" w:hAnsi="宋体"/>
          <w:szCs w:val="21"/>
        </w:rPr>
      </w:pPr>
      <w:r>
        <w:rPr>
          <w:rFonts w:hint="eastAsia" w:ascii="宋体" w:hAnsi="宋体"/>
          <w:szCs w:val="21"/>
        </w:rPr>
        <w:t>5.3 支付酬金</w:t>
      </w:r>
    </w:p>
    <w:p>
      <w:pPr>
        <w:spacing w:line="500" w:lineRule="exact"/>
        <w:ind w:firstLine="424" w:firstLineChars="202"/>
        <w:rPr>
          <w:rFonts w:ascii="宋体" w:hAnsi="宋体"/>
          <w:szCs w:val="21"/>
        </w:rPr>
      </w:pPr>
      <w:r>
        <w:rPr>
          <w:rFonts w:hint="eastAsia" w:ascii="宋体" w:hAnsi="宋体"/>
          <w:szCs w:val="21"/>
        </w:rPr>
        <w:t>支付酬金包括正常工作酬金、附加工作酬金、合理化建议奖励金额及费用。</w:t>
      </w:r>
    </w:p>
    <w:p>
      <w:pPr>
        <w:spacing w:line="500" w:lineRule="exact"/>
        <w:ind w:firstLine="424" w:firstLineChars="202"/>
        <w:rPr>
          <w:rFonts w:ascii="宋体" w:hAnsi="宋体"/>
          <w:szCs w:val="21"/>
        </w:rPr>
      </w:pPr>
      <w:r>
        <w:rPr>
          <w:rFonts w:hint="eastAsia" w:ascii="宋体" w:hAnsi="宋体"/>
          <w:szCs w:val="21"/>
        </w:rPr>
        <w:t>5.4有异议部分的支付</w:t>
      </w:r>
    </w:p>
    <w:p>
      <w:pPr>
        <w:spacing w:line="500" w:lineRule="exact"/>
        <w:ind w:firstLine="424" w:firstLineChars="202"/>
        <w:rPr>
          <w:rFonts w:ascii="宋体" w:hAnsi="宋体"/>
          <w:szCs w:val="21"/>
        </w:rPr>
      </w:pPr>
      <w:r>
        <w:rPr>
          <w:rFonts w:hint="eastAsia" w:ascii="宋体" w:hAnsi="宋体"/>
          <w:szCs w:val="21"/>
        </w:rPr>
        <w:t>委托人对咨询人提交的支付申请书有异议时，应当在收到咨询人提交的支付申请书后7日内，以书面形式向咨询人发出异议通知。无异议部分的款项应按期支付，有异议部分的款项按第7条约定办理。</w:t>
      </w:r>
    </w:p>
    <w:p>
      <w:pPr>
        <w:spacing w:line="500" w:lineRule="exact"/>
        <w:ind w:firstLine="426" w:firstLineChars="202"/>
        <w:rPr>
          <w:rFonts w:ascii="宋体" w:hAnsi="宋体"/>
          <w:b/>
          <w:szCs w:val="21"/>
        </w:rPr>
      </w:pPr>
      <w:r>
        <w:rPr>
          <w:rFonts w:hint="eastAsia" w:ascii="宋体" w:hAnsi="宋体"/>
          <w:b/>
          <w:szCs w:val="21"/>
        </w:rPr>
        <w:t>6.合同变更、解除与终止</w:t>
      </w:r>
    </w:p>
    <w:p>
      <w:pPr>
        <w:spacing w:line="500" w:lineRule="exact"/>
        <w:ind w:firstLine="424" w:firstLineChars="202"/>
        <w:rPr>
          <w:rFonts w:ascii="宋体" w:hAnsi="宋体"/>
          <w:szCs w:val="21"/>
        </w:rPr>
      </w:pPr>
      <w:r>
        <w:rPr>
          <w:rFonts w:hint="eastAsia" w:ascii="宋体" w:hAnsi="宋体"/>
          <w:szCs w:val="21"/>
        </w:rPr>
        <w:t xml:space="preserve">6.1合同变更 </w:t>
      </w:r>
    </w:p>
    <w:p>
      <w:pPr>
        <w:spacing w:line="500" w:lineRule="exact"/>
        <w:ind w:firstLine="424" w:firstLineChars="202"/>
        <w:rPr>
          <w:rFonts w:ascii="宋体" w:hAnsi="宋体"/>
          <w:szCs w:val="21"/>
        </w:rPr>
      </w:pPr>
      <w:r>
        <w:rPr>
          <w:rFonts w:hint="eastAsia" w:ascii="宋体" w:hAnsi="宋体"/>
          <w:szCs w:val="21"/>
        </w:rPr>
        <w:t>6.1.1 任何一方以书面形式提出变更请求时，双方经协商一致后可进行变更。</w:t>
      </w:r>
    </w:p>
    <w:p>
      <w:pPr>
        <w:spacing w:line="500" w:lineRule="exact"/>
        <w:ind w:firstLine="424" w:firstLineChars="202"/>
        <w:rPr>
          <w:rFonts w:ascii="宋体" w:hAnsi="宋体"/>
          <w:szCs w:val="21"/>
        </w:rPr>
      </w:pPr>
      <w:r>
        <w:rPr>
          <w:rFonts w:hint="eastAsia" w:ascii="宋体" w:hAnsi="宋体"/>
          <w:szCs w:val="21"/>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spacing w:line="500" w:lineRule="exact"/>
        <w:ind w:firstLine="424" w:firstLineChars="202"/>
        <w:rPr>
          <w:rFonts w:ascii="宋体" w:hAnsi="宋体"/>
          <w:szCs w:val="21"/>
        </w:rPr>
      </w:pPr>
      <w:r>
        <w:rPr>
          <w:rFonts w:hint="eastAsia" w:ascii="宋体" w:hAnsi="宋体"/>
          <w:szCs w:val="21"/>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spacing w:line="500" w:lineRule="exact"/>
        <w:ind w:firstLine="424" w:firstLineChars="202"/>
        <w:rPr>
          <w:rFonts w:ascii="宋体" w:hAnsi="宋体"/>
          <w:szCs w:val="21"/>
        </w:rPr>
      </w:pPr>
      <w:r>
        <w:rPr>
          <w:rFonts w:hint="eastAsia" w:ascii="宋体" w:hAnsi="宋体"/>
          <w:szCs w:val="21"/>
        </w:rPr>
        <w:t>6.1.4 因工程规模、服务范围及工作内容的变化等导致咨询人的工作量增减时，服务酬金应作相应调整，调整方法由双方在专用条件中约定。</w:t>
      </w:r>
    </w:p>
    <w:p>
      <w:pPr>
        <w:spacing w:line="500" w:lineRule="exact"/>
        <w:ind w:firstLine="424" w:firstLineChars="202"/>
        <w:rPr>
          <w:rFonts w:ascii="宋体" w:hAnsi="宋体"/>
          <w:szCs w:val="21"/>
        </w:rPr>
      </w:pPr>
      <w:r>
        <w:rPr>
          <w:rFonts w:hint="eastAsia" w:ascii="宋体" w:hAnsi="宋体"/>
          <w:szCs w:val="21"/>
        </w:rPr>
        <w:t>6.2合同解除</w:t>
      </w:r>
    </w:p>
    <w:p>
      <w:pPr>
        <w:spacing w:line="500" w:lineRule="exact"/>
        <w:ind w:firstLine="424" w:firstLineChars="202"/>
        <w:rPr>
          <w:rFonts w:ascii="宋体" w:hAnsi="宋体"/>
          <w:szCs w:val="21"/>
        </w:rPr>
      </w:pPr>
      <w:r>
        <w:rPr>
          <w:rFonts w:hint="eastAsia" w:ascii="宋体" w:hAnsi="宋体"/>
          <w:szCs w:val="21"/>
        </w:rPr>
        <w:t>6.2.1 委托人与咨询人协商一致，可以解除合同。</w:t>
      </w:r>
    </w:p>
    <w:p>
      <w:pPr>
        <w:spacing w:line="500" w:lineRule="exact"/>
        <w:ind w:firstLine="424" w:firstLineChars="202"/>
        <w:rPr>
          <w:rFonts w:ascii="宋体" w:hAnsi="宋体"/>
          <w:szCs w:val="21"/>
        </w:rPr>
      </w:pPr>
      <w:r>
        <w:rPr>
          <w:rFonts w:hint="eastAsia" w:ascii="宋体" w:hAnsi="宋体"/>
          <w:szCs w:val="21"/>
        </w:rPr>
        <w:t>6.2.2 有下列情形之一的，合同当事人一方或双方可以解除合同：</w:t>
      </w:r>
    </w:p>
    <w:p>
      <w:pPr>
        <w:spacing w:line="500" w:lineRule="exact"/>
        <w:ind w:firstLine="424" w:firstLineChars="202"/>
        <w:rPr>
          <w:rFonts w:ascii="宋体" w:hAnsi="宋体"/>
          <w:szCs w:val="21"/>
        </w:rPr>
      </w:pPr>
      <w:r>
        <w:rPr>
          <w:rFonts w:hint="eastAsia" w:ascii="宋体" w:hAnsi="宋体"/>
          <w:szCs w:val="21"/>
        </w:rPr>
        <w:t>（1）咨询人将本合同约定的工程造价咨询服务工作全部或部分转包给他人，委托人可以解除合同；</w:t>
      </w:r>
    </w:p>
    <w:p>
      <w:pPr>
        <w:spacing w:line="500" w:lineRule="exact"/>
        <w:ind w:firstLine="424" w:firstLineChars="202"/>
        <w:rPr>
          <w:rFonts w:ascii="宋体" w:hAnsi="宋体"/>
          <w:szCs w:val="21"/>
        </w:rPr>
      </w:pPr>
      <w:r>
        <w:rPr>
          <w:rFonts w:hint="eastAsia" w:ascii="宋体" w:hAnsi="宋体"/>
          <w:szCs w:val="21"/>
        </w:rPr>
        <w:t>（2）咨询人提供的造价咨询服务不符合合同约定的要求，经委托人催告仍不能达到合同约定要求的，委托人可以解除合同；</w:t>
      </w:r>
    </w:p>
    <w:p>
      <w:pPr>
        <w:spacing w:line="500" w:lineRule="exact"/>
        <w:ind w:firstLine="424" w:firstLineChars="202"/>
        <w:rPr>
          <w:rFonts w:ascii="宋体" w:hAnsi="宋体"/>
          <w:szCs w:val="21"/>
        </w:rPr>
      </w:pPr>
      <w:r>
        <w:rPr>
          <w:rFonts w:hint="eastAsia" w:ascii="宋体" w:hAnsi="宋体"/>
          <w:szCs w:val="21"/>
        </w:rPr>
        <w:t>（3）委托人未按合同约定支付服务酬金，经咨询人催告后，在28天内仍未支付的，咨询人可以解除合同；</w:t>
      </w:r>
    </w:p>
    <w:p>
      <w:pPr>
        <w:spacing w:line="500" w:lineRule="exact"/>
        <w:ind w:firstLine="424" w:firstLineChars="202"/>
        <w:rPr>
          <w:rFonts w:ascii="宋体" w:hAnsi="宋体"/>
          <w:szCs w:val="21"/>
        </w:rPr>
      </w:pPr>
      <w:r>
        <w:rPr>
          <w:rFonts w:hint="eastAsia" w:ascii="宋体" w:hAnsi="宋体"/>
          <w:szCs w:val="21"/>
        </w:rPr>
        <w:t>（4）因不可抗力致使合同无法履行；</w:t>
      </w:r>
    </w:p>
    <w:p>
      <w:pPr>
        <w:spacing w:line="500" w:lineRule="exact"/>
        <w:ind w:firstLine="424" w:firstLineChars="202"/>
        <w:rPr>
          <w:rFonts w:ascii="宋体" w:hAnsi="宋体"/>
          <w:szCs w:val="21"/>
        </w:rPr>
      </w:pPr>
      <w:r>
        <w:rPr>
          <w:rFonts w:hint="eastAsia" w:ascii="宋体" w:hAnsi="宋体"/>
          <w:szCs w:val="21"/>
        </w:rPr>
        <w:t>（5）因一方违约致使合同无法实际履行或实际履行已无必要。</w:t>
      </w:r>
    </w:p>
    <w:p>
      <w:pPr>
        <w:spacing w:line="500" w:lineRule="exact"/>
        <w:ind w:firstLine="424" w:firstLineChars="202"/>
        <w:rPr>
          <w:rFonts w:ascii="宋体" w:hAnsi="宋体"/>
          <w:szCs w:val="21"/>
        </w:rPr>
      </w:pPr>
      <w:r>
        <w:rPr>
          <w:rFonts w:hint="eastAsia" w:ascii="宋体" w:hAnsi="宋体"/>
          <w:szCs w:val="21"/>
        </w:rPr>
        <w:t>除上述情形外，双方可以根据委托的服务范围及工作内容，在专用条件中约定解除合同的其他条件。</w:t>
      </w:r>
    </w:p>
    <w:p>
      <w:pPr>
        <w:spacing w:line="500" w:lineRule="exact"/>
        <w:ind w:firstLine="424" w:firstLineChars="202"/>
        <w:rPr>
          <w:rFonts w:ascii="宋体" w:hAnsi="宋体"/>
          <w:szCs w:val="21"/>
        </w:rPr>
      </w:pPr>
      <w:r>
        <w:rPr>
          <w:rFonts w:hint="eastAsia" w:ascii="宋体" w:hAnsi="宋体"/>
          <w:szCs w:val="21"/>
        </w:rPr>
        <w:t>6.2.3 任何一方提出解除合同的，应提前30天书面通知对方。</w:t>
      </w:r>
    </w:p>
    <w:p>
      <w:pPr>
        <w:spacing w:line="500" w:lineRule="exact"/>
        <w:ind w:firstLine="424" w:firstLineChars="202"/>
        <w:rPr>
          <w:rFonts w:ascii="宋体" w:hAnsi="宋体"/>
          <w:szCs w:val="21"/>
        </w:rPr>
      </w:pPr>
      <w:r>
        <w:rPr>
          <w:rFonts w:hint="eastAsia" w:ascii="宋体" w:hAnsi="宋体"/>
          <w:szCs w:val="21"/>
        </w:rPr>
        <w:t>6.2.4合同解除后，委托人应按照合同约定向咨询人支付已完成部分的咨询服务酬金。</w:t>
      </w:r>
    </w:p>
    <w:p>
      <w:pPr>
        <w:spacing w:line="500" w:lineRule="exact"/>
        <w:ind w:firstLine="424" w:firstLineChars="202"/>
        <w:rPr>
          <w:rFonts w:ascii="宋体" w:hAnsi="宋体"/>
          <w:szCs w:val="21"/>
        </w:rPr>
      </w:pPr>
      <w:r>
        <w:rPr>
          <w:rFonts w:hint="eastAsia" w:ascii="宋体" w:hAnsi="宋体"/>
          <w:szCs w:val="21"/>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spacing w:line="500" w:lineRule="exact"/>
        <w:ind w:firstLine="424" w:firstLineChars="202"/>
        <w:rPr>
          <w:rFonts w:ascii="宋体" w:hAnsi="宋体"/>
          <w:szCs w:val="21"/>
        </w:rPr>
      </w:pPr>
      <w:r>
        <w:rPr>
          <w:rFonts w:hint="eastAsia" w:ascii="宋体" w:hAnsi="宋体"/>
          <w:szCs w:val="21"/>
        </w:rPr>
        <w:t>6.2.5本合同解除后，本合同约定的有关结算、争议解决方式的条款仍然有效。</w:t>
      </w:r>
    </w:p>
    <w:p>
      <w:pPr>
        <w:spacing w:line="500" w:lineRule="exact"/>
        <w:ind w:firstLine="424" w:firstLineChars="202"/>
        <w:rPr>
          <w:rFonts w:ascii="宋体" w:hAnsi="宋体"/>
          <w:szCs w:val="21"/>
        </w:rPr>
      </w:pPr>
      <w:r>
        <w:rPr>
          <w:rFonts w:hint="eastAsia" w:ascii="宋体" w:hAnsi="宋体"/>
          <w:szCs w:val="21"/>
        </w:rPr>
        <w:t>6.3 合同终止</w:t>
      </w:r>
    </w:p>
    <w:p>
      <w:pPr>
        <w:spacing w:line="500" w:lineRule="exact"/>
        <w:ind w:firstLine="424" w:firstLineChars="202"/>
        <w:rPr>
          <w:rFonts w:ascii="宋体" w:hAnsi="宋体"/>
          <w:szCs w:val="21"/>
        </w:rPr>
      </w:pPr>
      <w:r>
        <w:rPr>
          <w:rFonts w:hint="eastAsia" w:ascii="宋体" w:hAnsi="宋体"/>
          <w:szCs w:val="21"/>
        </w:rPr>
        <w:t>除合同解除外，以下条件全部满足时，本合同终止：</w:t>
      </w:r>
    </w:p>
    <w:p>
      <w:pPr>
        <w:spacing w:line="500" w:lineRule="exact"/>
        <w:ind w:firstLine="424" w:firstLineChars="202"/>
        <w:rPr>
          <w:rFonts w:ascii="宋体" w:hAnsi="宋体"/>
          <w:szCs w:val="21"/>
        </w:rPr>
      </w:pPr>
      <w:r>
        <w:rPr>
          <w:rFonts w:hint="eastAsia" w:ascii="宋体" w:hAnsi="宋体"/>
          <w:szCs w:val="21"/>
        </w:rPr>
        <w:t>（1）咨询人完成本合同约定的全部工作；</w:t>
      </w:r>
    </w:p>
    <w:p>
      <w:pPr>
        <w:spacing w:line="500" w:lineRule="exact"/>
        <w:ind w:firstLine="424" w:firstLineChars="202"/>
        <w:rPr>
          <w:rFonts w:ascii="宋体" w:hAnsi="宋体"/>
          <w:szCs w:val="21"/>
        </w:rPr>
      </w:pPr>
      <w:r>
        <w:rPr>
          <w:rFonts w:hint="eastAsia" w:ascii="宋体" w:hAnsi="宋体"/>
          <w:szCs w:val="21"/>
        </w:rPr>
        <w:t>（2）委托人与咨询人结清并支付酬金；</w:t>
      </w:r>
    </w:p>
    <w:p>
      <w:pPr>
        <w:spacing w:line="500" w:lineRule="exact"/>
        <w:ind w:firstLine="424" w:firstLineChars="202"/>
        <w:rPr>
          <w:rFonts w:ascii="宋体" w:hAnsi="宋体"/>
          <w:szCs w:val="21"/>
        </w:rPr>
      </w:pPr>
      <w:r>
        <w:rPr>
          <w:rFonts w:hint="eastAsia" w:ascii="宋体" w:hAnsi="宋体"/>
          <w:szCs w:val="21"/>
        </w:rPr>
        <w:t>（3）咨询人将委托人提供的资料交还。</w:t>
      </w:r>
    </w:p>
    <w:p>
      <w:pPr>
        <w:spacing w:line="500" w:lineRule="exact"/>
        <w:ind w:firstLine="426" w:firstLineChars="202"/>
        <w:rPr>
          <w:rFonts w:ascii="宋体" w:hAnsi="宋体"/>
          <w:b/>
          <w:szCs w:val="21"/>
        </w:rPr>
      </w:pPr>
      <w:r>
        <w:rPr>
          <w:rFonts w:hint="eastAsia" w:ascii="宋体" w:hAnsi="宋体"/>
          <w:b/>
          <w:szCs w:val="21"/>
        </w:rPr>
        <w:t>7.争议解决</w:t>
      </w:r>
    </w:p>
    <w:p>
      <w:pPr>
        <w:spacing w:line="500" w:lineRule="exact"/>
        <w:ind w:firstLine="424" w:firstLineChars="202"/>
        <w:rPr>
          <w:rFonts w:ascii="宋体" w:hAnsi="宋体"/>
          <w:szCs w:val="21"/>
        </w:rPr>
      </w:pPr>
      <w:r>
        <w:rPr>
          <w:rFonts w:hint="eastAsia" w:ascii="宋体" w:hAnsi="宋体"/>
          <w:szCs w:val="21"/>
        </w:rPr>
        <w:t>7.1协商</w:t>
      </w:r>
    </w:p>
    <w:p>
      <w:pPr>
        <w:spacing w:line="500" w:lineRule="exact"/>
        <w:ind w:firstLine="424" w:firstLineChars="202"/>
        <w:rPr>
          <w:rFonts w:ascii="宋体" w:hAnsi="宋体"/>
          <w:szCs w:val="21"/>
        </w:rPr>
      </w:pPr>
      <w:r>
        <w:rPr>
          <w:rFonts w:hint="eastAsia" w:ascii="宋体" w:hAnsi="宋体"/>
          <w:szCs w:val="21"/>
        </w:rPr>
        <w:t>双方应本着诚实信用的原则协商解决本合同履行过程中发生的争议。</w:t>
      </w:r>
    </w:p>
    <w:p>
      <w:pPr>
        <w:spacing w:line="500" w:lineRule="exact"/>
        <w:ind w:firstLine="424" w:firstLineChars="202"/>
        <w:rPr>
          <w:rFonts w:ascii="宋体" w:hAnsi="宋体"/>
          <w:szCs w:val="21"/>
        </w:rPr>
      </w:pPr>
      <w:r>
        <w:rPr>
          <w:rFonts w:hint="eastAsia" w:ascii="宋体" w:hAnsi="宋体"/>
          <w:szCs w:val="21"/>
        </w:rPr>
        <w:t>7.2调解</w:t>
      </w:r>
    </w:p>
    <w:p>
      <w:pPr>
        <w:spacing w:line="500" w:lineRule="exact"/>
        <w:ind w:firstLine="424" w:firstLineChars="202"/>
        <w:rPr>
          <w:rFonts w:ascii="宋体" w:hAnsi="宋体"/>
          <w:szCs w:val="21"/>
        </w:rPr>
      </w:pPr>
      <w:r>
        <w:rPr>
          <w:rFonts w:hint="eastAsia" w:ascii="宋体" w:hAnsi="宋体"/>
          <w:szCs w:val="21"/>
        </w:rPr>
        <w:t>如果双方不能在14日内或双方商定的其他时间内解决本合同争议，可以将其提交给专用条件约定的或事后达成协议的调解人进行调解。</w:t>
      </w:r>
    </w:p>
    <w:p>
      <w:pPr>
        <w:spacing w:line="500" w:lineRule="exact"/>
        <w:ind w:firstLine="424" w:firstLineChars="202"/>
        <w:rPr>
          <w:rFonts w:ascii="宋体" w:hAnsi="宋体"/>
          <w:szCs w:val="21"/>
        </w:rPr>
      </w:pPr>
      <w:r>
        <w:rPr>
          <w:rFonts w:hint="eastAsia" w:ascii="宋体" w:hAnsi="宋体"/>
          <w:szCs w:val="21"/>
        </w:rPr>
        <w:t>7.3仲裁或诉讼</w:t>
      </w:r>
    </w:p>
    <w:p>
      <w:pPr>
        <w:spacing w:line="500" w:lineRule="exact"/>
        <w:ind w:firstLine="424" w:firstLineChars="202"/>
        <w:rPr>
          <w:rFonts w:ascii="宋体" w:hAnsi="宋体"/>
          <w:szCs w:val="21"/>
        </w:rPr>
      </w:pPr>
      <w:r>
        <w:rPr>
          <w:rFonts w:hint="eastAsia" w:ascii="宋体" w:hAnsi="宋体"/>
          <w:szCs w:val="21"/>
        </w:rPr>
        <w:t>双方均有权不经调解直接向专用条件约定的仲裁机构申请仲裁或向有管辖权的人民法院提起诉讼。</w:t>
      </w:r>
    </w:p>
    <w:p>
      <w:pPr>
        <w:spacing w:line="500" w:lineRule="exact"/>
        <w:ind w:firstLine="426" w:firstLineChars="202"/>
        <w:rPr>
          <w:rFonts w:ascii="宋体" w:hAnsi="宋体"/>
          <w:b/>
          <w:szCs w:val="21"/>
        </w:rPr>
      </w:pPr>
      <w:r>
        <w:rPr>
          <w:rFonts w:hint="eastAsia" w:ascii="宋体" w:hAnsi="宋体"/>
          <w:b/>
          <w:szCs w:val="21"/>
        </w:rPr>
        <w:t>8.其他</w:t>
      </w:r>
    </w:p>
    <w:p>
      <w:pPr>
        <w:spacing w:line="500" w:lineRule="exact"/>
        <w:ind w:firstLine="424" w:firstLineChars="202"/>
        <w:rPr>
          <w:rFonts w:ascii="宋体" w:hAnsi="宋体"/>
          <w:szCs w:val="21"/>
        </w:rPr>
      </w:pPr>
      <w:r>
        <w:rPr>
          <w:rFonts w:hint="eastAsia" w:ascii="宋体" w:hAnsi="宋体"/>
          <w:szCs w:val="21"/>
        </w:rPr>
        <w:t>8.1考察及相关费用</w:t>
      </w:r>
    </w:p>
    <w:p>
      <w:pPr>
        <w:spacing w:line="500" w:lineRule="exact"/>
        <w:ind w:firstLine="424" w:firstLineChars="202"/>
        <w:rPr>
          <w:rFonts w:ascii="宋体" w:hAnsi="宋体"/>
          <w:szCs w:val="21"/>
        </w:rPr>
      </w:pPr>
      <w:r>
        <w:rPr>
          <w:rFonts w:hint="eastAsia" w:ascii="宋体" w:hAnsi="宋体"/>
          <w:szCs w:val="21"/>
        </w:rPr>
        <w:t>除专用条件另有约定外，咨询人经委托人同意进行考察发生的费用由委托人审核后另行支付。差旅费及相关费用的承担由双方在专用条件中约定。</w:t>
      </w:r>
    </w:p>
    <w:p>
      <w:pPr>
        <w:spacing w:line="500" w:lineRule="exact"/>
        <w:ind w:firstLine="424" w:firstLineChars="202"/>
        <w:rPr>
          <w:rFonts w:ascii="宋体" w:hAnsi="宋体"/>
          <w:szCs w:val="21"/>
        </w:rPr>
      </w:pPr>
      <w:r>
        <w:rPr>
          <w:rFonts w:hint="eastAsia" w:ascii="宋体" w:hAnsi="宋体"/>
          <w:szCs w:val="21"/>
        </w:rPr>
        <w:t>8.2奖励</w:t>
      </w:r>
    </w:p>
    <w:p>
      <w:pPr>
        <w:spacing w:line="500" w:lineRule="exact"/>
        <w:ind w:firstLine="424" w:firstLineChars="202"/>
        <w:rPr>
          <w:rFonts w:ascii="宋体" w:hAnsi="宋体"/>
          <w:szCs w:val="21"/>
        </w:rPr>
      </w:pPr>
      <w:r>
        <w:rPr>
          <w:rFonts w:hint="eastAsia" w:ascii="宋体" w:hAnsi="宋体"/>
          <w:szCs w:val="21"/>
        </w:rPr>
        <w:t>对于咨询人在服务过程中提出合理化建议，使委托人获得效益的，双方在专用条件中约定奖励金额的确定方法。奖励金额在合理化建议被采纳后，与最近一期的正常工作酬金同期支付。</w:t>
      </w:r>
    </w:p>
    <w:p>
      <w:pPr>
        <w:spacing w:line="500" w:lineRule="exact"/>
        <w:ind w:firstLine="424" w:firstLineChars="202"/>
        <w:rPr>
          <w:rFonts w:ascii="宋体" w:hAnsi="宋体"/>
          <w:szCs w:val="21"/>
        </w:rPr>
      </w:pPr>
      <w:r>
        <w:rPr>
          <w:rFonts w:hint="eastAsia" w:ascii="宋体" w:hAnsi="宋体"/>
          <w:szCs w:val="21"/>
        </w:rPr>
        <w:t>8.3保密</w:t>
      </w:r>
    </w:p>
    <w:p>
      <w:pPr>
        <w:spacing w:line="500" w:lineRule="exact"/>
        <w:ind w:firstLine="424" w:firstLineChars="202"/>
        <w:rPr>
          <w:rFonts w:ascii="宋体" w:hAnsi="宋体"/>
          <w:szCs w:val="21"/>
        </w:rPr>
      </w:pPr>
      <w:r>
        <w:rPr>
          <w:rFonts w:hint="eastAsia" w:ascii="宋体" w:hAnsi="宋体"/>
          <w:szCs w:val="21"/>
        </w:rPr>
        <w:t>在本合同履行期间或专用条件约定的期限内，双方不得泄露对方申明的保密资料，亦不得泄露与实施工程有关的第三人所提供的保密资料。保密事项在专用条件中约定。</w:t>
      </w:r>
    </w:p>
    <w:p>
      <w:pPr>
        <w:spacing w:line="500" w:lineRule="exact"/>
        <w:ind w:firstLine="424" w:firstLineChars="202"/>
        <w:rPr>
          <w:rFonts w:ascii="宋体" w:hAnsi="宋体"/>
          <w:szCs w:val="21"/>
        </w:rPr>
      </w:pPr>
      <w:r>
        <w:rPr>
          <w:rFonts w:hint="eastAsia" w:ascii="宋体" w:hAnsi="宋体"/>
          <w:szCs w:val="21"/>
        </w:rPr>
        <w:t>8.4联络</w:t>
      </w:r>
    </w:p>
    <w:p>
      <w:pPr>
        <w:spacing w:line="500" w:lineRule="exact"/>
        <w:ind w:firstLine="424" w:firstLineChars="202"/>
        <w:rPr>
          <w:rFonts w:ascii="宋体" w:hAnsi="宋体"/>
          <w:szCs w:val="21"/>
        </w:rPr>
      </w:pPr>
      <w:r>
        <w:rPr>
          <w:rFonts w:hint="eastAsia" w:ascii="宋体" w:hAnsi="宋体"/>
          <w:szCs w:val="21"/>
        </w:rPr>
        <w:t>8.4.1与合同有关的通知、指示、要求、决定等，均应采用书面形式，并应在专用条件约定的期限内送达接收人和送达地点。</w:t>
      </w:r>
    </w:p>
    <w:p>
      <w:pPr>
        <w:spacing w:line="500" w:lineRule="exact"/>
        <w:ind w:firstLine="424" w:firstLineChars="202"/>
        <w:rPr>
          <w:rFonts w:ascii="宋体" w:hAnsi="宋体"/>
          <w:szCs w:val="21"/>
        </w:rPr>
      </w:pPr>
      <w:r>
        <w:rPr>
          <w:rFonts w:hint="eastAsia" w:ascii="宋体" w:hAnsi="宋体"/>
          <w:szCs w:val="21"/>
        </w:rPr>
        <w:t>8.4.2委托人和咨询人应在专用条件中约定各自的送达接收人、送达地点、电子邮箱。任何一方指定的接收人或送达地点或电子邮箱发生变动的，应提前3天以书面形式通知对方，否则视为未发生变动。</w:t>
      </w:r>
    </w:p>
    <w:p>
      <w:pPr>
        <w:spacing w:line="500" w:lineRule="exact"/>
        <w:ind w:firstLine="424" w:firstLineChars="202"/>
        <w:rPr>
          <w:rFonts w:ascii="宋体" w:hAnsi="宋体"/>
          <w:szCs w:val="21"/>
        </w:rPr>
      </w:pPr>
      <w:r>
        <w:rPr>
          <w:rFonts w:hint="eastAsia" w:ascii="宋体" w:hAnsi="宋体"/>
          <w:szCs w:val="21"/>
        </w:rPr>
        <w:t>8.4.3委托人和咨询人应当及时签收另一方送达至送达地点和指定接收人的往来函件，如确有充分证据证明一方无正当理由拒不签收的，视为认可往来函件的内容。</w:t>
      </w:r>
    </w:p>
    <w:p>
      <w:pPr>
        <w:spacing w:line="500" w:lineRule="exact"/>
        <w:ind w:firstLine="424" w:firstLineChars="202"/>
        <w:rPr>
          <w:rFonts w:ascii="宋体" w:hAnsi="宋体"/>
          <w:szCs w:val="21"/>
        </w:rPr>
      </w:pPr>
      <w:r>
        <w:rPr>
          <w:rFonts w:hint="eastAsia" w:ascii="宋体" w:hAnsi="宋体"/>
          <w:szCs w:val="21"/>
        </w:rPr>
        <w:t>8.5知识产权</w:t>
      </w:r>
    </w:p>
    <w:p>
      <w:pPr>
        <w:spacing w:line="500" w:lineRule="exact"/>
        <w:ind w:firstLine="424" w:firstLineChars="202"/>
        <w:rPr>
          <w:rFonts w:ascii="宋体" w:hAnsi="宋体"/>
          <w:szCs w:val="21"/>
        </w:rPr>
      </w:pPr>
      <w:r>
        <w:rPr>
          <w:rFonts w:hint="eastAsia" w:ascii="宋体" w:hAnsi="宋体"/>
          <w:szCs w:val="21"/>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spacing w:line="500" w:lineRule="exact"/>
        <w:ind w:firstLine="424" w:firstLineChars="202"/>
        <w:rPr>
          <w:rFonts w:ascii="宋体" w:hAnsi="宋体"/>
          <w:szCs w:val="21"/>
        </w:rPr>
      </w:pPr>
      <w:r>
        <w:rPr>
          <w:rFonts w:hint="eastAsia" w:ascii="宋体" w:hAnsi="宋体"/>
          <w:szCs w:val="21"/>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spacing w:line="500" w:lineRule="exact"/>
        <w:ind w:firstLine="424" w:firstLineChars="202"/>
        <w:rPr>
          <w:rFonts w:ascii="宋体" w:hAnsi="宋体"/>
          <w:szCs w:val="21"/>
        </w:rPr>
      </w:pPr>
      <w:r>
        <w:rPr>
          <w:rFonts w:hint="eastAsia" w:ascii="宋体" w:hAnsi="宋体"/>
          <w:szCs w:val="21"/>
        </w:rPr>
        <w:t>双方保证在履行本合同过程中不侵犯对方及第三方的知识产权。因咨询人侵犯他人知识产权所引起的责任，由咨询人承担；因委托人提供的基础资料导致侵权的，由委托人承担责任。</w:t>
      </w:r>
    </w:p>
    <w:p>
      <w:pPr>
        <w:spacing w:line="500" w:lineRule="exact"/>
        <w:ind w:firstLine="424" w:firstLineChars="202"/>
        <w:rPr>
          <w:rFonts w:ascii="宋体" w:hAnsi="宋体"/>
          <w:szCs w:val="21"/>
        </w:rPr>
      </w:pPr>
      <w:r>
        <w:rPr>
          <w:rFonts w:hint="eastAsia" w:ascii="宋体" w:hAnsi="宋体"/>
          <w:szCs w:val="21"/>
        </w:rPr>
        <w:t>除专用条件另有约定外，双方均有权在履行本合同保密义务并且不损害对方利益的情况下，将履行本合同形成的有关成果文件用于企业宣传、申报奖项以及接受上级主管部门的检查。</w:t>
      </w:r>
    </w:p>
    <w:p>
      <w:pPr>
        <w:spacing w:line="500" w:lineRule="exact"/>
        <w:ind w:firstLine="424" w:firstLineChars="202"/>
        <w:rPr>
          <w:rFonts w:ascii="宋体" w:hAnsi="宋体"/>
          <w:szCs w:val="21"/>
        </w:rPr>
      </w:pPr>
    </w:p>
    <w:p>
      <w:pPr>
        <w:spacing w:line="500" w:lineRule="exact"/>
        <w:ind w:firstLine="424" w:firstLineChars="202"/>
        <w:rPr>
          <w:rFonts w:ascii="宋体" w:hAnsi="宋体"/>
          <w:szCs w:val="21"/>
        </w:rPr>
      </w:pPr>
    </w:p>
    <w:p>
      <w:pPr>
        <w:spacing w:line="500" w:lineRule="exact"/>
        <w:ind w:firstLine="424" w:firstLineChars="202"/>
        <w:rPr>
          <w:rFonts w:ascii="宋体" w:hAnsi="宋体"/>
          <w:szCs w:val="21"/>
        </w:rPr>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rPr>
          <w:rFonts w:ascii="宋体" w:hAnsi="宋体" w:cs="宋体"/>
          <w:b/>
          <w:bCs/>
        </w:rPr>
      </w:pPr>
      <w:r>
        <w:rPr>
          <w:rFonts w:hint="eastAsia" w:ascii="宋体" w:hAnsi="宋体" w:cs="宋体"/>
          <w:b/>
          <w:bCs/>
        </w:rPr>
        <w:br w:type="page"/>
      </w:r>
    </w:p>
    <w:p>
      <w:pPr>
        <w:pStyle w:val="5"/>
        <w:bidi w:val="0"/>
        <w:jc w:val="center"/>
        <w:rPr>
          <w:rFonts w:hint="eastAsia"/>
          <w:b/>
          <w:bCs w:val="0"/>
          <w:sz w:val="24"/>
          <w:szCs w:val="24"/>
          <w:lang w:val="en-US" w:eastAsia="zh-CN"/>
        </w:rPr>
      </w:pPr>
      <w:bookmarkStart w:id="545" w:name="_Toc31001"/>
      <w:r>
        <w:rPr>
          <w:rFonts w:hint="eastAsia"/>
          <w:b/>
          <w:bCs w:val="0"/>
          <w:sz w:val="24"/>
          <w:szCs w:val="24"/>
          <w:lang w:val="en-US" w:eastAsia="zh-CN"/>
        </w:rPr>
        <w:t>5.招标代理部分</w:t>
      </w:r>
      <w:bookmarkEnd w:id="545"/>
    </w:p>
    <w:p>
      <w:pPr>
        <w:spacing w:line="500" w:lineRule="exact"/>
        <w:jc w:val="center"/>
        <w:rPr>
          <w:rFonts w:ascii="宋体" w:hAnsi="宋体" w:cs="宋体"/>
          <w:b/>
          <w:bCs/>
          <w:sz w:val="24"/>
        </w:rPr>
      </w:pPr>
      <w:r>
        <w:rPr>
          <w:rFonts w:hint="eastAsia" w:ascii="宋体" w:hAnsi="宋体" w:cs="宋体"/>
          <w:b/>
          <w:bCs/>
          <w:sz w:val="24"/>
        </w:rPr>
        <w:t>《建设工程招标代理合同》（GF-2005-0215）</w:t>
      </w:r>
    </w:p>
    <w:p>
      <w:pPr>
        <w:pStyle w:val="2"/>
        <w:spacing w:line="500" w:lineRule="exact"/>
        <w:outlineLvl w:val="9"/>
      </w:pPr>
    </w:p>
    <w:p>
      <w:pPr>
        <w:pStyle w:val="2"/>
        <w:spacing w:line="500" w:lineRule="exact"/>
        <w:ind w:firstLine="498" w:firstLineChars="236"/>
        <w:outlineLvl w:val="9"/>
        <w:rPr>
          <w:rFonts w:ascii="宋体" w:hAnsi="宋体"/>
          <w:szCs w:val="21"/>
        </w:rPr>
      </w:pPr>
      <w:r>
        <w:rPr>
          <w:rFonts w:hint="eastAsia" w:ascii="宋体" w:hAnsi="宋体"/>
          <w:szCs w:val="21"/>
        </w:rPr>
        <w:t>一、词语定义和适用法律</w:t>
      </w:r>
    </w:p>
    <w:p>
      <w:pPr>
        <w:pStyle w:val="2"/>
        <w:spacing w:line="500" w:lineRule="exact"/>
        <w:ind w:firstLine="495" w:firstLineChars="236"/>
        <w:outlineLvl w:val="9"/>
        <w:rPr>
          <w:rFonts w:ascii="宋体" w:hAnsi="宋体"/>
          <w:szCs w:val="21"/>
        </w:rPr>
      </w:pPr>
      <w:r>
        <w:rPr>
          <w:rFonts w:hint="eastAsia" w:ascii="宋体" w:hAnsi="宋体"/>
          <w:b w:val="0"/>
          <w:szCs w:val="21"/>
        </w:rPr>
        <w:t>1、词语定义</w:t>
      </w:r>
    </w:p>
    <w:p>
      <w:pPr>
        <w:pStyle w:val="2"/>
        <w:spacing w:line="500" w:lineRule="exact"/>
        <w:ind w:firstLine="495" w:firstLineChars="236"/>
        <w:outlineLvl w:val="9"/>
        <w:rPr>
          <w:rFonts w:ascii="宋体" w:hAnsi="宋体"/>
          <w:b w:val="0"/>
          <w:szCs w:val="21"/>
        </w:rPr>
      </w:pPr>
      <w:r>
        <w:rPr>
          <w:rFonts w:hint="eastAsia" w:ascii="宋体" w:hAnsi="宋体"/>
          <w:b w:val="0"/>
          <w:szCs w:val="21"/>
        </w:rPr>
        <w:t>下列词语除本合同专用条款另有约定外，应具有本条款所赋予的定义：</w:t>
      </w:r>
    </w:p>
    <w:p>
      <w:pPr>
        <w:pStyle w:val="2"/>
        <w:spacing w:line="500" w:lineRule="exact"/>
        <w:ind w:firstLine="495" w:firstLineChars="236"/>
        <w:outlineLvl w:val="9"/>
        <w:rPr>
          <w:rFonts w:ascii="宋体" w:hAnsi="宋体"/>
          <w:szCs w:val="21"/>
        </w:rPr>
      </w:pPr>
      <w:r>
        <w:rPr>
          <w:rFonts w:hint="eastAsia" w:ascii="宋体" w:hAnsi="宋体"/>
          <w:b w:val="0"/>
          <w:szCs w:val="21"/>
        </w:rPr>
        <w:t>l.1 招标代理合同：委托人将工程建设项目招标工作委托给具有相应招标代理资质的受托人，实施招标活动签订的委托合同。</w:t>
      </w:r>
    </w:p>
    <w:p>
      <w:pPr>
        <w:pStyle w:val="2"/>
        <w:spacing w:line="500" w:lineRule="exact"/>
        <w:ind w:firstLine="495" w:firstLineChars="236"/>
        <w:outlineLvl w:val="9"/>
        <w:rPr>
          <w:rFonts w:ascii="宋体" w:hAnsi="宋体"/>
          <w:b w:val="0"/>
          <w:szCs w:val="21"/>
        </w:rPr>
      </w:pPr>
      <w:r>
        <w:rPr>
          <w:rFonts w:hint="eastAsia" w:ascii="宋体" w:hAnsi="宋体"/>
          <w:b w:val="0"/>
          <w:szCs w:val="21"/>
        </w:rPr>
        <w:t>l.2通用条款：是根据有关法律、行政法规和工程建设项目招标代理的需要所订立，通用于各类工程建设项目招标代理的条款。</w:t>
      </w:r>
    </w:p>
    <w:p>
      <w:pPr>
        <w:pStyle w:val="2"/>
        <w:spacing w:line="500" w:lineRule="exact"/>
        <w:ind w:firstLine="495" w:firstLineChars="236"/>
        <w:outlineLvl w:val="9"/>
        <w:rPr>
          <w:rFonts w:ascii="宋体" w:hAnsi="宋体"/>
          <w:b w:val="0"/>
          <w:szCs w:val="21"/>
        </w:rPr>
      </w:pPr>
      <w:r>
        <w:rPr>
          <w:rFonts w:hint="eastAsia" w:ascii="宋体" w:hAnsi="宋体"/>
          <w:b w:val="0"/>
          <w:szCs w:val="21"/>
        </w:rPr>
        <w:t>1.3专用条款：是委托人与受托人根据有关法律、行政法规规定，结合具体工程建设项目招标代理的实际，经协商达成一致意见的条款，是对通用条款的具体化、补充或修改。</w:t>
      </w:r>
    </w:p>
    <w:p>
      <w:pPr>
        <w:pStyle w:val="2"/>
        <w:spacing w:line="500" w:lineRule="exact"/>
        <w:outlineLvl w:val="9"/>
        <w:rPr>
          <w:rFonts w:ascii="宋体" w:hAnsi="宋体"/>
          <w:szCs w:val="21"/>
        </w:rPr>
      </w:pPr>
      <w:r>
        <w:rPr>
          <w:rFonts w:hint="eastAsia" w:ascii="宋体" w:hAnsi="宋体"/>
          <w:b w:val="0"/>
          <w:szCs w:val="21"/>
        </w:rPr>
        <w:t xml:space="preserve"> </w:t>
      </w:r>
      <w:r>
        <w:rPr>
          <w:rFonts w:ascii="宋体" w:hAnsi="宋体"/>
          <w:b w:val="0"/>
          <w:szCs w:val="21"/>
        </w:rPr>
        <w:t xml:space="preserve">   l.4</w:t>
      </w:r>
      <w:r>
        <w:rPr>
          <w:rFonts w:hint="eastAsia" w:ascii="宋体" w:hAnsi="宋体"/>
          <w:b w:val="0"/>
          <w:szCs w:val="21"/>
        </w:rPr>
        <w:t>委托人：指在合同中约定的，具有建设项目招标委托主体资格的当事人，以及取得该当事人资格的合法继承人。</w:t>
      </w:r>
    </w:p>
    <w:p>
      <w:pPr>
        <w:pStyle w:val="2"/>
        <w:spacing w:line="500" w:lineRule="exact"/>
        <w:ind w:firstLine="495" w:firstLineChars="236"/>
        <w:outlineLvl w:val="9"/>
        <w:rPr>
          <w:rFonts w:ascii="宋体" w:hAnsi="宋体"/>
          <w:szCs w:val="21"/>
        </w:rPr>
      </w:pPr>
      <w:r>
        <w:rPr>
          <w:rFonts w:hint="eastAsia" w:ascii="宋体" w:hAnsi="宋体"/>
          <w:b w:val="0"/>
          <w:szCs w:val="21"/>
        </w:rPr>
        <w:t>1.5 受托人：指在合同中约定的，被委托人接受的具有建设项目招标代理主体资格的当事人，以及取得该当事人资格的合法继承人。</w:t>
      </w:r>
    </w:p>
    <w:p>
      <w:pPr>
        <w:pStyle w:val="2"/>
        <w:spacing w:line="500" w:lineRule="exact"/>
        <w:ind w:firstLine="495" w:firstLineChars="236"/>
        <w:outlineLvl w:val="9"/>
        <w:rPr>
          <w:rFonts w:ascii="宋体" w:hAnsi="宋体"/>
          <w:szCs w:val="21"/>
        </w:rPr>
      </w:pPr>
      <w:r>
        <w:rPr>
          <w:rFonts w:hint="eastAsia" w:ascii="宋体" w:hAnsi="宋体"/>
          <w:b w:val="0"/>
          <w:szCs w:val="21"/>
        </w:rPr>
        <w:t>1.6 招标代理项目负责人：指受托人在专用条款中指定的负责合同履行的代表。</w:t>
      </w:r>
    </w:p>
    <w:p>
      <w:pPr>
        <w:pStyle w:val="2"/>
        <w:spacing w:line="500" w:lineRule="exact"/>
        <w:ind w:firstLine="495" w:firstLineChars="236"/>
        <w:outlineLvl w:val="9"/>
        <w:rPr>
          <w:rFonts w:ascii="宋体" w:hAnsi="宋体"/>
          <w:szCs w:val="21"/>
        </w:rPr>
      </w:pPr>
      <w:r>
        <w:rPr>
          <w:rFonts w:hint="eastAsia" w:ascii="宋体" w:hAnsi="宋体"/>
          <w:b w:val="0"/>
          <w:szCs w:val="21"/>
        </w:rPr>
        <w:t>1.7工程建设项目：指由委托人和受托人在合同中约定的委托代理招标的工程。</w:t>
      </w:r>
    </w:p>
    <w:p>
      <w:pPr>
        <w:pStyle w:val="2"/>
        <w:spacing w:line="500" w:lineRule="exact"/>
        <w:ind w:firstLine="495" w:firstLineChars="236"/>
        <w:outlineLvl w:val="9"/>
        <w:rPr>
          <w:rFonts w:ascii="宋体" w:hAnsi="宋体"/>
          <w:szCs w:val="21"/>
        </w:rPr>
      </w:pPr>
      <w:r>
        <w:rPr>
          <w:rFonts w:hint="eastAsia" w:ascii="宋体" w:hAnsi="宋体"/>
          <w:b w:val="0"/>
          <w:szCs w:val="21"/>
        </w:rPr>
        <w:t>1.8 招标代理业务：委托人委托受托人代理实施工程建设项目招标的工作内容。</w:t>
      </w:r>
    </w:p>
    <w:p>
      <w:pPr>
        <w:pStyle w:val="2"/>
        <w:spacing w:line="500" w:lineRule="exact"/>
        <w:ind w:firstLine="495" w:firstLineChars="236"/>
        <w:outlineLvl w:val="9"/>
        <w:rPr>
          <w:rFonts w:ascii="宋体" w:hAnsi="宋体"/>
          <w:szCs w:val="21"/>
        </w:rPr>
      </w:pPr>
      <w:r>
        <w:rPr>
          <w:rFonts w:hint="eastAsia" w:ascii="宋体" w:hAnsi="宋体"/>
          <w:b w:val="0"/>
          <w:szCs w:val="21"/>
        </w:rPr>
        <w:t>1.9 附加服务：指委托人和受托人在本合同通用条款4.1款和专用条款4.1款中双方约定工作范围之外的附加工作。</w:t>
      </w:r>
    </w:p>
    <w:p>
      <w:pPr>
        <w:pStyle w:val="2"/>
        <w:spacing w:line="500" w:lineRule="exact"/>
        <w:ind w:firstLine="495" w:firstLineChars="236"/>
        <w:outlineLvl w:val="9"/>
        <w:rPr>
          <w:rFonts w:ascii="宋体" w:hAnsi="宋体"/>
          <w:b w:val="0"/>
          <w:szCs w:val="21"/>
        </w:rPr>
      </w:pPr>
      <w:r>
        <w:rPr>
          <w:rFonts w:hint="eastAsia" w:ascii="宋体" w:hAnsi="宋体"/>
          <w:b w:val="0"/>
          <w:szCs w:val="21"/>
        </w:rPr>
        <w:t>1.10 代理报酬：委托人和受托人在合同中约定的，受托人按照约定应收取的代理报酬总额。</w:t>
      </w:r>
    </w:p>
    <w:p>
      <w:pPr>
        <w:pStyle w:val="2"/>
        <w:spacing w:line="500" w:lineRule="exact"/>
        <w:ind w:firstLine="495" w:firstLineChars="236"/>
        <w:outlineLvl w:val="9"/>
        <w:rPr>
          <w:rFonts w:ascii="宋体" w:hAnsi="宋体"/>
          <w:szCs w:val="21"/>
        </w:rPr>
      </w:pPr>
      <w:r>
        <w:rPr>
          <w:rFonts w:hint="eastAsia" w:ascii="宋体" w:hAnsi="宋体"/>
          <w:b w:val="0"/>
          <w:szCs w:val="21"/>
        </w:rPr>
        <w:t>1.11 图纸：指由委托人提供的满足招标需要的所有图纸、计算书、配套说明以及相关的技术资料。</w:t>
      </w:r>
    </w:p>
    <w:p>
      <w:pPr>
        <w:pStyle w:val="2"/>
        <w:spacing w:line="500" w:lineRule="exact"/>
        <w:ind w:firstLine="495" w:firstLineChars="236"/>
        <w:outlineLvl w:val="9"/>
        <w:rPr>
          <w:rFonts w:ascii="宋体" w:hAnsi="宋体"/>
          <w:szCs w:val="21"/>
        </w:rPr>
      </w:pPr>
      <w:r>
        <w:rPr>
          <w:rFonts w:hint="eastAsia" w:ascii="宋体" w:hAnsi="宋体"/>
          <w:b w:val="0"/>
          <w:szCs w:val="21"/>
        </w:rPr>
        <w:t>1.12书面形式：指具有公章、法定代表人或授权代理人签字的合同书、信件和数据电文（包括电报、电传、传真）等可以有形地表现所载内容的形式。</w:t>
      </w:r>
    </w:p>
    <w:p>
      <w:pPr>
        <w:pStyle w:val="2"/>
        <w:spacing w:line="500" w:lineRule="exact"/>
        <w:ind w:firstLine="495" w:firstLineChars="236"/>
        <w:outlineLvl w:val="9"/>
        <w:rPr>
          <w:rFonts w:ascii="宋体" w:hAnsi="宋体"/>
          <w:szCs w:val="21"/>
        </w:rPr>
      </w:pPr>
      <w:r>
        <w:rPr>
          <w:rFonts w:hint="eastAsia" w:ascii="宋体" w:hAnsi="宋体"/>
          <w:b w:val="0"/>
          <w:szCs w:val="21"/>
        </w:rPr>
        <w:t>1.13违约责任：指合同一方不履行合同义务或履行合同义务不符合约定所应承担的责任。</w:t>
      </w:r>
    </w:p>
    <w:p>
      <w:pPr>
        <w:pStyle w:val="2"/>
        <w:spacing w:line="500" w:lineRule="exact"/>
        <w:ind w:firstLine="495" w:firstLineChars="236"/>
        <w:outlineLvl w:val="9"/>
        <w:rPr>
          <w:rFonts w:ascii="宋体" w:hAnsi="宋体"/>
          <w:szCs w:val="21"/>
        </w:rPr>
      </w:pPr>
      <w:r>
        <w:rPr>
          <w:rFonts w:hint="eastAsia" w:ascii="宋体" w:hAnsi="宋体"/>
          <w:b w:val="0"/>
          <w:szCs w:val="21"/>
        </w:rPr>
        <w:t>1.14索赔：指在合同履行过程中，对于并非自己的过错，而是应由对方承担责任的情况造成的实际损失，向对方提出经济补偿或其他的要求。</w:t>
      </w:r>
    </w:p>
    <w:p>
      <w:pPr>
        <w:pStyle w:val="2"/>
        <w:spacing w:line="500" w:lineRule="exact"/>
        <w:ind w:firstLine="495" w:firstLineChars="236"/>
        <w:outlineLvl w:val="9"/>
        <w:rPr>
          <w:rFonts w:ascii="宋体" w:hAnsi="宋体"/>
          <w:szCs w:val="21"/>
        </w:rPr>
      </w:pPr>
      <w:r>
        <w:rPr>
          <w:rFonts w:hint="eastAsia" w:ascii="宋体" w:hAnsi="宋体"/>
          <w:b w:val="0"/>
          <w:szCs w:val="21"/>
        </w:rPr>
        <w:t>1.15不可抗力：指双方无法控制和不可预见的事件，但不包括双方的违约或疏忽。这些事件包括但不限于战争、严重火灾、洪水、台风、地震，或其他双方一致认为属于不可抗力的事件。</w:t>
      </w:r>
    </w:p>
    <w:p>
      <w:pPr>
        <w:pStyle w:val="2"/>
        <w:spacing w:line="500" w:lineRule="exact"/>
        <w:ind w:firstLine="495" w:firstLineChars="236"/>
        <w:outlineLvl w:val="9"/>
        <w:rPr>
          <w:rFonts w:ascii="宋体" w:hAnsi="宋体"/>
          <w:szCs w:val="21"/>
        </w:rPr>
      </w:pPr>
      <w:r>
        <w:rPr>
          <w:rFonts w:hint="eastAsia" w:ascii="宋体" w:hAnsi="宋体"/>
          <w:b w:val="0"/>
          <w:szCs w:val="21"/>
        </w:rPr>
        <w:t>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pStyle w:val="2"/>
        <w:spacing w:line="500" w:lineRule="exact"/>
        <w:ind w:firstLine="495" w:firstLineChars="236"/>
        <w:outlineLvl w:val="9"/>
        <w:rPr>
          <w:rFonts w:ascii="宋体" w:hAnsi="宋体"/>
          <w:szCs w:val="21"/>
        </w:rPr>
      </w:pPr>
      <w:r>
        <w:rPr>
          <w:rFonts w:hint="eastAsia" w:ascii="宋体" w:hAnsi="宋体"/>
          <w:b w:val="0"/>
          <w:szCs w:val="21"/>
        </w:rPr>
        <w:t xml:space="preserve"> 2、合同文件及解释顺序</w:t>
      </w:r>
    </w:p>
    <w:p>
      <w:pPr>
        <w:pStyle w:val="2"/>
        <w:spacing w:line="500" w:lineRule="exact"/>
        <w:ind w:firstLine="495" w:firstLineChars="236"/>
        <w:outlineLvl w:val="9"/>
        <w:rPr>
          <w:rFonts w:ascii="宋体" w:hAnsi="宋体"/>
          <w:szCs w:val="21"/>
        </w:rPr>
      </w:pPr>
      <w:r>
        <w:rPr>
          <w:rFonts w:hint="eastAsia" w:ascii="宋体" w:hAnsi="宋体"/>
          <w:b w:val="0"/>
          <w:szCs w:val="21"/>
        </w:rPr>
        <w:t xml:space="preserve"> 2.l 合同文件应能互相解释，互为说明。除本合同专用条款另有约定外，组成本合同的文件及优先解释顺序如下：</w:t>
      </w:r>
    </w:p>
    <w:p>
      <w:pPr>
        <w:pStyle w:val="2"/>
        <w:spacing w:line="500" w:lineRule="exact"/>
        <w:ind w:firstLine="495" w:firstLineChars="236"/>
        <w:outlineLvl w:val="9"/>
        <w:rPr>
          <w:rFonts w:ascii="宋体" w:hAnsi="宋体"/>
          <w:b w:val="0"/>
          <w:szCs w:val="21"/>
        </w:rPr>
      </w:pPr>
      <w:r>
        <w:rPr>
          <w:rFonts w:hint="eastAsia" w:ascii="宋体" w:hAnsi="宋体"/>
          <w:b w:val="0"/>
          <w:szCs w:val="21"/>
        </w:rPr>
        <w:t>（1）本合同履行过程中双方以书面形式签署的补充和修正文件；</w:t>
      </w:r>
    </w:p>
    <w:p>
      <w:pPr>
        <w:pStyle w:val="2"/>
        <w:spacing w:line="500" w:lineRule="exact"/>
        <w:ind w:firstLine="495" w:firstLineChars="236"/>
        <w:outlineLvl w:val="9"/>
        <w:rPr>
          <w:rFonts w:ascii="宋体" w:hAnsi="宋体"/>
          <w:szCs w:val="21"/>
        </w:rPr>
      </w:pPr>
      <w:r>
        <w:rPr>
          <w:rFonts w:hint="eastAsia" w:ascii="宋体" w:hAnsi="宋体"/>
          <w:b w:val="0"/>
          <w:szCs w:val="21"/>
        </w:rPr>
        <w:t>（2）本合同协议书：</w:t>
      </w:r>
    </w:p>
    <w:p>
      <w:pPr>
        <w:pStyle w:val="2"/>
        <w:spacing w:line="500" w:lineRule="exact"/>
        <w:ind w:firstLine="495" w:firstLineChars="236"/>
        <w:outlineLvl w:val="9"/>
        <w:rPr>
          <w:rFonts w:ascii="宋体" w:hAnsi="宋体"/>
          <w:szCs w:val="21"/>
        </w:rPr>
      </w:pPr>
      <w:r>
        <w:rPr>
          <w:rFonts w:hint="eastAsia" w:ascii="宋体" w:hAnsi="宋体"/>
          <w:b w:val="0"/>
          <w:szCs w:val="21"/>
        </w:rPr>
        <w:t>（3）本合同专用条款；</w:t>
      </w:r>
    </w:p>
    <w:p>
      <w:pPr>
        <w:pStyle w:val="2"/>
        <w:spacing w:line="500" w:lineRule="exact"/>
        <w:ind w:firstLine="495" w:firstLineChars="236"/>
        <w:outlineLvl w:val="9"/>
        <w:rPr>
          <w:rFonts w:ascii="宋体" w:hAnsi="宋体"/>
          <w:szCs w:val="21"/>
        </w:rPr>
      </w:pPr>
      <w:r>
        <w:rPr>
          <w:rFonts w:hint="eastAsia" w:ascii="宋体" w:hAnsi="宋体"/>
          <w:b w:val="0"/>
          <w:szCs w:val="21"/>
        </w:rPr>
        <w:t>（4）本合同通用条款。</w:t>
      </w:r>
    </w:p>
    <w:p>
      <w:pPr>
        <w:pStyle w:val="2"/>
        <w:spacing w:line="500" w:lineRule="exact"/>
        <w:ind w:firstLine="495" w:firstLineChars="236"/>
        <w:outlineLvl w:val="9"/>
        <w:rPr>
          <w:rFonts w:ascii="宋体" w:hAnsi="宋体"/>
          <w:szCs w:val="21"/>
        </w:rPr>
      </w:pPr>
      <w:r>
        <w:rPr>
          <w:rFonts w:hint="eastAsia" w:ascii="宋体" w:hAnsi="宋体"/>
          <w:b w:val="0"/>
          <w:szCs w:val="21"/>
        </w:rPr>
        <w:t>2.2 当合同文件内容出现含糊不清或不相一致时，应在不影响招标代理业务正常进行的情况下，由委托人和受托人协商解决。双方协商不成时，按本合同通用条款第12条关于争议的约定处理。</w:t>
      </w:r>
    </w:p>
    <w:p>
      <w:pPr>
        <w:pStyle w:val="2"/>
        <w:spacing w:line="500" w:lineRule="exact"/>
        <w:ind w:firstLine="495" w:firstLineChars="236"/>
        <w:outlineLvl w:val="9"/>
        <w:rPr>
          <w:rFonts w:ascii="宋体" w:hAnsi="宋体"/>
          <w:szCs w:val="21"/>
        </w:rPr>
      </w:pPr>
      <w:r>
        <w:rPr>
          <w:rFonts w:hint="eastAsia" w:ascii="宋体" w:hAnsi="宋体"/>
          <w:b w:val="0"/>
          <w:szCs w:val="21"/>
        </w:rPr>
        <w:t>3、语言文字和适用法律</w:t>
      </w:r>
    </w:p>
    <w:p>
      <w:pPr>
        <w:pStyle w:val="2"/>
        <w:spacing w:line="500" w:lineRule="exact"/>
        <w:ind w:firstLine="495" w:firstLineChars="236"/>
        <w:outlineLvl w:val="9"/>
        <w:rPr>
          <w:rFonts w:ascii="宋体" w:hAnsi="宋体"/>
          <w:szCs w:val="21"/>
        </w:rPr>
      </w:pPr>
      <w:r>
        <w:rPr>
          <w:rFonts w:hint="eastAsia" w:ascii="宋体" w:hAnsi="宋体"/>
          <w:b w:val="0"/>
          <w:szCs w:val="21"/>
        </w:rPr>
        <w:t>3.1 语言文字</w:t>
      </w:r>
    </w:p>
    <w:p>
      <w:pPr>
        <w:pStyle w:val="2"/>
        <w:spacing w:line="500" w:lineRule="exact"/>
        <w:ind w:firstLine="495" w:firstLineChars="236"/>
        <w:outlineLvl w:val="9"/>
        <w:rPr>
          <w:rFonts w:ascii="宋体" w:hAnsi="宋体"/>
          <w:szCs w:val="21"/>
        </w:rPr>
      </w:pPr>
      <w:r>
        <w:rPr>
          <w:rFonts w:hint="eastAsia" w:ascii="宋体" w:hAnsi="宋体"/>
          <w:b w:val="0"/>
          <w:szCs w:val="21"/>
        </w:rPr>
        <w:t>除本合同专用条款中另有约定，本合同文件使用汉语语言文字书写、解释和说明。如本合同专用条款约定使用两种以上（含两种）语言文字时，汉语应为解释和说明本合同的标准语言文字。</w:t>
      </w:r>
    </w:p>
    <w:p>
      <w:pPr>
        <w:pStyle w:val="2"/>
        <w:spacing w:line="500" w:lineRule="exact"/>
        <w:ind w:firstLine="495" w:firstLineChars="236"/>
        <w:outlineLvl w:val="9"/>
        <w:rPr>
          <w:rFonts w:ascii="宋体" w:hAnsi="宋体"/>
          <w:b w:val="0"/>
          <w:szCs w:val="21"/>
        </w:rPr>
      </w:pPr>
      <w:r>
        <w:rPr>
          <w:rFonts w:hint="eastAsia" w:ascii="宋体" w:hAnsi="宋体"/>
          <w:b w:val="0"/>
          <w:szCs w:val="21"/>
        </w:rPr>
        <w:t>3.2 适用法律和行政法规</w:t>
      </w:r>
    </w:p>
    <w:p>
      <w:pPr>
        <w:pStyle w:val="2"/>
        <w:spacing w:line="500" w:lineRule="exact"/>
        <w:ind w:firstLine="495" w:firstLineChars="236"/>
        <w:outlineLvl w:val="9"/>
        <w:rPr>
          <w:rFonts w:ascii="宋体" w:hAnsi="宋体"/>
          <w:b w:val="0"/>
          <w:szCs w:val="21"/>
        </w:rPr>
      </w:pPr>
      <w:r>
        <w:rPr>
          <w:rFonts w:hint="eastAsia" w:ascii="宋体" w:hAnsi="宋体"/>
          <w:b w:val="0"/>
          <w:szCs w:val="21"/>
        </w:rPr>
        <w:t>本合同文件适用有关法律和行政法规。需要明示的法律和行政法规，双方可在本合同专用条款中约定。</w:t>
      </w:r>
    </w:p>
    <w:p>
      <w:pPr>
        <w:pStyle w:val="2"/>
        <w:spacing w:line="500" w:lineRule="exact"/>
        <w:ind w:firstLine="498" w:firstLineChars="236"/>
        <w:outlineLvl w:val="9"/>
        <w:rPr>
          <w:rFonts w:ascii="宋体" w:hAnsi="宋体"/>
          <w:b w:val="0"/>
          <w:szCs w:val="21"/>
        </w:rPr>
      </w:pPr>
      <w:r>
        <w:rPr>
          <w:rFonts w:hint="eastAsia" w:ascii="宋体" w:hAnsi="宋体"/>
          <w:szCs w:val="21"/>
        </w:rPr>
        <w:t>二、双方一般权利和义务</w:t>
      </w:r>
    </w:p>
    <w:p>
      <w:pPr>
        <w:pStyle w:val="2"/>
        <w:spacing w:line="500" w:lineRule="exact"/>
        <w:ind w:firstLine="495" w:firstLineChars="236"/>
        <w:outlineLvl w:val="9"/>
        <w:rPr>
          <w:rFonts w:ascii="宋体" w:hAnsi="宋体"/>
          <w:b w:val="0"/>
          <w:szCs w:val="21"/>
        </w:rPr>
      </w:pPr>
      <w:r>
        <w:rPr>
          <w:rFonts w:hint="eastAsia" w:ascii="宋体" w:hAnsi="宋体"/>
          <w:b w:val="0"/>
          <w:szCs w:val="21"/>
        </w:rPr>
        <w:t>4、委托人的义务</w:t>
      </w:r>
    </w:p>
    <w:p>
      <w:pPr>
        <w:pStyle w:val="2"/>
        <w:spacing w:line="500" w:lineRule="exact"/>
        <w:ind w:firstLine="495" w:firstLineChars="236"/>
        <w:outlineLvl w:val="9"/>
        <w:rPr>
          <w:rFonts w:ascii="宋体" w:hAnsi="宋体"/>
          <w:b w:val="0"/>
          <w:szCs w:val="21"/>
        </w:rPr>
      </w:pPr>
      <w:r>
        <w:rPr>
          <w:rFonts w:hint="eastAsia" w:ascii="宋体" w:hAnsi="宋体"/>
          <w:b w:val="0"/>
          <w:szCs w:val="21"/>
        </w:rPr>
        <w:t>4.1 委托人将委托招标代理工作的具体范围和内容在本合同专用条款中约定。</w:t>
      </w:r>
    </w:p>
    <w:p>
      <w:pPr>
        <w:pStyle w:val="2"/>
        <w:spacing w:line="500" w:lineRule="exact"/>
        <w:ind w:firstLine="495" w:firstLineChars="236"/>
        <w:outlineLvl w:val="9"/>
        <w:rPr>
          <w:rFonts w:ascii="宋体" w:hAnsi="宋体"/>
          <w:b w:val="0"/>
          <w:szCs w:val="21"/>
        </w:rPr>
      </w:pPr>
      <w:r>
        <w:rPr>
          <w:rFonts w:hint="eastAsia" w:ascii="宋体" w:hAnsi="宋体"/>
          <w:b w:val="0"/>
          <w:szCs w:val="21"/>
        </w:rPr>
        <w:t>4.2 委托人按本合同专用条款约定的内容和时间完成下列工作：</w:t>
      </w:r>
    </w:p>
    <w:p>
      <w:pPr>
        <w:pStyle w:val="2"/>
        <w:spacing w:line="500" w:lineRule="exact"/>
        <w:ind w:firstLine="495" w:firstLineChars="236"/>
        <w:outlineLvl w:val="9"/>
        <w:rPr>
          <w:rFonts w:ascii="宋体" w:hAnsi="宋体"/>
          <w:b w:val="0"/>
          <w:szCs w:val="21"/>
        </w:rPr>
      </w:pPr>
      <w:r>
        <w:rPr>
          <w:rFonts w:hint="eastAsia" w:ascii="宋体" w:hAnsi="宋体"/>
          <w:b w:val="0"/>
          <w:szCs w:val="21"/>
        </w:rPr>
        <w:t>（1）向受托人提供本工程招标代理业务应具备的相关工程前期资料（如立项批准手续规划许可、报建证等）及资金落实情况资料；</w:t>
      </w:r>
    </w:p>
    <w:p>
      <w:pPr>
        <w:pStyle w:val="2"/>
        <w:spacing w:line="500" w:lineRule="exact"/>
        <w:ind w:firstLine="495" w:firstLineChars="236"/>
        <w:outlineLvl w:val="9"/>
        <w:rPr>
          <w:rFonts w:ascii="宋体" w:hAnsi="宋体"/>
          <w:b w:val="0"/>
          <w:szCs w:val="21"/>
        </w:rPr>
      </w:pPr>
      <w:r>
        <w:rPr>
          <w:rFonts w:hint="eastAsia" w:ascii="宋体" w:hAnsi="宋体"/>
          <w:b w:val="0"/>
          <w:szCs w:val="21"/>
        </w:rPr>
        <w:t>（2）向受托人提供完成本工程招标代理业务所需的全部技术资料和图纸，需要交底的须向受托人详细交底，并对提供资料的真实性、完整性、准确性负责；</w:t>
      </w:r>
    </w:p>
    <w:p>
      <w:pPr>
        <w:pStyle w:val="2"/>
        <w:spacing w:line="500" w:lineRule="exact"/>
        <w:ind w:firstLine="495" w:firstLineChars="236"/>
        <w:outlineLvl w:val="9"/>
        <w:rPr>
          <w:rFonts w:ascii="宋体" w:hAnsi="宋体"/>
          <w:b w:val="0"/>
          <w:szCs w:val="21"/>
        </w:rPr>
      </w:pPr>
      <w:r>
        <w:rPr>
          <w:rFonts w:hint="eastAsia" w:ascii="宋体" w:hAnsi="宋体"/>
          <w:b w:val="0"/>
          <w:szCs w:val="21"/>
        </w:rPr>
        <w:t>（3）向受托人提供保证招标工作顺利完成的条件，提供的条件在本合同专用条款内约定；</w:t>
      </w:r>
    </w:p>
    <w:p>
      <w:pPr>
        <w:pStyle w:val="2"/>
        <w:spacing w:line="500" w:lineRule="exact"/>
        <w:ind w:firstLine="495" w:firstLineChars="236"/>
        <w:outlineLvl w:val="9"/>
        <w:rPr>
          <w:rFonts w:ascii="宋体" w:hAnsi="宋体"/>
          <w:b w:val="0"/>
          <w:szCs w:val="21"/>
        </w:rPr>
      </w:pPr>
      <w:r>
        <w:rPr>
          <w:rFonts w:hint="eastAsia" w:ascii="宋体" w:hAnsi="宋体"/>
          <w:b w:val="0"/>
          <w:szCs w:val="21"/>
        </w:rPr>
        <w:t>（4）指定专人与受托人联系，指定人员的姓名、职务、职称在本合同专用条款内约定；</w:t>
      </w:r>
    </w:p>
    <w:p>
      <w:pPr>
        <w:pStyle w:val="2"/>
        <w:spacing w:line="500" w:lineRule="exact"/>
        <w:ind w:firstLine="495" w:firstLineChars="236"/>
        <w:outlineLvl w:val="9"/>
        <w:rPr>
          <w:rFonts w:ascii="宋体" w:hAnsi="宋体"/>
          <w:b w:val="0"/>
          <w:szCs w:val="21"/>
        </w:rPr>
      </w:pPr>
      <w:r>
        <w:rPr>
          <w:rFonts w:hint="eastAsia" w:ascii="宋体" w:hAnsi="宋体"/>
          <w:b w:val="0"/>
          <w:szCs w:val="21"/>
        </w:rPr>
        <w:t>（5）根据需要，作好与第三方的协调工作；</w:t>
      </w:r>
    </w:p>
    <w:p>
      <w:pPr>
        <w:pStyle w:val="2"/>
        <w:spacing w:line="500" w:lineRule="exact"/>
        <w:ind w:firstLine="495" w:firstLineChars="236"/>
        <w:outlineLvl w:val="9"/>
        <w:rPr>
          <w:rFonts w:ascii="宋体" w:hAnsi="宋体"/>
          <w:b w:val="0"/>
          <w:szCs w:val="21"/>
        </w:rPr>
      </w:pPr>
      <w:r>
        <w:rPr>
          <w:rFonts w:hint="eastAsia" w:ascii="宋体" w:hAnsi="宋体"/>
          <w:b w:val="0"/>
          <w:szCs w:val="21"/>
        </w:rPr>
        <w:t>（6）按本合同专用条款的约定支付代理报酬；</w:t>
      </w:r>
    </w:p>
    <w:p>
      <w:pPr>
        <w:pStyle w:val="2"/>
        <w:spacing w:line="500" w:lineRule="exact"/>
        <w:ind w:firstLine="495" w:firstLineChars="236"/>
        <w:outlineLvl w:val="9"/>
        <w:rPr>
          <w:rFonts w:ascii="宋体" w:hAnsi="宋体"/>
          <w:b w:val="0"/>
          <w:szCs w:val="21"/>
        </w:rPr>
      </w:pPr>
      <w:r>
        <w:rPr>
          <w:rFonts w:hint="eastAsia" w:ascii="宋体" w:hAnsi="宋体"/>
          <w:b w:val="0"/>
          <w:szCs w:val="21"/>
        </w:rPr>
        <w:t>（7）依法应尽的其他义务，双方在本合同专用条款内约定。</w:t>
      </w:r>
    </w:p>
    <w:p>
      <w:pPr>
        <w:pStyle w:val="2"/>
        <w:spacing w:line="500" w:lineRule="exact"/>
        <w:ind w:firstLine="495" w:firstLineChars="236"/>
        <w:outlineLvl w:val="9"/>
        <w:rPr>
          <w:rFonts w:ascii="宋体" w:hAnsi="宋体"/>
          <w:b w:val="0"/>
          <w:szCs w:val="21"/>
        </w:rPr>
      </w:pPr>
      <w:r>
        <w:rPr>
          <w:rFonts w:hint="eastAsia" w:ascii="宋体" w:hAnsi="宋体"/>
          <w:b w:val="0"/>
          <w:szCs w:val="21"/>
        </w:rPr>
        <w:t>4.3受托人在履行招标代理业务过程中，提出的超出招标代理范围的合理化建议，经委托人同意并取得经济效益，委托人应向受托人支付一定的经济奖励。</w:t>
      </w:r>
    </w:p>
    <w:p>
      <w:pPr>
        <w:pStyle w:val="2"/>
        <w:spacing w:line="500" w:lineRule="exact"/>
        <w:ind w:firstLine="495" w:firstLineChars="236"/>
        <w:outlineLvl w:val="9"/>
        <w:rPr>
          <w:rFonts w:ascii="宋体" w:hAnsi="宋体"/>
          <w:b w:val="0"/>
          <w:szCs w:val="21"/>
        </w:rPr>
      </w:pPr>
      <w:r>
        <w:rPr>
          <w:rFonts w:hint="eastAsia" w:ascii="宋体" w:hAnsi="宋体"/>
          <w:b w:val="0"/>
          <w:szCs w:val="21"/>
        </w:rPr>
        <w:t>4.4 委托人负有对受托人为本合同提供的技术服务进行知识产权保护的责任。</w:t>
      </w:r>
    </w:p>
    <w:p>
      <w:pPr>
        <w:pStyle w:val="2"/>
        <w:spacing w:line="500" w:lineRule="exact"/>
        <w:ind w:firstLine="495" w:firstLineChars="236"/>
        <w:outlineLvl w:val="9"/>
        <w:rPr>
          <w:rFonts w:ascii="宋体" w:hAnsi="宋体"/>
          <w:b w:val="0"/>
          <w:szCs w:val="21"/>
        </w:rPr>
      </w:pPr>
      <w:r>
        <w:rPr>
          <w:rFonts w:hint="eastAsia" w:ascii="宋体" w:hAnsi="宋体"/>
          <w:b w:val="0"/>
          <w:szCs w:val="21"/>
        </w:rPr>
        <w:t>4.5委托人未能履行以上各项义务，给受托人造成损失的，应当赔偿受托人的有关损失。</w:t>
      </w:r>
    </w:p>
    <w:p>
      <w:pPr>
        <w:pStyle w:val="2"/>
        <w:spacing w:line="500" w:lineRule="exact"/>
        <w:ind w:firstLine="495" w:firstLineChars="236"/>
        <w:outlineLvl w:val="9"/>
        <w:rPr>
          <w:rFonts w:ascii="宋体" w:hAnsi="宋体"/>
          <w:b w:val="0"/>
          <w:szCs w:val="21"/>
        </w:rPr>
      </w:pPr>
      <w:r>
        <w:rPr>
          <w:rFonts w:hint="eastAsia" w:ascii="宋体" w:hAnsi="宋体"/>
          <w:b w:val="0"/>
          <w:szCs w:val="21"/>
        </w:rPr>
        <w:t>5、受托人的义务</w:t>
      </w:r>
    </w:p>
    <w:p>
      <w:pPr>
        <w:pStyle w:val="2"/>
        <w:spacing w:line="500" w:lineRule="exact"/>
        <w:ind w:firstLine="495" w:firstLineChars="236"/>
        <w:outlineLvl w:val="9"/>
        <w:rPr>
          <w:rFonts w:ascii="宋体" w:hAnsi="宋体"/>
          <w:b w:val="0"/>
          <w:szCs w:val="21"/>
        </w:rPr>
      </w:pPr>
      <w:r>
        <w:rPr>
          <w:rFonts w:hint="eastAsia" w:ascii="宋体" w:hAnsi="宋体"/>
          <w:b w:val="0"/>
          <w:szCs w:val="21"/>
        </w:rPr>
        <w:t>5.1受托人应根据本合同专用条款中约定的委托招标代理业务的工作范围和内容，选择有足够经验的专职技术经济人员担任招标代理项目负责人。招标代理项目负责人的姓名、身份证号在专用条款内写明。</w:t>
      </w:r>
    </w:p>
    <w:p>
      <w:pPr>
        <w:pStyle w:val="2"/>
        <w:spacing w:line="500" w:lineRule="exact"/>
        <w:ind w:firstLine="495" w:firstLineChars="236"/>
        <w:outlineLvl w:val="9"/>
        <w:rPr>
          <w:rFonts w:ascii="宋体" w:hAnsi="宋体"/>
          <w:b w:val="0"/>
          <w:szCs w:val="21"/>
        </w:rPr>
      </w:pPr>
      <w:r>
        <w:rPr>
          <w:rFonts w:hint="eastAsia" w:ascii="宋体" w:hAnsi="宋体"/>
          <w:b w:val="0"/>
          <w:szCs w:val="21"/>
        </w:rPr>
        <w:t>5.2受托人按本合同专用条款约定的内容和时间完成下列工作：</w:t>
      </w:r>
    </w:p>
    <w:p>
      <w:pPr>
        <w:pStyle w:val="2"/>
        <w:spacing w:line="500" w:lineRule="exact"/>
        <w:ind w:firstLine="495" w:firstLineChars="236"/>
        <w:outlineLvl w:val="9"/>
        <w:rPr>
          <w:rFonts w:ascii="宋体" w:hAnsi="宋体"/>
          <w:b w:val="0"/>
          <w:szCs w:val="21"/>
        </w:rPr>
      </w:pPr>
      <w:r>
        <w:rPr>
          <w:rFonts w:hint="eastAsia" w:ascii="宋体" w:hAnsi="宋体"/>
          <w:b w:val="0"/>
          <w:szCs w:val="21"/>
        </w:rPr>
        <w:t>（1）依法按照公开、公平、公正和诚实信用原则， 组织招标工作，维护各方的合法权益；</w:t>
      </w:r>
    </w:p>
    <w:p>
      <w:pPr>
        <w:pStyle w:val="2"/>
        <w:spacing w:line="500" w:lineRule="exact"/>
        <w:ind w:firstLine="495" w:firstLineChars="236"/>
        <w:outlineLvl w:val="9"/>
        <w:rPr>
          <w:rFonts w:ascii="宋体" w:hAnsi="宋体"/>
          <w:b w:val="0"/>
          <w:szCs w:val="21"/>
        </w:rPr>
      </w:pPr>
      <w:r>
        <w:rPr>
          <w:rFonts w:hint="eastAsia" w:ascii="宋体" w:hAnsi="宋体"/>
          <w:b w:val="0"/>
          <w:szCs w:val="21"/>
        </w:rPr>
        <w:t>（2）应用专业技术与技能为委托人提供完成招标工作相关的咨询服务；</w:t>
      </w:r>
    </w:p>
    <w:p>
      <w:pPr>
        <w:pStyle w:val="2"/>
        <w:spacing w:line="500" w:lineRule="exact"/>
        <w:ind w:firstLine="495" w:firstLineChars="236"/>
        <w:outlineLvl w:val="9"/>
        <w:rPr>
          <w:rFonts w:ascii="宋体" w:hAnsi="宋体"/>
          <w:b w:val="0"/>
          <w:szCs w:val="21"/>
        </w:rPr>
      </w:pPr>
      <w:r>
        <w:rPr>
          <w:rFonts w:hint="eastAsia" w:ascii="宋体" w:hAnsi="宋体"/>
          <w:b w:val="0"/>
          <w:szCs w:val="21"/>
        </w:rPr>
        <w:t>（3）向委托人宣传有关工程招标的法律、行政法规和规章，解释合理的招标程序，以便得到委托人的支持和配合；</w:t>
      </w:r>
    </w:p>
    <w:p>
      <w:pPr>
        <w:pStyle w:val="2"/>
        <w:spacing w:line="500" w:lineRule="exact"/>
        <w:ind w:firstLine="495" w:firstLineChars="236"/>
        <w:outlineLvl w:val="9"/>
        <w:rPr>
          <w:rFonts w:ascii="宋体" w:hAnsi="宋体"/>
          <w:b w:val="0"/>
          <w:szCs w:val="21"/>
        </w:rPr>
      </w:pPr>
      <w:r>
        <w:rPr>
          <w:rFonts w:hint="eastAsia" w:ascii="宋体" w:hAnsi="宋体"/>
          <w:b w:val="0"/>
          <w:szCs w:val="21"/>
        </w:rPr>
        <w:t>（4）依法应尽的其他义务，双方在本合同专用条款内约定。</w:t>
      </w:r>
    </w:p>
    <w:p>
      <w:pPr>
        <w:pStyle w:val="2"/>
        <w:spacing w:line="500" w:lineRule="exact"/>
        <w:ind w:firstLine="495" w:firstLineChars="236"/>
        <w:outlineLvl w:val="9"/>
        <w:rPr>
          <w:rFonts w:ascii="宋体" w:hAnsi="宋体"/>
          <w:b w:val="0"/>
          <w:szCs w:val="21"/>
        </w:rPr>
      </w:pPr>
      <w:r>
        <w:rPr>
          <w:rFonts w:hint="eastAsia" w:ascii="宋体" w:hAnsi="宋体"/>
          <w:b w:val="0"/>
          <w:szCs w:val="21"/>
        </w:rPr>
        <w:t>5.3受托人应对招标工作中受托人所出具有关数据的计算、技术经济资料等的科学性和准确性负责。</w:t>
      </w:r>
    </w:p>
    <w:p>
      <w:pPr>
        <w:pStyle w:val="2"/>
        <w:spacing w:line="500" w:lineRule="exact"/>
        <w:ind w:firstLine="495" w:firstLineChars="236"/>
        <w:outlineLvl w:val="9"/>
        <w:rPr>
          <w:rFonts w:ascii="宋体" w:hAnsi="宋体"/>
          <w:b w:val="0"/>
          <w:szCs w:val="21"/>
        </w:rPr>
      </w:pPr>
      <w:r>
        <w:rPr>
          <w:rFonts w:hint="eastAsia" w:ascii="宋体" w:hAnsi="宋体"/>
          <w:b w:val="0"/>
          <w:szCs w:val="21"/>
        </w:rPr>
        <w:t>5.4受托人不得接受与本合同工程建设项目中委托招标范围之内的相关的投标咨询业务。</w:t>
      </w:r>
    </w:p>
    <w:p>
      <w:pPr>
        <w:pStyle w:val="2"/>
        <w:spacing w:line="500" w:lineRule="exact"/>
        <w:ind w:firstLine="495" w:firstLineChars="236"/>
        <w:outlineLvl w:val="9"/>
        <w:rPr>
          <w:rFonts w:ascii="宋体" w:hAnsi="宋体"/>
          <w:b w:val="0"/>
          <w:szCs w:val="21"/>
        </w:rPr>
      </w:pPr>
      <w:r>
        <w:rPr>
          <w:rFonts w:hint="eastAsia" w:ascii="宋体" w:hAnsi="宋体"/>
          <w:b w:val="0"/>
          <w:szCs w:val="21"/>
        </w:rPr>
        <w:t>5.5受托人为本合同提供技术服务的知识产权应属受托人专有。任何第三方如果提出侵权指控，受托人须与第三方交涉并承担由此而引起的一切法律责任和费用。</w:t>
      </w:r>
    </w:p>
    <w:p>
      <w:pPr>
        <w:pStyle w:val="2"/>
        <w:spacing w:line="500" w:lineRule="exact"/>
        <w:ind w:firstLine="495" w:firstLineChars="236"/>
        <w:outlineLvl w:val="9"/>
        <w:rPr>
          <w:rFonts w:ascii="宋体" w:hAnsi="宋体"/>
          <w:b w:val="0"/>
          <w:szCs w:val="21"/>
        </w:rPr>
      </w:pPr>
      <w:r>
        <w:rPr>
          <w:rFonts w:hint="eastAsia" w:ascii="宋体" w:hAnsi="宋体"/>
          <w:b w:val="0"/>
          <w:szCs w:val="21"/>
        </w:rPr>
        <w:t>5.6 未经委托人同意，受托人不得分包或转让本合同的任何权利和义务。</w:t>
      </w:r>
    </w:p>
    <w:p>
      <w:pPr>
        <w:pStyle w:val="2"/>
        <w:spacing w:line="500" w:lineRule="exact"/>
        <w:ind w:firstLine="495" w:firstLineChars="236"/>
        <w:outlineLvl w:val="9"/>
        <w:rPr>
          <w:rFonts w:ascii="宋体" w:hAnsi="宋体"/>
          <w:b w:val="0"/>
          <w:szCs w:val="21"/>
        </w:rPr>
      </w:pPr>
      <w:r>
        <w:rPr>
          <w:rFonts w:hint="eastAsia" w:ascii="宋体" w:hAnsi="宋体"/>
          <w:b w:val="0"/>
          <w:szCs w:val="21"/>
        </w:rPr>
        <w:t>5.7受托人不得接受所有投标人的礼品、宴请和任何其它好处，不得泄露招标、评标、定标过程中依法需要保密的内容。合同终止后，未经委托人同意，受托人不得泄漏与本合同工程相关的任何招标资料和情况。</w:t>
      </w:r>
    </w:p>
    <w:p>
      <w:pPr>
        <w:pStyle w:val="2"/>
        <w:spacing w:line="500" w:lineRule="exact"/>
        <w:ind w:firstLine="495" w:firstLineChars="236"/>
        <w:outlineLvl w:val="9"/>
        <w:rPr>
          <w:rFonts w:ascii="宋体" w:hAnsi="宋体"/>
          <w:b w:val="0"/>
          <w:szCs w:val="21"/>
        </w:rPr>
      </w:pPr>
      <w:r>
        <w:rPr>
          <w:rFonts w:hint="eastAsia" w:ascii="宋体" w:hAnsi="宋体"/>
          <w:b w:val="0"/>
          <w:szCs w:val="21"/>
        </w:rPr>
        <w:t>5.8受托人未能履行以上各项义务，给委托人造成损失的，应当赔偿委托人的有关损失。</w:t>
      </w:r>
    </w:p>
    <w:p>
      <w:pPr>
        <w:pStyle w:val="2"/>
        <w:spacing w:line="500" w:lineRule="exact"/>
        <w:ind w:firstLine="495" w:firstLineChars="236"/>
        <w:outlineLvl w:val="9"/>
        <w:rPr>
          <w:rFonts w:ascii="宋体" w:hAnsi="宋体"/>
          <w:b w:val="0"/>
          <w:szCs w:val="21"/>
        </w:rPr>
      </w:pPr>
      <w:r>
        <w:rPr>
          <w:rFonts w:hint="eastAsia" w:ascii="宋体" w:hAnsi="宋体"/>
          <w:b w:val="0"/>
          <w:szCs w:val="21"/>
        </w:rPr>
        <w:t>6、委托人的权利</w:t>
      </w:r>
    </w:p>
    <w:p>
      <w:pPr>
        <w:pStyle w:val="2"/>
        <w:spacing w:line="500" w:lineRule="exact"/>
        <w:ind w:firstLine="495" w:firstLineChars="236"/>
        <w:outlineLvl w:val="9"/>
        <w:rPr>
          <w:rFonts w:ascii="宋体" w:hAnsi="宋体"/>
          <w:b w:val="0"/>
          <w:szCs w:val="21"/>
        </w:rPr>
      </w:pPr>
      <w:r>
        <w:rPr>
          <w:rFonts w:hint="eastAsia" w:ascii="宋体" w:hAnsi="宋体"/>
          <w:b w:val="0"/>
          <w:szCs w:val="21"/>
        </w:rPr>
        <w:t>6.1委托人拥有下列权利：</w:t>
      </w:r>
    </w:p>
    <w:p>
      <w:pPr>
        <w:pStyle w:val="2"/>
        <w:spacing w:line="500" w:lineRule="exact"/>
        <w:ind w:firstLine="495" w:firstLineChars="236"/>
        <w:outlineLvl w:val="9"/>
        <w:rPr>
          <w:rFonts w:ascii="宋体" w:hAnsi="宋体"/>
          <w:b w:val="0"/>
          <w:szCs w:val="21"/>
        </w:rPr>
      </w:pPr>
      <w:r>
        <w:rPr>
          <w:rFonts w:hint="eastAsia" w:ascii="宋体" w:hAnsi="宋体"/>
          <w:b w:val="0"/>
          <w:szCs w:val="21"/>
        </w:rPr>
        <w:t>（1）按合同约定，接收招标代理成果；</w:t>
      </w:r>
    </w:p>
    <w:p>
      <w:pPr>
        <w:pStyle w:val="2"/>
        <w:spacing w:line="500" w:lineRule="exact"/>
        <w:ind w:firstLine="495" w:firstLineChars="236"/>
        <w:outlineLvl w:val="9"/>
        <w:rPr>
          <w:rFonts w:ascii="宋体" w:hAnsi="宋体"/>
          <w:b w:val="0"/>
          <w:szCs w:val="21"/>
        </w:rPr>
      </w:pPr>
      <w:r>
        <w:rPr>
          <w:rFonts w:hint="eastAsia" w:ascii="宋体" w:hAnsi="宋体"/>
          <w:b w:val="0"/>
          <w:szCs w:val="21"/>
        </w:rPr>
        <w:t>（2）向受托人询问本合同工程招标工作进展情况和相关内容或提出不违反法律、行政法规的建议；</w:t>
      </w:r>
    </w:p>
    <w:p>
      <w:pPr>
        <w:pStyle w:val="2"/>
        <w:spacing w:line="500" w:lineRule="exact"/>
        <w:ind w:firstLine="495" w:firstLineChars="236"/>
        <w:outlineLvl w:val="9"/>
        <w:rPr>
          <w:rFonts w:ascii="宋体" w:hAnsi="宋体"/>
          <w:b w:val="0"/>
          <w:szCs w:val="21"/>
        </w:rPr>
      </w:pPr>
      <w:r>
        <w:rPr>
          <w:rFonts w:hint="eastAsia" w:ascii="宋体" w:hAnsi="宋体"/>
          <w:b w:val="0"/>
          <w:szCs w:val="21"/>
        </w:rPr>
        <w:t>（3）审查受托人为本合同工程编制的各种文件，并提出修正意见；</w:t>
      </w:r>
    </w:p>
    <w:p>
      <w:pPr>
        <w:pStyle w:val="2"/>
        <w:spacing w:line="500" w:lineRule="exact"/>
        <w:ind w:firstLine="495" w:firstLineChars="236"/>
        <w:outlineLvl w:val="9"/>
        <w:rPr>
          <w:rFonts w:ascii="宋体" w:hAnsi="宋体"/>
          <w:b w:val="0"/>
          <w:szCs w:val="21"/>
        </w:rPr>
      </w:pPr>
      <w:r>
        <w:rPr>
          <w:rFonts w:hint="eastAsia" w:ascii="宋体" w:hAnsi="宋体"/>
          <w:b w:val="0"/>
          <w:szCs w:val="21"/>
        </w:rPr>
        <w:t>（4）要求受托人提交招标代理业务工作报告；</w:t>
      </w:r>
    </w:p>
    <w:p>
      <w:pPr>
        <w:pStyle w:val="2"/>
        <w:spacing w:line="500" w:lineRule="exact"/>
        <w:ind w:firstLine="495" w:firstLineChars="236"/>
        <w:outlineLvl w:val="9"/>
        <w:rPr>
          <w:rFonts w:ascii="宋体" w:hAnsi="宋体"/>
          <w:b w:val="0"/>
          <w:szCs w:val="21"/>
        </w:rPr>
      </w:pPr>
      <w:r>
        <w:rPr>
          <w:rFonts w:hint="eastAsia" w:ascii="宋体" w:hAnsi="宋体"/>
          <w:b w:val="0"/>
          <w:szCs w:val="21"/>
        </w:rPr>
        <w:t>（5）与受托人协商，建议更换其不称职的招标代理从业人员；</w:t>
      </w:r>
    </w:p>
    <w:p>
      <w:pPr>
        <w:pStyle w:val="2"/>
        <w:spacing w:line="500" w:lineRule="exact"/>
        <w:ind w:firstLine="495" w:firstLineChars="236"/>
        <w:outlineLvl w:val="9"/>
        <w:rPr>
          <w:rFonts w:ascii="宋体" w:hAnsi="宋体"/>
          <w:b w:val="0"/>
          <w:szCs w:val="21"/>
        </w:rPr>
      </w:pPr>
      <w:r>
        <w:rPr>
          <w:rFonts w:hint="eastAsia" w:ascii="宋体" w:hAnsi="宋体"/>
          <w:b w:val="0"/>
          <w:szCs w:val="21"/>
        </w:rPr>
        <w:t>（6）依法选择中标人；</w:t>
      </w:r>
    </w:p>
    <w:p>
      <w:pPr>
        <w:pStyle w:val="2"/>
        <w:spacing w:line="500" w:lineRule="exact"/>
        <w:ind w:firstLine="495" w:firstLineChars="236"/>
        <w:outlineLvl w:val="9"/>
        <w:rPr>
          <w:rFonts w:ascii="宋体" w:hAnsi="宋体"/>
          <w:b w:val="0"/>
          <w:szCs w:val="21"/>
        </w:rPr>
      </w:pPr>
      <w:r>
        <w:rPr>
          <w:rFonts w:hint="eastAsia" w:ascii="宋体" w:hAnsi="宋体"/>
          <w:b w:val="0"/>
          <w:szCs w:val="21"/>
        </w:rPr>
        <w:t>（7）本合同履行期间，由于受托人不履行合同约定的内容，给委托人造成损失或影响招标工作正常进行的，委托人有权终止本合同，并依法向受托人追索经济赔偿，直至追究法律责任；</w:t>
      </w:r>
    </w:p>
    <w:p>
      <w:pPr>
        <w:pStyle w:val="2"/>
        <w:spacing w:line="500" w:lineRule="exact"/>
        <w:ind w:firstLine="495" w:firstLineChars="236"/>
        <w:outlineLvl w:val="9"/>
        <w:rPr>
          <w:rFonts w:ascii="宋体" w:hAnsi="宋体"/>
          <w:b w:val="0"/>
          <w:szCs w:val="21"/>
        </w:rPr>
      </w:pPr>
      <w:r>
        <w:rPr>
          <w:rFonts w:hint="eastAsia" w:ascii="宋体" w:hAnsi="宋体"/>
          <w:b w:val="0"/>
          <w:szCs w:val="21"/>
        </w:rPr>
        <w:t>（8）依法享有的其他权利，双方在本合同专用条款内约定</w:t>
      </w:r>
    </w:p>
    <w:p>
      <w:pPr>
        <w:pStyle w:val="2"/>
        <w:spacing w:line="500" w:lineRule="exact"/>
        <w:ind w:firstLine="495" w:firstLineChars="236"/>
        <w:outlineLvl w:val="9"/>
        <w:rPr>
          <w:rFonts w:ascii="宋体" w:hAnsi="宋体"/>
          <w:b w:val="0"/>
          <w:szCs w:val="21"/>
        </w:rPr>
      </w:pPr>
      <w:r>
        <w:rPr>
          <w:rFonts w:hint="eastAsia" w:ascii="宋体" w:hAnsi="宋体"/>
          <w:b w:val="0"/>
          <w:szCs w:val="21"/>
        </w:rPr>
        <w:t>7、受托人的权利</w:t>
      </w:r>
    </w:p>
    <w:p>
      <w:pPr>
        <w:pStyle w:val="2"/>
        <w:spacing w:line="500" w:lineRule="exact"/>
        <w:ind w:firstLine="495" w:firstLineChars="236"/>
        <w:outlineLvl w:val="9"/>
        <w:rPr>
          <w:rFonts w:ascii="宋体" w:hAnsi="宋体"/>
          <w:b w:val="0"/>
          <w:szCs w:val="21"/>
        </w:rPr>
      </w:pPr>
      <w:r>
        <w:rPr>
          <w:rFonts w:hint="eastAsia" w:ascii="宋体" w:hAnsi="宋体"/>
          <w:b w:val="0"/>
          <w:szCs w:val="21"/>
        </w:rPr>
        <w:t>7.1受托人拥有下列权利：</w:t>
      </w:r>
    </w:p>
    <w:p>
      <w:pPr>
        <w:pStyle w:val="2"/>
        <w:spacing w:line="500" w:lineRule="exact"/>
        <w:ind w:firstLine="495" w:firstLineChars="236"/>
        <w:outlineLvl w:val="9"/>
        <w:rPr>
          <w:rFonts w:ascii="宋体" w:hAnsi="宋体"/>
          <w:b w:val="0"/>
          <w:szCs w:val="21"/>
        </w:rPr>
      </w:pPr>
      <w:r>
        <w:rPr>
          <w:rFonts w:hint="eastAsia" w:ascii="宋体" w:hAnsi="宋体"/>
          <w:b w:val="0"/>
          <w:szCs w:val="21"/>
        </w:rPr>
        <w:t>（1）按合同约定收取委托代理报酬；</w:t>
      </w:r>
    </w:p>
    <w:p>
      <w:pPr>
        <w:pStyle w:val="2"/>
        <w:spacing w:line="500" w:lineRule="exact"/>
        <w:ind w:firstLine="495" w:firstLineChars="236"/>
        <w:outlineLvl w:val="9"/>
        <w:rPr>
          <w:rFonts w:ascii="宋体" w:hAnsi="宋体"/>
          <w:b w:val="0"/>
          <w:szCs w:val="21"/>
        </w:rPr>
      </w:pPr>
      <w:r>
        <w:rPr>
          <w:rFonts w:hint="eastAsia" w:ascii="宋体" w:hAnsi="宋体"/>
          <w:b w:val="0"/>
          <w:szCs w:val="21"/>
        </w:rPr>
        <w:t>（2）对招标过程中应由委托人做出的决定，受托人有权提出建议；</w:t>
      </w:r>
    </w:p>
    <w:p>
      <w:pPr>
        <w:pStyle w:val="2"/>
        <w:spacing w:line="500" w:lineRule="exact"/>
        <w:ind w:firstLine="495" w:firstLineChars="236"/>
        <w:outlineLvl w:val="9"/>
        <w:rPr>
          <w:rFonts w:ascii="宋体" w:hAnsi="宋体"/>
          <w:b w:val="0"/>
          <w:szCs w:val="21"/>
        </w:rPr>
      </w:pPr>
      <w:r>
        <w:rPr>
          <w:rFonts w:hint="eastAsia" w:ascii="宋体" w:hAnsi="宋体"/>
          <w:b w:val="0"/>
          <w:szCs w:val="21"/>
        </w:rPr>
        <w:t>（3）当委托人提供的资料不足或不明确时，有权要求委托人补足资料或作出明确的答复；</w:t>
      </w:r>
    </w:p>
    <w:p>
      <w:pPr>
        <w:pStyle w:val="2"/>
        <w:spacing w:line="500" w:lineRule="exact"/>
        <w:ind w:firstLine="495" w:firstLineChars="236"/>
        <w:outlineLvl w:val="9"/>
        <w:rPr>
          <w:rFonts w:ascii="宋体" w:hAnsi="宋体"/>
          <w:b w:val="0"/>
          <w:szCs w:val="21"/>
        </w:rPr>
      </w:pPr>
      <w:r>
        <w:rPr>
          <w:rFonts w:hint="eastAsia" w:ascii="宋体" w:hAnsi="宋体"/>
          <w:b w:val="0"/>
          <w:szCs w:val="21"/>
        </w:rPr>
        <w:t>（4）拒绝委托人提出的违反法律、行政法规的要求，并向委托人作出解释；</w:t>
      </w:r>
    </w:p>
    <w:p>
      <w:pPr>
        <w:pStyle w:val="2"/>
        <w:spacing w:line="500" w:lineRule="exact"/>
        <w:ind w:firstLine="495" w:firstLineChars="236"/>
        <w:outlineLvl w:val="9"/>
        <w:rPr>
          <w:rFonts w:ascii="宋体" w:hAnsi="宋体"/>
          <w:b w:val="0"/>
          <w:szCs w:val="21"/>
        </w:rPr>
      </w:pPr>
      <w:r>
        <w:rPr>
          <w:rFonts w:hint="eastAsia" w:ascii="宋体" w:hAnsi="宋体"/>
          <w:b w:val="0"/>
          <w:szCs w:val="21"/>
        </w:rPr>
        <w:t>（5）有权参加委托人组织的涉及招标工作的所有会议和活动；</w:t>
      </w:r>
    </w:p>
    <w:p>
      <w:pPr>
        <w:pStyle w:val="2"/>
        <w:spacing w:line="500" w:lineRule="exact"/>
        <w:ind w:firstLine="495" w:firstLineChars="236"/>
        <w:outlineLvl w:val="9"/>
        <w:rPr>
          <w:rFonts w:ascii="宋体" w:hAnsi="宋体"/>
          <w:b w:val="0"/>
          <w:szCs w:val="21"/>
        </w:rPr>
      </w:pPr>
      <w:r>
        <w:rPr>
          <w:rFonts w:hint="eastAsia" w:ascii="宋体" w:hAnsi="宋体"/>
          <w:b w:val="0"/>
          <w:szCs w:val="21"/>
        </w:rPr>
        <w:t>（6）对于为本合同工程编制的所有文件拥有知识产权，委托人仅有使用或复制的权利；</w:t>
      </w:r>
    </w:p>
    <w:p>
      <w:pPr>
        <w:pStyle w:val="2"/>
        <w:spacing w:line="500" w:lineRule="exact"/>
        <w:ind w:firstLine="495" w:firstLineChars="236"/>
        <w:outlineLvl w:val="9"/>
        <w:rPr>
          <w:rFonts w:ascii="宋体" w:hAnsi="宋体"/>
          <w:b w:val="0"/>
          <w:szCs w:val="21"/>
        </w:rPr>
      </w:pPr>
      <w:r>
        <w:rPr>
          <w:rFonts w:hint="eastAsia" w:ascii="宋体" w:hAnsi="宋体"/>
          <w:b w:val="0"/>
          <w:szCs w:val="21"/>
        </w:rPr>
        <w:t>（7）依法享有的其他权利，双方在本合同专用条款内约定。</w:t>
      </w:r>
    </w:p>
    <w:p>
      <w:pPr>
        <w:pStyle w:val="2"/>
        <w:spacing w:line="500" w:lineRule="exact"/>
        <w:ind w:firstLine="498" w:firstLineChars="236"/>
        <w:outlineLvl w:val="9"/>
        <w:rPr>
          <w:rFonts w:ascii="宋体" w:hAnsi="宋体"/>
          <w:b w:val="0"/>
          <w:szCs w:val="21"/>
        </w:rPr>
      </w:pPr>
      <w:r>
        <w:rPr>
          <w:rFonts w:hint="eastAsia" w:ascii="宋体" w:hAnsi="宋体"/>
          <w:szCs w:val="21"/>
        </w:rPr>
        <w:t>三、委托代理报酬与收取</w:t>
      </w:r>
    </w:p>
    <w:p>
      <w:pPr>
        <w:pStyle w:val="2"/>
        <w:spacing w:line="500" w:lineRule="exact"/>
        <w:ind w:firstLine="495" w:firstLineChars="236"/>
        <w:outlineLvl w:val="9"/>
        <w:rPr>
          <w:rFonts w:ascii="宋体" w:hAnsi="宋体"/>
          <w:b w:val="0"/>
          <w:szCs w:val="21"/>
        </w:rPr>
      </w:pPr>
      <w:r>
        <w:rPr>
          <w:rFonts w:hint="eastAsia" w:ascii="宋体" w:hAnsi="宋体"/>
          <w:b w:val="0"/>
          <w:szCs w:val="21"/>
        </w:rPr>
        <w:t>8、委托代理报酬</w:t>
      </w:r>
    </w:p>
    <w:p>
      <w:pPr>
        <w:pStyle w:val="2"/>
        <w:spacing w:line="500" w:lineRule="exact"/>
        <w:ind w:firstLine="495" w:firstLineChars="236"/>
        <w:outlineLvl w:val="9"/>
        <w:rPr>
          <w:rFonts w:ascii="宋体" w:hAnsi="宋体"/>
          <w:b w:val="0"/>
          <w:szCs w:val="21"/>
        </w:rPr>
      </w:pPr>
      <w:r>
        <w:rPr>
          <w:rFonts w:hint="eastAsia" w:ascii="宋体" w:hAnsi="宋体"/>
          <w:b w:val="0"/>
          <w:szCs w:val="21"/>
        </w:rPr>
        <w:t xml:space="preserve">8.1双方按照本合同约定的招标代理业务范围，在本合同专用条款内约定委托代理报酬的计算方法、金额、币种、汇率和支付方式、支付时间。   </w:t>
      </w:r>
    </w:p>
    <w:p>
      <w:pPr>
        <w:pStyle w:val="2"/>
        <w:spacing w:line="500" w:lineRule="exact"/>
        <w:ind w:firstLine="495" w:firstLineChars="236"/>
        <w:outlineLvl w:val="9"/>
        <w:rPr>
          <w:rFonts w:ascii="宋体" w:hAnsi="宋体"/>
          <w:b w:val="0"/>
          <w:szCs w:val="21"/>
        </w:rPr>
      </w:pPr>
      <w:r>
        <w:rPr>
          <w:rFonts w:hint="eastAsia" w:ascii="宋体" w:hAnsi="宋体"/>
          <w:b w:val="0"/>
          <w:szCs w:val="21"/>
        </w:rPr>
        <w:t>8.2受托人对所承接的招标代理业务需要出外考察的，其外出人员数量和费用，经委托人同意后，向委托人实报实销。</w:t>
      </w:r>
    </w:p>
    <w:p>
      <w:pPr>
        <w:pStyle w:val="2"/>
        <w:spacing w:line="500" w:lineRule="exact"/>
        <w:ind w:firstLine="495" w:firstLineChars="236"/>
        <w:outlineLvl w:val="9"/>
        <w:rPr>
          <w:rFonts w:ascii="宋体" w:hAnsi="宋体"/>
          <w:b w:val="0"/>
          <w:szCs w:val="21"/>
        </w:rPr>
      </w:pPr>
      <w:r>
        <w:rPr>
          <w:rFonts w:hint="eastAsia" w:ascii="宋体" w:hAnsi="宋体"/>
          <w:b w:val="0"/>
          <w:szCs w:val="21"/>
        </w:rPr>
        <w:t>8.3在招标代理业务范围内所发生的费用（如：评标会务费、评标专家的差旅费、劳务费、公证费等），由委托人与受托人在补充条款中约定。</w:t>
      </w:r>
    </w:p>
    <w:p>
      <w:pPr>
        <w:pStyle w:val="2"/>
        <w:spacing w:line="500" w:lineRule="exact"/>
        <w:ind w:firstLine="495" w:firstLineChars="236"/>
        <w:outlineLvl w:val="9"/>
        <w:rPr>
          <w:rFonts w:ascii="宋体" w:hAnsi="宋体"/>
          <w:b w:val="0"/>
          <w:szCs w:val="21"/>
        </w:rPr>
      </w:pPr>
      <w:r>
        <w:rPr>
          <w:rFonts w:hint="eastAsia" w:ascii="宋体" w:hAnsi="宋体"/>
          <w:b w:val="0"/>
          <w:szCs w:val="21"/>
        </w:rPr>
        <w:t>9、委托代理报酬的收取</w:t>
      </w:r>
    </w:p>
    <w:p>
      <w:pPr>
        <w:pStyle w:val="2"/>
        <w:spacing w:line="500" w:lineRule="exact"/>
        <w:ind w:firstLine="495" w:firstLineChars="236"/>
        <w:outlineLvl w:val="9"/>
        <w:rPr>
          <w:rFonts w:ascii="宋体" w:hAnsi="宋体"/>
          <w:b w:val="0"/>
          <w:szCs w:val="21"/>
        </w:rPr>
      </w:pPr>
      <w:r>
        <w:rPr>
          <w:rFonts w:hint="eastAsia" w:ascii="宋体" w:hAnsi="宋体"/>
          <w:b w:val="0"/>
          <w:szCs w:val="21"/>
        </w:rPr>
        <w:t>9.1 由委托人支付代理报酬的，在完成招标代理工作，发放中标通知书时一次性支付。</w:t>
      </w:r>
    </w:p>
    <w:p>
      <w:pPr>
        <w:pStyle w:val="2"/>
        <w:spacing w:line="500" w:lineRule="exact"/>
        <w:ind w:firstLine="495" w:firstLineChars="236"/>
        <w:outlineLvl w:val="9"/>
        <w:rPr>
          <w:rFonts w:ascii="宋体" w:hAnsi="宋体"/>
          <w:b w:val="0"/>
          <w:szCs w:val="21"/>
        </w:rPr>
      </w:pPr>
      <w:r>
        <w:rPr>
          <w:rFonts w:hint="eastAsia" w:ascii="宋体" w:hAnsi="宋体"/>
          <w:b w:val="0"/>
          <w:szCs w:val="21"/>
        </w:rPr>
        <w:t>9.2受托人完成委托人委托的招标代理工作范围以外的工作，为附加服务项目，应收取的报酬由双方协商，签订补充协议。</w:t>
      </w:r>
    </w:p>
    <w:p>
      <w:pPr>
        <w:pStyle w:val="2"/>
        <w:spacing w:line="500" w:lineRule="exact"/>
        <w:ind w:firstLine="495" w:firstLineChars="236"/>
        <w:outlineLvl w:val="9"/>
        <w:rPr>
          <w:rFonts w:ascii="宋体" w:hAnsi="宋体"/>
          <w:b w:val="0"/>
          <w:szCs w:val="21"/>
        </w:rPr>
      </w:pPr>
      <w:r>
        <w:rPr>
          <w:rFonts w:hint="eastAsia" w:ascii="宋体" w:hAnsi="宋体"/>
          <w:b w:val="0"/>
          <w:szCs w:val="21"/>
        </w:rPr>
        <w:t>9.3委托人在本合同专用条款约定的支付时间内，未能如期支付代理预付费用，自应支付之日起，按同期银行存款利率，计算支付代理预付费用的利息。</w:t>
      </w:r>
    </w:p>
    <w:p>
      <w:pPr>
        <w:pStyle w:val="2"/>
        <w:spacing w:line="500" w:lineRule="exact"/>
        <w:ind w:firstLine="495" w:firstLineChars="236"/>
        <w:outlineLvl w:val="9"/>
        <w:rPr>
          <w:rFonts w:ascii="宋体" w:hAnsi="宋体"/>
          <w:b w:val="0"/>
          <w:szCs w:val="21"/>
        </w:rPr>
      </w:pPr>
      <w:r>
        <w:rPr>
          <w:rFonts w:hint="eastAsia" w:ascii="宋体" w:hAnsi="宋体"/>
          <w:b w:val="0"/>
          <w:szCs w:val="21"/>
        </w:rPr>
        <w:t>9.4委托代理报酬应由委托人按本合同专用条款约定的支付方法和时间，直接向受托人支付；或受托人按照约定直接向中标人收取。</w:t>
      </w:r>
    </w:p>
    <w:p>
      <w:pPr>
        <w:pStyle w:val="2"/>
        <w:spacing w:line="500" w:lineRule="exact"/>
        <w:ind w:firstLine="498" w:firstLineChars="236"/>
        <w:outlineLvl w:val="9"/>
        <w:rPr>
          <w:rFonts w:ascii="宋体" w:hAnsi="宋体"/>
          <w:b w:val="0"/>
          <w:szCs w:val="21"/>
        </w:rPr>
      </w:pPr>
      <w:r>
        <w:rPr>
          <w:rFonts w:hint="eastAsia" w:ascii="宋体" w:hAnsi="宋体"/>
          <w:szCs w:val="21"/>
        </w:rPr>
        <w:t>四、违约、索赔和争议</w:t>
      </w:r>
    </w:p>
    <w:p>
      <w:pPr>
        <w:pStyle w:val="2"/>
        <w:spacing w:line="500" w:lineRule="exact"/>
        <w:ind w:firstLine="495" w:firstLineChars="236"/>
        <w:outlineLvl w:val="9"/>
        <w:rPr>
          <w:rFonts w:ascii="宋体" w:hAnsi="宋体"/>
          <w:b w:val="0"/>
          <w:szCs w:val="21"/>
        </w:rPr>
      </w:pPr>
      <w:r>
        <w:rPr>
          <w:rFonts w:hint="eastAsia" w:ascii="宋体" w:hAnsi="宋体"/>
          <w:b w:val="0"/>
          <w:szCs w:val="21"/>
        </w:rPr>
        <w:t>10、违约</w:t>
      </w:r>
    </w:p>
    <w:p>
      <w:pPr>
        <w:pStyle w:val="2"/>
        <w:spacing w:line="500" w:lineRule="exact"/>
        <w:ind w:firstLine="495" w:firstLineChars="236"/>
        <w:outlineLvl w:val="9"/>
        <w:rPr>
          <w:rFonts w:ascii="宋体" w:hAnsi="宋体"/>
          <w:b w:val="0"/>
          <w:szCs w:val="21"/>
        </w:rPr>
      </w:pPr>
      <w:r>
        <w:rPr>
          <w:rFonts w:hint="eastAsia" w:ascii="宋体" w:hAnsi="宋体"/>
          <w:b w:val="0"/>
          <w:szCs w:val="21"/>
        </w:rPr>
        <w:t>10.1 委托人违约。 当发生下列情况时：</w:t>
      </w:r>
    </w:p>
    <w:p>
      <w:pPr>
        <w:pStyle w:val="2"/>
        <w:spacing w:line="500" w:lineRule="exact"/>
        <w:ind w:firstLine="495" w:firstLineChars="236"/>
        <w:outlineLvl w:val="9"/>
        <w:rPr>
          <w:rFonts w:ascii="宋体" w:hAnsi="宋体"/>
          <w:b w:val="0"/>
          <w:szCs w:val="21"/>
        </w:rPr>
      </w:pPr>
      <w:r>
        <w:rPr>
          <w:rFonts w:hint="eastAsia" w:ascii="宋体" w:hAnsi="宋体"/>
          <w:b w:val="0"/>
          <w:szCs w:val="21"/>
        </w:rPr>
        <w:t>（1）本合同通用条款第4.2 -（3）款提到的委托人未按本合同专用条款的约定向委托人提供为保证招标工作顺利完成的条件，致使招标工作无法进行；</w:t>
      </w:r>
    </w:p>
    <w:p>
      <w:pPr>
        <w:pStyle w:val="2"/>
        <w:spacing w:line="500" w:lineRule="exact"/>
        <w:ind w:firstLine="495" w:firstLineChars="236"/>
        <w:outlineLvl w:val="9"/>
        <w:rPr>
          <w:rFonts w:ascii="宋体" w:hAnsi="宋体"/>
          <w:b w:val="0"/>
          <w:szCs w:val="21"/>
        </w:rPr>
      </w:pPr>
      <w:r>
        <w:rPr>
          <w:rFonts w:hint="eastAsia" w:ascii="宋体" w:hAnsi="宋体"/>
          <w:b w:val="0"/>
          <w:szCs w:val="21"/>
        </w:rPr>
        <w:t>（2）本合同通用条款第4.2 -（6）款提到的委托人未按本合同专用条款的约定向受托人支付委托代理报酬；</w:t>
      </w:r>
    </w:p>
    <w:p>
      <w:pPr>
        <w:pStyle w:val="2"/>
        <w:spacing w:line="500" w:lineRule="exact"/>
        <w:ind w:firstLine="495" w:firstLineChars="236"/>
        <w:outlineLvl w:val="9"/>
        <w:rPr>
          <w:rFonts w:ascii="宋体" w:hAnsi="宋体"/>
          <w:b w:val="0"/>
          <w:szCs w:val="21"/>
        </w:rPr>
      </w:pPr>
      <w:r>
        <w:rPr>
          <w:rFonts w:hint="eastAsia" w:ascii="宋体" w:hAnsi="宋体"/>
          <w:b w:val="0"/>
          <w:szCs w:val="21"/>
        </w:rPr>
        <w:t>（3）委托人不履行合同义务或不按合同约定履行义务的其他情况。</w:t>
      </w:r>
    </w:p>
    <w:p>
      <w:pPr>
        <w:pStyle w:val="2"/>
        <w:spacing w:line="500" w:lineRule="exact"/>
        <w:ind w:firstLine="495" w:firstLineChars="236"/>
        <w:outlineLvl w:val="9"/>
        <w:rPr>
          <w:rFonts w:ascii="宋体" w:hAnsi="宋体"/>
          <w:b w:val="0"/>
          <w:szCs w:val="21"/>
        </w:rPr>
      </w:pPr>
      <w:r>
        <w:rPr>
          <w:rFonts w:hint="eastAsia" w:ascii="宋体" w:hAnsi="宋体"/>
          <w:b w:val="0"/>
          <w:szCs w:val="21"/>
        </w:rPr>
        <w:t>委托人承担违约责任，赔偿因其违约给受托人造成本次委托代理的直接经济损失（本合同另有约定除外）。</w:t>
      </w:r>
    </w:p>
    <w:p>
      <w:pPr>
        <w:pStyle w:val="2"/>
        <w:spacing w:line="500" w:lineRule="exact"/>
        <w:ind w:firstLine="495" w:firstLineChars="236"/>
        <w:outlineLvl w:val="9"/>
        <w:rPr>
          <w:rFonts w:ascii="宋体" w:hAnsi="宋体"/>
          <w:b w:val="0"/>
          <w:szCs w:val="21"/>
        </w:rPr>
      </w:pPr>
      <w:r>
        <w:rPr>
          <w:rFonts w:hint="eastAsia" w:ascii="宋体" w:hAnsi="宋体"/>
          <w:b w:val="0"/>
          <w:szCs w:val="21"/>
        </w:rPr>
        <w:t xml:space="preserve">10.2  受托人违约。 </w:t>
      </w:r>
    </w:p>
    <w:p>
      <w:pPr>
        <w:pStyle w:val="2"/>
        <w:spacing w:line="500" w:lineRule="exact"/>
        <w:ind w:firstLine="495" w:firstLineChars="236"/>
        <w:outlineLvl w:val="9"/>
        <w:rPr>
          <w:rFonts w:ascii="宋体" w:hAnsi="宋体"/>
          <w:b w:val="0"/>
          <w:szCs w:val="21"/>
        </w:rPr>
      </w:pPr>
      <w:r>
        <w:rPr>
          <w:rFonts w:hint="eastAsia" w:ascii="宋体" w:hAnsi="宋体"/>
          <w:b w:val="0"/>
          <w:szCs w:val="21"/>
        </w:rPr>
        <w:t>当发生下列情况时：</w:t>
      </w:r>
    </w:p>
    <w:p>
      <w:pPr>
        <w:pStyle w:val="2"/>
        <w:spacing w:line="500" w:lineRule="exact"/>
        <w:ind w:firstLine="495" w:firstLineChars="236"/>
        <w:outlineLvl w:val="9"/>
        <w:rPr>
          <w:rFonts w:ascii="宋体" w:hAnsi="宋体"/>
          <w:b w:val="0"/>
          <w:szCs w:val="21"/>
        </w:rPr>
      </w:pPr>
      <w:r>
        <w:rPr>
          <w:rFonts w:hint="eastAsia" w:ascii="宋体" w:hAnsi="宋体"/>
          <w:b w:val="0"/>
          <w:szCs w:val="21"/>
        </w:rPr>
        <w:t>（1）本合同通用条款第5.2 -（2）款提到的受托人未按本合同专用条款的约定，向委托人提供为完成招标工作的咨询服务；</w:t>
      </w:r>
    </w:p>
    <w:p>
      <w:pPr>
        <w:pStyle w:val="2"/>
        <w:spacing w:line="500" w:lineRule="exact"/>
        <w:ind w:firstLine="495" w:firstLineChars="236"/>
        <w:outlineLvl w:val="9"/>
        <w:rPr>
          <w:rFonts w:ascii="宋体" w:hAnsi="宋体"/>
          <w:b w:val="0"/>
          <w:szCs w:val="21"/>
        </w:rPr>
      </w:pPr>
      <w:r>
        <w:rPr>
          <w:rFonts w:hint="eastAsia" w:ascii="宋体" w:hAnsi="宋体"/>
          <w:b w:val="0"/>
          <w:szCs w:val="21"/>
        </w:rPr>
        <w:t>（2）本合同通用条款第5.4款提到的受托人未按本合同专用条款的约定，接受了与本合同工程建设项目有关的投标咨询业务；</w:t>
      </w:r>
    </w:p>
    <w:p>
      <w:pPr>
        <w:pStyle w:val="2"/>
        <w:spacing w:line="500" w:lineRule="exact"/>
        <w:ind w:firstLine="495" w:firstLineChars="236"/>
        <w:outlineLvl w:val="9"/>
        <w:rPr>
          <w:rFonts w:ascii="宋体" w:hAnsi="宋体"/>
          <w:b w:val="0"/>
          <w:szCs w:val="21"/>
        </w:rPr>
      </w:pPr>
      <w:r>
        <w:rPr>
          <w:rFonts w:hint="eastAsia" w:ascii="宋体" w:hAnsi="宋体"/>
          <w:b w:val="0"/>
          <w:szCs w:val="21"/>
        </w:rPr>
        <w:t>（3）本合同通用条款第5.7款提到的受托人未按本合同专用条款的约定，泄露了与本合同工程相关的任何招标资料和情况；</w:t>
      </w:r>
    </w:p>
    <w:p>
      <w:pPr>
        <w:pStyle w:val="2"/>
        <w:spacing w:line="500" w:lineRule="exact"/>
        <w:ind w:firstLine="495" w:firstLineChars="236"/>
        <w:outlineLvl w:val="9"/>
        <w:rPr>
          <w:rFonts w:ascii="宋体" w:hAnsi="宋体"/>
          <w:b w:val="0"/>
          <w:szCs w:val="21"/>
        </w:rPr>
      </w:pPr>
      <w:r>
        <w:rPr>
          <w:rFonts w:hint="eastAsia" w:ascii="宋体" w:hAnsi="宋体"/>
          <w:b w:val="0"/>
          <w:szCs w:val="21"/>
        </w:rPr>
        <w:t>（4）受托人不履行合同义务或不按合同约定履行义务的其他情况。</w:t>
      </w:r>
    </w:p>
    <w:p>
      <w:pPr>
        <w:pStyle w:val="2"/>
        <w:spacing w:line="500" w:lineRule="exact"/>
        <w:ind w:firstLine="495" w:firstLineChars="236"/>
        <w:outlineLvl w:val="9"/>
        <w:rPr>
          <w:rFonts w:ascii="宋体" w:hAnsi="宋体"/>
          <w:b w:val="0"/>
          <w:szCs w:val="21"/>
        </w:rPr>
      </w:pPr>
      <w:r>
        <w:rPr>
          <w:rFonts w:hint="eastAsia" w:ascii="宋体" w:hAnsi="宋体"/>
          <w:b w:val="0"/>
          <w:szCs w:val="21"/>
        </w:rPr>
        <w:t>受托人承担违约责任，赔偿因其违约给委托人造成的经济损失，双方在本合同专用条款内约定受托人赔偿委托人损失的计算方法或受托人应当支付违约金的数额或计算方法。</w:t>
      </w:r>
    </w:p>
    <w:p>
      <w:pPr>
        <w:pStyle w:val="2"/>
        <w:spacing w:line="500" w:lineRule="exact"/>
        <w:ind w:firstLine="495" w:firstLineChars="236"/>
        <w:outlineLvl w:val="9"/>
        <w:rPr>
          <w:rFonts w:ascii="宋体" w:hAnsi="宋体"/>
          <w:b w:val="0"/>
          <w:szCs w:val="21"/>
        </w:rPr>
      </w:pPr>
      <w:r>
        <w:rPr>
          <w:rFonts w:hint="eastAsia" w:ascii="宋体" w:hAnsi="宋体"/>
          <w:b w:val="0"/>
          <w:szCs w:val="21"/>
        </w:rPr>
        <w:t>10.3  第三方违约。如果一方的违约被认定为是与第三方共同造成的，则应由合同双方中有违约的一方先行向另一方承担全部违约责任，再由承担违约责任的一方向第三方追索。</w:t>
      </w:r>
    </w:p>
    <w:p>
      <w:pPr>
        <w:pStyle w:val="2"/>
        <w:spacing w:line="500" w:lineRule="exact"/>
        <w:ind w:firstLine="495" w:firstLineChars="236"/>
        <w:outlineLvl w:val="9"/>
        <w:rPr>
          <w:rFonts w:ascii="宋体" w:hAnsi="宋体"/>
          <w:b w:val="0"/>
          <w:szCs w:val="21"/>
        </w:rPr>
      </w:pPr>
      <w:r>
        <w:rPr>
          <w:rFonts w:hint="eastAsia" w:ascii="宋体" w:hAnsi="宋体"/>
          <w:b w:val="0"/>
          <w:szCs w:val="21"/>
        </w:rPr>
        <w:t>11、索赔</w:t>
      </w:r>
    </w:p>
    <w:p>
      <w:pPr>
        <w:pStyle w:val="2"/>
        <w:spacing w:line="500" w:lineRule="exact"/>
        <w:ind w:firstLine="495" w:firstLineChars="236"/>
        <w:outlineLvl w:val="9"/>
        <w:rPr>
          <w:rFonts w:ascii="宋体" w:hAnsi="宋体"/>
          <w:b w:val="0"/>
          <w:szCs w:val="21"/>
        </w:rPr>
      </w:pPr>
      <w:r>
        <w:rPr>
          <w:rFonts w:hint="eastAsia" w:ascii="宋体" w:hAnsi="宋体"/>
          <w:b w:val="0"/>
          <w:szCs w:val="21"/>
        </w:rPr>
        <w:t>11.1当事人一方向另一方提出索赔时，要有正当的索赔理由，且有索赔事件发生时的有效证据。</w:t>
      </w:r>
    </w:p>
    <w:p>
      <w:pPr>
        <w:pStyle w:val="2"/>
        <w:spacing w:line="500" w:lineRule="exact"/>
        <w:ind w:firstLine="495" w:firstLineChars="236"/>
        <w:outlineLvl w:val="9"/>
        <w:rPr>
          <w:rFonts w:ascii="宋体" w:hAnsi="宋体"/>
          <w:b w:val="0"/>
          <w:szCs w:val="21"/>
        </w:rPr>
      </w:pPr>
      <w:r>
        <w:rPr>
          <w:rFonts w:hint="eastAsia" w:ascii="宋体" w:hAnsi="宋体"/>
          <w:b w:val="0"/>
          <w:szCs w:val="21"/>
        </w:rPr>
        <w:t>11.2委托人未能按合同约定履行自己的各项义务，或者发生应由委托人承担责任的其他情况，给受托人造成损失，受托人可按下列程序以书面形式向委托人索赔：</w:t>
      </w:r>
    </w:p>
    <w:p>
      <w:pPr>
        <w:pStyle w:val="2"/>
        <w:spacing w:line="500" w:lineRule="exact"/>
        <w:ind w:firstLine="495" w:firstLineChars="236"/>
        <w:outlineLvl w:val="9"/>
        <w:rPr>
          <w:rFonts w:ascii="宋体" w:hAnsi="宋体"/>
          <w:b w:val="0"/>
          <w:szCs w:val="21"/>
        </w:rPr>
      </w:pPr>
      <w:r>
        <w:rPr>
          <w:rFonts w:hint="eastAsia" w:ascii="宋体" w:hAnsi="宋体"/>
          <w:b w:val="0"/>
          <w:szCs w:val="21"/>
        </w:rPr>
        <w:t>（1）索赔事件发生后7天内，向委托人发出书面索赔报告及有关资料；</w:t>
      </w:r>
    </w:p>
    <w:p>
      <w:pPr>
        <w:pStyle w:val="2"/>
        <w:spacing w:line="500" w:lineRule="exact"/>
        <w:ind w:firstLine="495" w:firstLineChars="236"/>
        <w:outlineLvl w:val="9"/>
        <w:rPr>
          <w:rFonts w:ascii="宋体" w:hAnsi="宋体"/>
          <w:b w:val="0"/>
          <w:szCs w:val="21"/>
        </w:rPr>
      </w:pPr>
      <w:r>
        <w:rPr>
          <w:rFonts w:hint="eastAsia" w:ascii="宋体" w:hAnsi="宋体"/>
          <w:b w:val="0"/>
          <w:szCs w:val="21"/>
        </w:rPr>
        <w:t>（2）委托人收到受托人的索赔报告及有关资料后，于7天内给予答复，或要求受托人进一步补充索赔理由和证据；</w:t>
      </w:r>
    </w:p>
    <w:p>
      <w:pPr>
        <w:pStyle w:val="2"/>
        <w:spacing w:line="500" w:lineRule="exact"/>
        <w:ind w:firstLine="495" w:firstLineChars="236"/>
        <w:outlineLvl w:val="9"/>
        <w:rPr>
          <w:rFonts w:ascii="宋体" w:hAnsi="宋体"/>
          <w:b w:val="0"/>
          <w:szCs w:val="21"/>
        </w:rPr>
      </w:pPr>
      <w:r>
        <w:rPr>
          <w:rFonts w:hint="eastAsia" w:ascii="宋体" w:hAnsi="宋体"/>
          <w:b w:val="0"/>
          <w:szCs w:val="21"/>
        </w:rPr>
        <w:t>（3）委托人在收到受托人送交的书面索赔报告和有关资料后7天内未予答复，或未对受托人作进一步要求，经受托人书面催告在10个工作日内仍不纠正的，视为该项索赔已经认可。</w:t>
      </w:r>
    </w:p>
    <w:p>
      <w:pPr>
        <w:pStyle w:val="2"/>
        <w:spacing w:line="500" w:lineRule="exact"/>
        <w:ind w:firstLine="495" w:firstLineChars="236"/>
        <w:outlineLvl w:val="9"/>
        <w:rPr>
          <w:rFonts w:ascii="宋体" w:hAnsi="宋体"/>
          <w:b w:val="0"/>
          <w:szCs w:val="21"/>
        </w:rPr>
      </w:pPr>
      <w:r>
        <w:rPr>
          <w:rFonts w:hint="eastAsia" w:ascii="宋体" w:hAnsi="宋体"/>
          <w:b w:val="0"/>
          <w:szCs w:val="21"/>
        </w:rPr>
        <w:t>11.3受托人未能按合同约定履行自己的各项义务，或者发生应由受托人承担责任的其他情况，给委托人造成经济损失，委托人可按11.2款确定的时限和程序向受托人提出索赔。</w:t>
      </w:r>
    </w:p>
    <w:p>
      <w:pPr>
        <w:pStyle w:val="2"/>
        <w:spacing w:line="500" w:lineRule="exact"/>
        <w:ind w:firstLine="495" w:firstLineChars="236"/>
        <w:outlineLvl w:val="9"/>
        <w:rPr>
          <w:rFonts w:ascii="宋体" w:hAnsi="宋体"/>
          <w:b w:val="0"/>
          <w:szCs w:val="21"/>
        </w:rPr>
      </w:pPr>
      <w:r>
        <w:rPr>
          <w:rFonts w:hint="eastAsia" w:ascii="宋体" w:hAnsi="宋体"/>
          <w:b w:val="0"/>
          <w:szCs w:val="21"/>
        </w:rPr>
        <w:t>12、争议</w:t>
      </w:r>
    </w:p>
    <w:p>
      <w:pPr>
        <w:pStyle w:val="2"/>
        <w:spacing w:line="500" w:lineRule="exact"/>
        <w:ind w:firstLine="495" w:firstLineChars="236"/>
        <w:outlineLvl w:val="9"/>
        <w:rPr>
          <w:rFonts w:ascii="宋体" w:hAnsi="宋体"/>
          <w:b w:val="0"/>
          <w:szCs w:val="21"/>
        </w:rPr>
      </w:pPr>
      <w:r>
        <w:rPr>
          <w:rFonts w:hint="eastAsia" w:ascii="宋体" w:hAnsi="宋体"/>
          <w:b w:val="0"/>
          <w:szCs w:val="21"/>
        </w:rPr>
        <w:t>12.1  委托人和受托人履行合同时发生争议，可以和解或者向有关部门或机构申请调解。当事人不愿和解、调解或者和解、调解不成的，双方可以在本合同专用条款约定以下一种方式解决争议：</w:t>
      </w:r>
    </w:p>
    <w:p>
      <w:pPr>
        <w:pStyle w:val="2"/>
        <w:spacing w:line="500" w:lineRule="exact"/>
        <w:ind w:firstLine="495" w:firstLineChars="236"/>
        <w:outlineLvl w:val="9"/>
        <w:rPr>
          <w:rFonts w:ascii="宋体" w:hAnsi="宋体"/>
          <w:b w:val="0"/>
          <w:szCs w:val="21"/>
        </w:rPr>
      </w:pPr>
      <w:r>
        <w:rPr>
          <w:rFonts w:hint="eastAsia" w:ascii="宋体" w:hAnsi="宋体"/>
          <w:b w:val="0"/>
          <w:szCs w:val="21"/>
        </w:rPr>
        <w:t>（1）双方达成仲裁协议，向约定的仲裁委员会申请仲裁；</w:t>
      </w:r>
    </w:p>
    <w:p>
      <w:pPr>
        <w:pStyle w:val="2"/>
        <w:spacing w:line="500" w:lineRule="exact"/>
        <w:ind w:firstLine="495" w:firstLineChars="236"/>
        <w:outlineLvl w:val="9"/>
        <w:rPr>
          <w:rFonts w:ascii="宋体" w:hAnsi="宋体"/>
          <w:b w:val="0"/>
          <w:szCs w:val="21"/>
        </w:rPr>
      </w:pPr>
      <w:r>
        <w:rPr>
          <w:rFonts w:hint="eastAsia" w:ascii="宋体" w:hAnsi="宋体"/>
          <w:b w:val="0"/>
          <w:szCs w:val="21"/>
        </w:rPr>
        <w:t>（2）向有管辖权的人民法院起诉。</w:t>
      </w:r>
    </w:p>
    <w:p>
      <w:pPr>
        <w:pStyle w:val="2"/>
        <w:spacing w:line="500" w:lineRule="exact"/>
        <w:ind w:firstLine="498" w:firstLineChars="236"/>
        <w:outlineLvl w:val="9"/>
        <w:rPr>
          <w:rFonts w:ascii="宋体" w:hAnsi="宋体"/>
          <w:b w:val="0"/>
          <w:szCs w:val="21"/>
        </w:rPr>
      </w:pPr>
      <w:r>
        <w:rPr>
          <w:rFonts w:hint="eastAsia" w:ascii="宋体" w:hAnsi="宋体"/>
          <w:szCs w:val="21"/>
        </w:rPr>
        <w:t>五、合同变更、生效与终止</w:t>
      </w:r>
    </w:p>
    <w:p>
      <w:pPr>
        <w:pStyle w:val="2"/>
        <w:spacing w:line="500" w:lineRule="exact"/>
        <w:ind w:firstLine="495" w:firstLineChars="236"/>
        <w:outlineLvl w:val="9"/>
        <w:rPr>
          <w:rFonts w:ascii="宋体" w:hAnsi="宋体"/>
          <w:b w:val="0"/>
          <w:szCs w:val="21"/>
        </w:rPr>
      </w:pPr>
      <w:r>
        <w:rPr>
          <w:rFonts w:hint="eastAsia" w:ascii="宋体" w:hAnsi="宋体"/>
          <w:b w:val="0"/>
          <w:szCs w:val="21"/>
        </w:rPr>
        <w:t>13、合同变更或解除</w:t>
      </w:r>
    </w:p>
    <w:p>
      <w:pPr>
        <w:pStyle w:val="2"/>
        <w:spacing w:line="500" w:lineRule="exact"/>
        <w:ind w:firstLine="495" w:firstLineChars="236"/>
        <w:outlineLvl w:val="9"/>
        <w:rPr>
          <w:rFonts w:ascii="宋体" w:hAnsi="宋体"/>
          <w:b w:val="0"/>
          <w:szCs w:val="21"/>
        </w:rPr>
      </w:pPr>
      <w:r>
        <w:rPr>
          <w:rFonts w:hint="eastAsia" w:ascii="宋体" w:hAnsi="宋体"/>
          <w:b w:val="0"/>
          <w:szCs w:val="21"/>
        </w:rPr>
        <w:t>13.1本合同签订后，由于委托人原因，使得受托人不能持续履行招标代理业务时，委托人应及时通知受托人暂停招标代理业务。当需要恢复招标代理业务时，应当在正式恢复前7天通知受托人。</w:t>
      </w:r>
    </w:p>
    <w:p>
      <w:pPr>
        <w:pStyle w:val="2"/>
        <w:spacing w:line="500" w:lineRule="exact"/>
        <w:ind w:firstLine="495" w:firstLineChars="236"/>
        <w:outlineLvl w:val="9"/>
        <w:rPr>
          <w:rFonts w:ascii="宋体" w:hAnsi="宋体"/>
          <w:b w:val="0"/>
          <w:szCs w:val="21"/>
        </w:rPr>
      </w:pPr>
      <w:r>
        <w:rPr>
          <w:rFonts w:hint="eastAsia" w:ascii="宋体" w:hAnsi="宋体"/>
          <w:b w:val="0"/>
          <w:szCs w:val="21"/>
        </w:rPr>
        <w:t>若暂停时间超过十二个月，当需要恢复招标代理业务时，委托人应支付重新启动该招标代理工作一定的补偿费用，具体计算方式经双方协商以补充协议确定。</w:t>
      </w:r>
    </w:p>
    <w:p>
      <w:pPr>
        <w:pStyle w:val="2"/>
        <w:spacing w:line="500" w:lineRule="exact"/>
        <w:ind w:firstLine="495" w:firstLineChars="236"/>
        <w:outlineLvl w:val="9"/>
        <w:rPr>
          <w:rFonts w:ascii="宋体" w:hAnsi="宋体"/>
          <w:b w:val="0"/>
          <w:szCs w:val="21"/>
        </w:rPr>
      </w:pPr>
      <w:r>
        <w:rPr>
          <w:rFonts w:hint="eastAsia" w:ascii="宋体" w:hAnsi="宋体"/>
          <w:b w:val="0"/>
          <w:szCs w:val="21"/>
        </w:rPr>
        <w:t>13.2 本合同签订后，如因法律、行政法规发生变化或由于任何后续新颁布的法律、行政法规导致服务所需的成本或时间发生改变，则本合同约定的服务报酬不变，双方仅就服务期限签订补充协议进行相应调整。</w:t>
      </w:r>
    </w:p>
    <w:p>
      <w:pPr>
        <w:pStyle w:val="2"/>
        <w:spacing w:line="500" w:lineRule="exact"/>
        <w:ind w:firstLine="495" w:firstLineChars="236"/>
        <w:outlineLvl w:val="9"/>
        <w:rPr>
          <w:rFonts w:ascii="宋体" w:hAnsi="宋体"/>
          <w:b w:val="0"/>
          <w:szCs w:val="21"/>
        </w:rPr>
      </w:pPr>
      <w:r>
        <w:rPr>
          <w:rFonts w:hint="eastAsia" w:ascii="宋体" w:hAnsi="宋体"/>
          <w:b w:val="0"/>
          <w:szCs w:val="21"/>
        </w:rPr>
        <w:t>13.3 本合同当事人一方要求变更或解除合同时，除法律、行政法规另有规定外，应与对方当事人协商一致并达成书面协议。未达成书面协议的，本合同依然有效。</w:t>
      </w:r>
    </w:p>
    <w:p>
      <w:pPr>
        <w:pStyle w:val="2"/>
        <w:spacing w:line="500" w:lineRule="exact"/>
        <w:ind w:firstLine="495" w:firstLineChars="236"/>
        <w:outlineLvl w:val="9"/>
        <w:rPr>
          <w:rFonts w:ascii="宋体" w:hAnsi="宋体"/>
          <w:b w:val="0"/>
          <w:szCs w:val="21"/>
        </w:rPr>
      </w:pPr>
      <w:r>
        <w:rPr>
          <w:rFonts w:hint="eastAsia" w:ascii="宋体" w:hAnsi="宋体"/>
          <w:b w:val="0"/>
          <w:szCs w:val="21"/>
        </w:rPr>
        <w:t>13.4 因解除合同使当事人一方遭受损失的，除依法可以免除责任外，应由责任方负责赔偿对方的损失，赔偿方法与金额由双方在协议书约定。</w:t>
      </w:r>
    </w:p>
    <w:p>
      <w:pPr>
        <w:pStyle w:val="2"/>
        <w:spacing w:line="500" w:lineRule="exact"/>
        <w:ind w:firstLine="495" w:firstLineChars="236"/>
        <w:outlineLvl w:val="9"/>
        <w:rPr>
          <w:rFonts w:ascii="宋体" w:hAnsi="宋体"/>
          <w:b w:val="0"/>
          <w:szCs w:val="21"/>
        </w:rPr>
      </w:pPr>
      <w:r>
        <w:rPr>
          <w:rFonts w:hint="eastAsia" w:ascii="宋体" w:hAnsi="宋体"/>
          <w:b w:val="0"/>
          <w:szCs w:val="21"/>
        </w:rPr>
        <w:t>14、合同生效</w:t>
      </w:r>
    </w:p>
    <w:p>
      <w:pPr>
        <w:pStyle w:val="2"/>
        <w:spacing w:line="500" w:lineRule="exact"/>
        <w:ind w:firstLine="495" w:firstLineChars="236"/>
        <w:outlineLvl w:val="9"/>
        <w:rPr>
          <w:rFonts w:ascii="宋体" w:hAnsi="宋体"/>
          <w:b w:val="0"/>
          <w:szCs w:val="21"/>
        </w:rPr>
      </w:pPr>
      <w:r>
        <w:rPr>
          <w:rFonts w:hint="eastAsia" w:ascii="宋体" w:hAnsi="宋体"/>
          <w:b w:val="0"/>
          <w:szCs w:val="21"/>
        </w:rPr>
        <w:t>14.1除生效条件双方在协议书中另有约定外，本合同自双方签字盖章之日起生效。</w:t>
      </w:r>
    </w:p>
    <w:p>
      <w:pPr>
        <w:pStyle w:val="2"/>
        <w:spacing w:line="500" w:lineRule="exact"/>
        <w:ind w:firstLine="495" w:firstLineChars="236"/>
        <w:outlineLvl w:val="9"/>
        <w:rPr>
          <w:rFonts w:ascii="宋体" w:hAnsi="宋体"/>
          <w:b w:val="0"/>
          <w:szCs w:val="21"/>
        </w:rPr>
      </w:pPr>
      <w:r>
        <w:rPr>
          <w:rFonts w:hint="eastAsia" w:ascii="宋体" w:hAnsi="宋体"/>
          <w:b w:val="0"/>
          <w:szCs w:val="21"/>
        </w:rPr>
        <w:t>15、合同终止</w:t>
      </w:r>
    </w:p>
    <w:p>
      <w:pPr>
        <w:pStyle w:val="2"/>
        <w:spacing w:line="500" w:lineRule="exact"/>
        <w:ind w:firstLine="495" w:firstLineChars="236"/>
        <w:outlineLvl w:val="9"/>
        <w:rPr>
          <w:rFonts w:ascii="宋体" w:hAnsi="宋体"/>
          <w:b w:val="0"/>
          <w:szCs w:val="21"/>
        </w:rPr>
      </w:pPr>
      <w:r>
        <w:rPr>
          <w:rFonts w:hint="eastAsia" w:ascii="宋体" w:hAnsi="宋体"/>
          <w:b w:val="0"/>
          <w:szCs w:val="21"/>
        </w:rPr>
        <w:t>15.1 受托人完成委托人全部委托招标代理业务，且委托人或中标人支付了全部代理报酬（含附加服务的报酬）后本合同终止。</w:t>
      </w:r>
    </w:p>
    <w:p>
      <w:pPr>
        <w:pStyle w:val="2"/>
        <w:spacing w:line="500" w:lineRule="exact"/>
        <w:ind w:firstLine="495" w:firstLineChars="236"/>
        <w:outlineLvl w:val="9"/>
        <w:rPr>
          <w:rFonts w:ascii="宋体" w:hAnsi="宋体"/>
          <w:b w:val="0"/>
          <w:szCs w:val="21"/>
        </w:rPr>
      </w:pPr>
      <w:r>
        <w:rPr>
          <w:rFonts w:hint="eastAsia" w:ascii="宋体" w:hAnsi="宋体"/>
          <w:b w:val="0"/>
          <w:szCs w:val="21"/>
        </w:rPr>
        <w:t>15.2 本合同终止并不影响各方应有的权利和应承担的义务。</w:t>
      </w:r>
    </w:p>
    <w:p>
      <w:pPr>
        <w:pStyle w:val="2"/>
        <w:spacing w:line="500" w:lineRule="exact"/>
        <w:ind w:firstLine="495" w:firstLineChars="236"/>
        <w:outlineLvl w:val="9"/>
        <w:rPr>
          <w:rFonts w:ascii="宋体" w:hAnsi="宋体"/>
          <w:b w:val="0"/>
          <w:szCs w:val="21"/>
        </w:rPr>
      </w:pPr>
      <w:r>
        <w:rPr>
          <w:rFonts w:hint="eastAsia" w:ascii="宋体" w:hAnsi="宋体"/>
          <w:b w:val="0"/>
          <w:szCs w:val="21"/>
        </w:rPr>
        <w:t>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pStyle w:val="2"/>
        <w:spacing w:line="500" w:lineRule="exact"/>
        <w:ind w:firstLine="495" w:firstLineChars="236"/>
        <w:outlineLvl w:val="9"/>
        <w:rPr>
          <w:rFonts w:ascii="宋体" w:hAnsi="宋体"/>
          <w:b w:val="0"/>
          <w:szCs w:val="21"/>
        </w:rPr>
      </w:pPr>
      <w:r>
        <w:rPr>
          <w:rFonts w:hint="eastAsia" w:ascii="宋体" w:hAnsi="宋体"/>
          <w:b w:val="0"/>
          <w:szCs w:val="21"/>
        </w:rPr>
        <w:t>15.4 本合同的权利和义务终止后，委托人和受托人应当遵循诚实信用原则，履行通知、协助、保密等义务。</w:t>
      </w:r>
    </w:p>
    <w:p>
      <w:pPr>
        <w:pStyle w:val="2"/>
        <w:spacing w:line="500" w:lineRule="exact"/>
        <w:ind w:firstLine="498" w:firstLineChars="236"/>
        <w:outlineLvl w:val="9"/>
        <w:rPr>
          <w:rFonts w:ascii="宋体" w:hAnsi="宋体"/>
          <w:b w:val="0"/>
          <w:szCs w:val="21"/>
        </w:rPr>
      </w:pPr>
      <w:r>
        <w:rPr>
          <w:rFonts w:hint="eastAsia" w:ascii="宋体" w:hAnsi="宋体"/>
          <w:szCs w:val="21"/>
        </w:rPr>
        <w:t>六、其他</w:t>
      </w:r>
    </w:p>
    <w:p>
      <w:pPr>
        <w:pStyle w:val="2"/>
        <w:spacing w:line="500" w:lineRule="exact"/>
        <w:ind w:firstLine="495" w:firstLineChars="236"/>
        <w:outlineLvl w:val="9"/>
        <w:rPr>
          <w:rFonts w:ascii="宋体" w:hAnsi="宋体"/>
          <w:b w:val="0"/>
          <w:szCs w:val="21"/>
        </w:rPr>
      </w:pPr>
      <w:r>
        <w:rPr>
          <w:rFonts w:hint="eastAsia" w:ascii="宋体" w:hAnsi="宋体"/>
          <w:b w:val="0"/>
          <w:szCs w:val="21"/>
        </w:rPr>
        <w:t>16、合同的份数</w:t>
      </w:r>
    </w:p>
    <w:p>
      <w:pPr>
        <w:pStyle w:val="2"/>
        <w:spacing w:line="500" w:lineRule="exact"/>
        <w:ind w:firstLine="495" w:firstLineChars="236"/>
        <w:outlineLvl w:val="9"/>
        <w:rPr>
          <w:rFonts w:ascii="宋体" w:hAnsi="宋体"/>
          <w:b w:val="0"/>
          <w:szCs w:val="21"/>
        </w:rPr>
      </w:pPr>
      <w:r>
        <w:rPr>
          <w:rFonts w:hint="eastAsia" w:ascii="宋体" w:hAnsi="宋体"/>
          <w:b w:val="0"/>
          <w:szCs w:val="21"/>
        </w:rPr>
        <w:t>16.1 本合同正本一式两份，委托人和受托人各执一份。副本根据双方需要在本合同专用条款内约定。</w:t>
      </w:r>
    </w:p>
    <w:p>
      <w:pPr>
        <w:pStyle w:val="2"/>
        <w:spacing w:line="500" w:lineRule="exact"/>
        <w:ind w:firstLine="495" w:firstLineChars="236"/>
        <w:outlineLvl w:val="9"/>
        <w:rPr>
          <w:rFonts w:ascii="宋体" w:hAnsi="宋体"/>
          <w:b w:val="0"/>
          <w:szCs w:val="21"/>
        </w:rPr>
      </w:pPr>
      <w:r>
        <w:rPr>
          <w:rFonts w:hint="eastAsia" w:ascii="宋体" w:hAnsi="宋体"/>
          <w:b w:val="0"/>
          <w:szCs w:val="21"/>
        </w:rPr>
        <w:t>17、补充条款</w:t>
      </w:r>
    </w:p>
    <w:p>
      <w:pPr>
        <w:pStyle w:val="7"/>
        <w:spacing w:line="500" w:lineRule="exact"/>
        <w:ind w:firstLine="495" w:firstLineChars="236"/>
        <w:jc w:val="left"/>
        <w:rPr>
          <w:rFonts w:ascii="宋体" w:hAnsi="宋体"/>
          <w:sz w:val="21"/>
          <w:szCs w:val="21"/>
        </w:rPr>
      </w:pPr>
      <w:r>
        <w:rPr>
          <w:rFonts w:hint="eastAsia" w:ascii="宋体" w:hAnsi="宋体"/>
          <w:sz w:val="21"/>
          <w:szCs w:val="21"/>
        </w:rPr>
        <w:t>双方根据有关法律、行政法规规定，结合本合同招标工程实际，经协商一致后，可对本合同通用条款未涉及的内容进行补充。</w:t>
      </w:r>
    </w:p>
    <w:p>
      <w:pPr>
        <w:spacing w:line="500" w:lineRule="exact"/>
        <w:jc w:val="center"/>
        <w:rPr>
          <w:rFonts w:ascii="宋体" w:hAnsi="宋体"/>
        </w:rPr>
      </w:pPr>
    </w:p>
    <w:p>
      <w:pPr>
        <w:pStyle w:val="7"/>
        <w:spacing w:line="500" w:lineRule="exact"/>
        <w:rPr>
          <w:rFonts w:ascii="宋体" w:hAnsi="宋体"/>
          <w:sz w:val="21"/>
        </w:rPr>
      </w:pPr>
    </w:p>
    <w:p/>
    <w:p>
      <w:pPr>
        <w:rPr>
          <w:rFonts w:ascii="宋体" w:hAnsi="宋体"/>
        </w:rPr>
      </w:pPr>
    </w:p>
    <w:p>
      <w:pPr>
        <w:rPr>
          <w:rFonts w:ascii="Calibri" w:hAnsi="Calibri" w:cs="Arial"/>
          <w:b/>
          <w:bCs/>
          <w:sz w:val="28"/>
          <w:szCs w:val="20"/>
        </w:rPr>
      </w:pPr>
      <w:r>
        <w:rPr>
          <w:rFonts w:hint="eastAsia" w:ascii="Calibri" w:hAnsi="Calibri" w:cs="Arial"/>
          <w:b/>
          <w:bCs/>
          <w:sz w:val="28"/>
          <w:szCs w:val="20"/>
        </w:rPr>
        <w:br w:type="page"/>
      </w:r>
    </w:p>
    <w:p>
      <w:pPr>
        <w:pStyle w:val="37"/>
        <w:spacing w:line="500" w:lineRule="exact"/>
        <w:jc w:val="center"/>
        <w:outlineLvl w:val="2"/>
        <w:rPr>
          <w:rFonts w:ascii="Calibri" w:hAnsi="Calibri" w:cs="Arial"/>
          <w:b/>
          <w:bCs/>
          <w:kern w:val="2"/>
          <w:sz w:val="28"/>
          <w:szCs w:val="20"/>
        </w:rPr>
      </w:pPr>
      <w:bookmarkStart w:id="546" w:name="_Toc17516"/>
      <w:r>
        <w:rPr>
          <w:rFonts w:hint="eastAsia" w:ascii="Calibri" w:hAnsi="Calibri" w:cs="Arial"/>
          <w:b/>
          <w:bCs/>
          <w:kern w:val="2"/>
          <w:sz w:val="28"/>
          <w:szCs w:val="20"/>
        </w:rPr>
        <w:t>第三部分 合同专用条款</w:t>
      </w:r>
      <w:bookmarkEnd w:id="546"/>
    </w:p>
    <w:p>
      <w:pPr>
        <w:pStyle w:val="7"/>
        <w:spacing w:line="500" w:lineRule="exact"/>
      </w:pPr>
    </w:p>
    <w:p>
      <w:pPr>
        <w:pStyle w:val="5"/>
        <w:bidi w:val="0"/>
        <w:jc w:val="center"/>
        <w:rPr>
          <w:b/>
          <w:bCs w:val="0"/>
          <w:sz w:val="24"/>
          <w:szCs w:val="24"/>
        </w:rPr>
      </w:pPr>
      <w:bookmarkStart w:id="547" w:name="_Toc2088"/>
      <w:r>
        <w:rPr>
          <w:rFonts w:hint="eastAsia"/>
          <w:b/>
          <w:bCs w:val="0"/>
          <w:sz w:val="24"/>
          <w:szCs w:val="24"/>
          <w:lang w:val="en-US" w:eastAsia="zh-CN"/>
        </w:rPr>
        <w:t>1.</w:t>
      </w:r>
      <w:r>
        <w:rPr>
          <w:rFonts w:hint="eastAsia"/>
          <w:b/>
          <w:bCs w:val="0"/>
          <w:sz w:val="24"/>
          <w:szCs w:val="24"/>
        </w:rPr>
        <w:t>项目管理部分</w:t>
      </w:r>
      <w:bookmarkEnd w:id="547"/>
    </w:p>
    <w:p>
      <w:pPr>
        <w:spacing w:line="500" w:lineRule="exact"/>
        <w:jc w:val="center"/>
        <w:rPr>
          <w:rFonts w:ascii="宋体" w:hAnsi="宋体"/>
          <w:b/>
          <w:bCs/>
          <w:szCs w:val="21"/>
        </w:rPr>
      </w:pPr>
      <w:r>
        <w:rPr>
          <w:rFonts w:hint="eastAsia" w:ascii="宋体" w:hAnsi="宋体"/>
          <w:b/>
          <w:bCs/>
          <w:szCs w:val="21"/>
        </w:rPr>
        <w:t>第一节  定义、解释和一般约定</w:t>
      </w:r>
    </w:p>
    <w:p>
      <w:pPr>
        <w:spacing w:line="500" w:lineRule="exact"/>
        <w:jc w:val="left"/>
        <w:rPr>
          <w:rFonts w:ascii="宋体" w:hAnsi="宋体"/>
          <w:b/>
          <w:bCs/>
          <w:szCs w:val="21"/>
        </w:rPr>
      </w:pPr>
      <w:r>
        <w:rPr>
          <w:rFonts w:hint="eastAsia" w:ascii="宋体" w:hAnsi="宋体"/>
          <w:b/>
          <w:bCs/>
          <w:szCs w:val="21"/>
        </w:rPr>
        <w:t>第1条</w:t>
      </w:r>
      <w:r>
        <w:rPr>
          <w:rFonts w:ascii="宋体" w:hAnsi="宋体"/>
          <w:b/>
          <w:bCs/>
          <w:szCs w:val="21"/>
        </w:rPr>
        <w:t xml:space="preserve">  </w:t>
      </w:r>
      <w:r>
        <w:rPr>
          <w:rFonts w:hint="eastAsia" w:ascii="宋体" w:hAnsi="宋体"/>
          <w:b/>
          <w:bCs/>
          <w:szCs w:val="21"/>
        </w:rPr>
        <w:t>词语定义</w:t>
      </w:r>
    </w:p>
    <w:p>
      <w:pPr>
        <w:pStyle w:val="33"/>
        <w:spacing w:line="500" w:lineRule="exact"/>
        <w:rPr>
          <w:rFonts w:ascii="宋体" w:hAnsi="宋体"/>
          <w:szCs w:val="21"/>
        </w:rPr>
      </w:pPr>
      <w:r>
        <w:rPr>
          <w:rFonts w:hint="eastAsia" w:ascii="宋体" w:hAnsi="宋体"/>
          <w:szCs w:val="21"/>
        </w:rPr>
        <w:t>1.1  合同</w:t>
      </w:r>
    </w:p>
    <w:p>
      <w:pPr>
        <w:pStyle w:val="33"/>
        <w:spacing w:line="500" w:lineRule="exact"/>
        <w:ind w:left="0" w:firstLine="426"/>
        <w:rPr>
          <w:rFonts w:ascii="宋体" w:hAnsi="宋体"/>
          <w:szCs w:val="21"/>
          <w:u w:val="single"/>
        </w:rPr>
      </w:pPr>
      <w:r>
        <w:rPr>
          <w:rFonts w:hint="eastAsia" w:ascii="宋体" w:hAnsi="宋体"/>
          <w:szCs w:val="21"/>
        </w:rPr>
        <w:t>1.1.5  其他合同文件，包括：</w:t>
      </w:r>
      <w:r>
        <w:rPr>
          <w:rFonts w:hint="eastAsia" w:ascii="宋体" w:hAnsi="宋体"/>
          <w:szCs w:val="21"/>
          <w:u w:val="single"/>
        </w:rPr>
        <w:t xml:space="preserve">                                    </w:t>
      </w:r>
      <w:r>
        <w:rPr>
          <w:rFonts w:hint="eastAsia" w:ascii="宋体" w:hAnsi="宋体"/>
          <w:szCs w:val="21"/>
        </w:rPr>
        <w:t>。</w:t>
      </w:r>
    </w:p>
    <w:p>
      <w:pPr>
        <w:pStyle w:val="33"/>
        <w:spacing w:line="500" w:lineRule="exact"/>
        <w:ind w:left="0" w:firstLine="426"/>
        <w:rPr>
          <w:rFonts w:ascii="宋体" w:hAnsi="宋体"/>
          <w:szCs w:val="21"/>
        </w:rPr>
      </w:pPr>
      <w:r>
        <w:rPr>
          <w:rFonts w:hint="eastAsia" w:ascii="宋体" w:hAnsi="宋体"/>
          <w:szCs w:val="21"/>
        </w:rPr>
        <w:t>1.1.6  经双方协商增加的额外工作包括：</w:t>
      </w:r>
      <w:r>
        <w:rPr>
          <w:rFonts w:hint="eastAsia" w:ascii="宋体" w:hAnsi="宋体"/>
          <w:kern w:val="0"/>
          <w:szCs w:val="21"/>
          <w:u w:val="single"/>
        </w:rPr>
        <w:t xml:space="preserve">                          </w:t>
      </w:r>
      <w:r>
        <w:rPr>
          <w:rFonts w:hint="eastAsia" w:ascii="宋体" w:hAnsi="宋体"/>
          <w:szCs w:val="21"/>
        </w:rPr>
        <w:t>。</w:t>
      </w:r>
    </w:p>
    <w:p>
      <w:pPr>
        <w:spacing w:line="500" w:lineRule="exact"/>
        <w:jc w:val="left"/>
        <w:rPr>
          <w:rFonts w:ascii="宋体" w:hAnsi="宋体"/>
          <w:b/>
          <w:bCs/>
          <w:szCs w:val="21"/>
        </w:rPr>
      </w:pPr>
      <w:r>
        <w:rPr>
          <w:rFonts w:hint="eastAsia" w:ascii="宋体" w:hAnsi="宋体"/>
          <w:b/>
          <w:bCs/>
          <w:szCs w:val="21"/>
        </w:rPr>
        <w:t>第2条</w:t>
      </w:r>
      <w:r>
        <w:rPr>
          <w:rFonts w:ascii="宋体" w:hAnsi="宋体"/>
          <w:b/>
          <w:bCs/>
          <w:szCs w:val="21"/>
        </w:rPr>
        <w:t xml:space="preserve">  </w:t>
      </w:r>
      <w:r>
        <w:rPr>
          <w:rFonts w:hint="eastAsia" w:ascii="宋体" w:hAnsi="宋体"/>
          <w:b/>
          <w:bCs/>
          <w:szCs w:val="21"/>
        </w:rPr>
        <w:t>解释</w:t>
      </w:r>
    </w:p>
    <w:p>
      <w:pPr>
        <w:pStyle w:val="33"/>
        <w:spacing w:line="500" w:lineRule="exact"/>
        <w:rPr>
          <w:rFonts w:ascii="宋体" w:hAnsi="宋体"/>
          <w:szCs w:val="21"/>
        </w:rPr>
      </w:pPr>
      <w:r>
        <w:rPr>
          <w:rFonts w:hint="eastAsia" w:ascii="宋体" w:hAnsi="宋体"/>
          <w:szCs w:val="21"/>
        </w:rPr>
        <w:t>2.1  语言文字</w:t>
      </w:r>
    </w:p>
    <w:p>
      <w:pPr>
        <w:pStyle w:val="33"/>
        <w:spacing w:line="500" w:lineRule="exact"/>
        <w:ind w:left="0" w:firstLine="426"/>
        <w:rPr>
          <w:rFonts w:ascii="宋体" w:hAnsi="宋体"/>
          <w:szCs w:val="21"/>
        </w:rPr>
      </w:pPr>
      <w:r>
        <w:rPr>
          <w:rFonts w:hint="eastAsia" w:ascii="宋体" w:hAnsi="宋体"/>
          <w:szCs w:val="21"/>
        </w:rPr>
        <w:t>本合同除使用汉语外，还使用</w:t>
      </w:r>
      <w:r>
        <w:rPr>
          <w:rFonts w:hint="eastAsia" w:ascii="宋体" w:hAnsi="宋体"/>
          <w:szCs w:val="21"/>
          <w:u w:val="single"/>
        </w:rPr>
        <w:t xml:space="preserve">          </w:t>
      </w:r>
      <w:r>
        <w:rPr>
          <w:rFonts w:hint="eastAsia" w:ascii="宋体" w:hAnsi="宋体"/>
          <w:szCs w:val="21"/>
        </w:rPr>
        <w:t>语言。</w:t>
      </w:r>
    </w:p>
    <w:p>
      <w:pPr>
        <w:pStyle w:val="33"/>
        <w:spacing w:line="500" w:lineRule="exact"/>
        <w:rPr>
          <w:rFonts w:ascii="宋体" w:hAnsi="宋体"/>
          <w:szCs w:val="21"/>
        </w:rPr>
      </w:pPr>
      <w:r>
        <w:rPr>
          <w:rFonts w:hint="eastAsia" w:ascii="宋体" w:hAnsi="宋体"/>
          <w:szCs w:val="21"/>
        </w:rPr>
        <w:t>2.2  法律</w:t>
      </w:r>
    </w:p>
    <w:p>
      <w:pPr>
        <w:pStyle w:val="33"/>
        <w:spacing w:line="500" w:lineRule="exact"/>
        <w:ind w:left="0" w:firstLine="371" w:firstLineChars="177"/>
        <w:rPr>
          <w:rFonts w:ascii="宋体" w:hAnsi="宋体"/>
          <w:szCs w:val="21"/>
        </w:rPr>
      </w:pPr>
      <w:r>
        <w:rPr>
          <w:rFonts w:hint="eastAsia" w:ascii="宋体" w:hAnsi="宋体"/>
          <w:szCs w:val="21"/>
        </w:rPr>
        <w:t>合同双方需要明示的法律、行政法规、地方性法规：</w:t>
      </w:r>
      <w:r>
        <w:rPr>
          <w:rFonts w:hint="eastAsia" w:ascii="宋体" w:hAnsi="宋体"/>
          <w:szCs w:val="21"/>
          <w:u w:val="single"/>
        </w:rPr>
        <w:t xml:space="preserve">                  </w:t>
      </w:r>
      <w:r>
        <w:rPr>
          <w:rFonts w:hint="eastAsia" w:ascii="宋体" w:hAnsi="宋体"/>
          <w:szCs w:val="21"/>
        </w:rPr>
        <w:t>。</w:t>
      </w:r>
    </w:p>
    <w:p>
      <w:pPr>
        <w:pStyle w:val="33"/>
        <w:spacing w:line="500" w:lineRule="exact"/>
        <w:rPr>
          <w:rFonts w:ascii="宋体" w:hAnsi="宋体"/>
          <w:szCs w:val="21"/>
        </w:rPr>
      </w:pPr>
    </w:p>
    <w:p>
      <w:pPr>
        <w:pStyle w:val="33"/>
        <w:spacing w:line="500" w:lineRule="exact"/>
        <w:jc w:val="center"/>
        <w:rPr>
          <w:rFonts w:ascii="宋体" w:hAnsi="宋体"/>
          <w:b/>
          <w:bCs/>
          <w:szCs w:val="21"/>
        </w:rPr>
      </w:pPr>
      <w:r>
        <w:rPr>
          <w:rFonts w:hint="eastAsia" w:ascii="宋体" w:hAnsi="宋体"/>
          <w:b/>
          <w:bCs/>
          <w:szCs w:val="21"/>
        </w:rPr>
        <w:t>第三节  合同双方的义务</w:t>
      </w:r>
    </w:p>
    <w:p>
      <w:pPr>
        <w:pStyle w:val="33"/>
        <w:spacing w:line="500" w:lineRule="exact"/>
        <w:ind w:left="0" w:firstLine="6"/>
        <w:jc w:val="left"/>
        <w:rPr>
          <w:rFonts w:ascii="宋体" w:hAnsi="宋体"/>
          <w:b/>
          <w:bCs/>
          <w:szCs w:val="21"/>
        </w:rPr>
      </w:pPr>
      <w:r>
        <w:rPr>
          <w:rFonts w:hint="eastAsia" w:ascii="宋体" w:hAnsi="宋体"/>
          <w:b/>
          <w:bCs/>
          <w:szCs w:val="21"/>
        </w:rPr>
        <w:t>第6条</w:t>
      </w:r>
      <w:r>
        <w:rPr>
          <w:rFonts w:ascii="宋体" w:hAnsi="宋体"/>
          <w:b/>
          <w:bCs/>
          <w:szCs w:val="21"/>
        </w:rPr>
        <w:t xml:space="preserve">  </w:t>
      </w:r>
      <w:r>
        <w:rPr>
          <w:rFonts w:hint="eastAsia" w:ascii="宋体" w:hAnsi="宋体"/>
          <w:b/>
          <w:bCs/>
          <w:szCs w:val="21"/>
        </w:rPr>
        <w:t>甲方义务</w:t>
      </w:r>
    </w:p>
    <w:p>
      <w:pPr>
        <w:pStyle w:val="33"/>
        <w:spacing w:line="500" w:lineRule="exact"/>
        <w:rPr>
          <w:rFonts w:ascii="宋体" w:hAnsi="宋体"/>
          <w:szCs w:val="21"/>
        </w:rPr>
      </w:pPr>
      <w:r>
        <w:rPr>
          <w:rFonts w:hint="eastAsia" w:ascii="宋体" w:hAnsi="宋体"/>
          <w:szCs w:val="21"/>
        </w:rPr>
        <w:t>6.3  办理有关手续</w:t>
      </w:r>
    </w:p>
    <w:p>
      <w:pPr>
        <w:pStyle w:val="33"/>
        <w:spacing w:line="500" w:lineRule="exact"/>
        <w:ind w:leftChars="200" w:firstLine="0"/>
        <w:rPr>
          <w:rFonts w:ascii="宋体" w:hAnsi="宋体"/>
          <w:szCs w:val="21"/>
        </w:rPr>
      </w:pPr>
      <w:r>
        <w:rPr>
          <w:rFonts w:hint="eastAsia" w:ascii="宋体" w:hAnsi="宋体"/>
          <w:szCs w:val="21"/>
        </w:rPr>
        <w:t>6.3.1  由甲方负责办理的有关手续是：</w:t>
      </w:r>
      <w:r>
        <w:rPr>
          <w:rFonts w:hint="eastAsia" w:ascii="宋体" w:hAnsi="宋体"/>
          <w:szCs w:val="21"/>
          <w:u w:val="single"/>
        </w:rPr>
        <w:t xml:space="preserve">                             </w:t>
      </w:r>
      <w:r>
        <w:rPr>
          <w:rFonts w:hint="eastAsia" w:ascii="宋体" w:hAnsi="宋体"/>
          <w:szCs w:val="21"/>
        </w:rPr>
        <w:t>。</w:t>
      </w:r>
    </w:p>
    <w:p>
      <w:pPr>
        <w:pStyle w:val="33"/>
        <w:spacing w:line="500" w:lineRule="exact"/>
        <w:rPr>
          <w:rFonts w:ascii="宋体" w:hAnsi="宋体"/>
          <w:szCs w:val="21"/>
        </w:rPr>
      </w:pPr>
      <w:r>
        <w:rPr>
          <w:rFonts w:hint="eastAsia" w:ascii="宋体" w:hAnsi="宋体"/>
          <w:szCs w:val="21"/>
        </w:rPr>
        <w:t xml:space="preserve">6.5  支持协助乙方工作 </w:t>
      </w:r>
    </w:p>
    <w:p>
      <w:pPr>
        <w:pStyle w:val="33"/>
        <w:spacing w:line="500" w:lineRule="exact"/>
        <w:ind w:left="0" w:firstLine="426"/>
        <w:rPr>
          <w:rFonts w:ascii="宋体" w:hAnsi="宋体"/>
          <w:szCs w:val="21"/>
        </w:rPr>
      </w:pPr>
      <w:r>
        <w:rPr>
          <w:rFonts w:hint="eastAsia" w:ascii="宋体" w:hAnsi="宋体"/>
          <w:szCs w:val="21"/>
        </w:rPr>
        <w:t>6.5.3 甲方指派负责人为：</w:t>
      </w:r>
      <w:r>
        <w:rPr>
          <w:rFonts w:hint="eastAsia" w:ascii="宋体" w:hAnsi="宋体"/>
          <w:szCs w:val="21"/>
          <w:u w:val="single"/>
        </w:rPr>
        <w:t xml:space="preserve">        </w:t>
      </w:r>
      <w:r>
        <w:rPr>
          <w:rFonts w:hint="eastAsia" w:ascii="宋体" w:hAnsi="宋体"/>
          <w:szCs w:val="21"/>
        </w:rPr>
        <w:t>（公民身份号码：</w:t>
      </w:r>
      <w:r>
        <w:rPr>
          <w:rFonts w:hint="eastAsia" w:ascii="宋体" w:hAnsi="宋体"/>
          <w:szCs w:val="21"/>
          <w:u w:val="single"/>
        </w:rPr>
        <w:t xml:space="preserve">                </w:t>
      </w:r>
      <w:r>
        <w:rPr>
          <w:rFonts w:hint="eastAsia" w:ascii="宋体" w:hAnsi="宋体"/>
          <w:szCs w:val="21"/>
        </w:rPr>
        <w:t>）</w:t>
      </w:r>
    </w:p>
    <w:p>
      <w:pPr>
        <w:pStyle w:val="33"/>
        <w:spacing w:line="500" w:lineRule="exact"/>
        <w:rPr>
          <w:rFonts w:ascii="宋体" w:hAnsi="宋体"/>
          <w:szCs w:val="21"/>
        </w:rPr>
      </w:pPr>
      <w:r>
        <w:rPr>
          <w:rFonts w:hint="eastAsia" w:ascii="宋体" w:hAnsi="宋体"/>
          <w:szCs w:val="21"/>
        </w:rPr>
        <w:t>6.7  其他义务</w:t>
      </w:r>
    </w:p>
    <w:p>
      <w:pPr>
        <w:pStyle w:val="33"/>
        <w:spacing w:line="500" w:lineRule="exact"/>
        <w:ind w:left="0" w:firstLine="426"/>
        <w:rPr>
          <w:rFonts w:ascii="宋体" w:hAnsi="宋体"/>
          <w:szCs w:val="21"/>
        </w:rPr>
      </w:pPr>
      <w:r>
        <w:rPr>
          <w:rFonts w:hint="eastAsia" w:ascii="宋体" w:hAnsi="宋体"/>
          <w:szCs w:val="21"/>
        </w:rPr>
        <w:t>甲方应履行合同约定的其他义务：</w:t>
      </w:r>
    </w:p>
    <w:p>
      <w:pPr>
        <w:pStyle w:val="33"/>
        <w:spacing w:line="500" w:lineRule="exact"/>
        <w:ind w:left="0" w:firstLine="426"/>
        <w:rPr>
          <w:rFonts w:ascii="宋体" w:hAnsi="宋体"/>
          <w:szCs w:val="21"/>
          <w:u w:val="single"/>
        </w:rPr>
      </w:pPr>
      <w:r>
        <w:rPr>
          <w:rFonts w:hint="eastAsia" w:ascii="宋体" w:hAnsi="宋体"/>
          <w:szCs w:val="21"/>
          <w:u w:val="single"/>
        </w:rPr>
        <w:t>（一）参与项目可行性研究报告、初步设计、施工图设计编制，并配合代建单位做好报批和审查工作；</w:t>
      </w:r>
    </w:p>
    <w:p>
      <w:pPr>
        <w:pStyle w:val="33"/>
        <w:spacing w:line="500" w:lineRule="exact"/>
        <w:ind w:left="0" w:firstLine="426"/>
        <w:rPr>
          <w:rFonts w:ascii="宋体" w:hAnsi="宋体"/>
          <w:szCs w:val="21"/>
          <w:u w:val="single"/>
        </w:rPr>
      </w:pPr>
      <w:r>
        <w:rPr>
          <w:rFonts w:hint="eastAsia" w:ascii="宋体" w:hAnsi="宋体"/>
          <w:szCs w:val="21"/>
          <w:u w:val="single"/>
        </w:rPr>
        <w:t>（二）配合代建单位办理代建期所需的各项审批和前期手续；</w:t>
      </w:r>
    </w:p>
    <w:p>
      <w:pPr>
        <w:pStyle w:val="33"/>
        <w:spacing w:line="500" w:lineRule="exact"/>
        <w:ind w:left="0" w:firstLine="426"/>
        <w:rPr>
          <w:rFonts w:ascii="宋体" w:hAnsi="宋体"/>
          <w:szCs w:val="21"/>
          <w:u w:val="single"/>
        </w:rPr>
      </w:pPr>
      <w:r>
        <w:rPr>
          <w:rFonts w:hint="eastAsia" w:ascii="宋体" w:hAnsi="宋体"/>
          <w:szCs w:val="21"/>
          <w:u w:val="single"/>
        </w:rPr>
        <w:t>（三）监督项目设计、监理、建设、设备材料供应的招标工作；</w:t>
      </w:r>
    </w:p>
    <w:p>
      <w:pPr>
        <w:pStyle w:val="33"/>
        <w:spacing w:line="500" w:lineRule="exact"/>
        <w:ind w:left="0" w:firstLine="426"/>
        <w:rPr>
          <w:rFonts w:ascii="宋体" w:hAnsi="宋体"/>
          <w:szCs w:val="21"/>
          <w:u w:val="single"/>
        </w:rPr>
      </w:pPr>
      <w:r>
        <w:rPr>
          <w:rFonts w:hint="eastAsia" w:ascii="宋体" w:hAnsi="宋体"/>
          <w:szCs w:val="21"/>
          <w:u w:val="single"/>
        </w:rPr>
        <w:t>（四）按照项目可行性研究报告批复的筹资方案，负责项目建设资金的筹措和落实，会同代建单位编制年度投资计划及年度基建支出预算计划，向中央有关部委、省发展改革委、省财政厅及省级项目主管部门等申请建设资金，及时足额落实自筹资金；</w:t>
      </w:r>
    </w:p>
    <w:p>
      <w:pPr>
        <w:pStyle w:val="33"/>
        <w:spacing w:line="500" w:lineRule="exact"/>
        <w:ind w:left="0" w:firstLine="426"/>
        <w:rPr>
          <w:rFonts w:ascii="宋体" w:hAnsi="宋体"/>
          <w:szCs w:val="21"/>
          <w:u w:val="single"/>
        </w:rPr>
      </w:pPr>
      <w:r>
        <w:rPr>
          <w:rFonts w:hint="eastAsia" w:ascii="宋体" w:hAnsi="宋体"/>
          <w:szCs w:val="21"/>
          <w:u w:val="single"/>
        </w:rPr>
        <w:t>（五）监督项目质量、建设进度及资金使用情况，参与项目工程验收；</w:t>
      </w:r>
    </w:p>
    <w:p>
      <w:pPr>
        <w:pStyle w:val="33"/>
        <w:spacing w:line="500" w:lineRule="exact"/>
        <w:ind w:left="0" w:firstLine="426"/>
        <w:rPr>
          <w:rFonts w:ascii="宋体" w:hAnsi="宋体"/>
          <w:szCs w:val="21"/>
          <w:u w:val="single"/>
        </w:rPr>
      </w:pPr>
      <w:r>
        <w:rPr>
          <w:rFonts w:hint="eastAsia" w:ascii="宋体" w:hAnsi="宋体"/>
          <w:szCs w:val="21"/>
          <w:u w:val="single"/>
        </w:rPr>
        <w:t>（六）按照合同约定及时足额拨付项目建设资金；</w:t>
      </w:r>
    </w:p>
    <w:p>
      <w:pPr>
        <w:pStyle w:val="33"/>
        <w:spacing w:line="500" w:lineRule="exact"/>
        <w:ind w:left="0" w:firstLine="426"/>
        <w:rPr>
          <w:rFonts w:ascii="宋体" w:hAnsi="宋体"/>
          <w:szCs w:val="21"/>
          <w:u w:val="single"/>
        </w:rPr>
      </w:pPr>
      <w:r>
        <w:rPr>
          <w:rFonts w:hint="eastAsia" w:ascii="宋体" w:hAnsi="宋体"/>
          <w:szCs w:val="21"/>
          <w:u w:val="single"/>
        </w:rPr>
        <w:t>（七）</w:t>
      </w:r>
      <w:r>
        <w:rPr>
          <w:rFonts w:hint="eastAsia" w:ascii="宋体" w:hAnsi="宋体"/>
          <w:i/>
          <w:szCs w:val="21"/>
          <w:u w:val="single"/>
        </w:rPr>
        <w:t>（根据项目具体情况进行补充调整）</w:t>
      </w:r>
      <w:r>
        <w:rPr>
          <w:rFonts w:hint="eastAsia" w:ascii="宋体" w:hAnsi="宋体"/>
          <w:szCs w:val="21"/>
          <w:u w:val="single"/>
        </w:rPr>
        <w:t>。</w:t>
      </w:r>
    </w:p>
    <w:p>
      <w:pPr>
        <w:pStyle w:val="33"/>
        <w:spacing w:line="500" w:lineRule="exact"/>
        <w:rPr>
          <w:rFonts w:ascii="宋体" w:hAnsi="宋体"/>
          <w:szCs w:val="21"/>
        </w:rPr>
      </w:pPr>
    </w:p>
    <w:p>
      <w:pPr>
        <w:pStyle w:val="33"/>
        <w:spacing w:line="500" w:lineRule="exact"/>
        <w:ind w:left="0" w:firstLine="0"/>
        <w:jc w:val="left"/>
        <w:rPr>
          <w:rFonts w:ascii="宋体" w:hAnsi="宋体"/>
          <w:b/>
          <w:bCs/>
          <w:szCs w:val="21"/>
        </w:rPr>
      </w:pPr>
      <w:r>
        <w:rPr>
          <w:rFonts w:hint="eastAsia" w:ascii="宋体" w:hAnsi="宋体"/>
          <w:b/>
          <w:bCs/>
          <w:szCs w:val="21"/>
        </w:rPr>
        <w:t>第7条</w:t>
      </w:r>
      <w:r>
        <w:rPr>
          <w:rFonts w:ascii="宋体" w:hAnsi="宋体"/>
          <w:b/>
          <w:bCs/>
          <w:szCs w:val="21"/>
        </w:rPr>
        <w:t xml:space="preserve">  </w:t>
      </w:r>
      <w:r>
        <w:rPr>
          <w:rFonts w:hint="eastAsia" w:ascii="宋体" w:hAnsi="宋体"/>
          <w:b/>
          <w:bCs/>
          <w:szCs w:val="21"/>
        </w:rPr>
        <w:t>乙方义务</w:t>
      </w:r>
    </w:p>
    <w:p>
      <w:pPr>
        <w:pStyle w:val="33"/>
        <w:spacing w:line="500" w:lineRule="exact"/>
        <w:rPr>
          <w:rFonts w:ascii="宋体" w:hAnsi="宋体"/>
          <w:szCs w:val="21"/>
        </w:rPr>
      </w:pPr>
      <w:r>
        <w:rPr>
          <w:rFonts w:hint="eastAsia" w:ascii="宋体" w:hAnsi="宋体"/>
          <w:szCs w:val="21"/>
        </w:rPr>
        <w:t>7.2 在代建周期内承担建设单位的义务和责任</w:t>
      </w:r>
    </w:p>
    <w:p>
      <w:pPr>
        <w:pStyle w:val="33"/>
        <w:spacing w:line="500" w:lineRule="exact"/>
        <w:ind w:leftChars="200" w:firstLine="0"/>
        <w:rPr>
          <w:rFonts w:ascii="宋体" w:hAnsi="宋体"/>
          <w:szCs w:val="21"/>
        </w:rPr>
      </w:pPr>
      <w:r>
        <w:rPr>
          <w:rFonts w:hint="eastAsia" w:ascii="宋体" w:hAnsi="宋体"/>
          <w:szCs w:val="21"/>
        </w:rPr>
        <w:t>7.2.9 在项目实施过程中落实合理化建议及技术创新包括：</w:t>
      </w:r>
      <w:r>
        <w:rPr>
          <w:rFonts w:hint="eastAsia" w:ascii="宋体" w:hAnsi="宋体"/>
          <w:szCs w:val="21"/>
          <w:u w:val="single"/>
        </w:rPr>
        <w:t xml:space="preserve">             </w:t>
      </w:r>
      <w:r>
        <w:rPr>
          <w:rFonts w:hint="eastAsia" w:ascii="宋体" w:hAnsi="宋体"/>
          <w:szCs w:val="21"/>
        </w:rPr>
        <w:t xml:space="preserve"> 。</w:t>
      </w:r>
    </w:p>
    <w:p>
      <w:pPr>
        <w:pStyle w:val="33"/>
        <w:spacing w:line="500" w:lineRule="exact"/>
        <w:ind w:left="0" w:firstLine="420" w:firstLineChars="200"/>
        <w:rPr>
          <w:rFonts w:ascii="宋体" w:hAnsi="宋体"/>
          <w:szCs w:val="21"/>
          <w:u w:val="single"/>
        </w:rPr>
      </w:pPr>
      <w:r>
        <w:rPr>
          <w:rFonts w:hint="eastAsia" w:ascii="宋体" w:hAnsi="宋体"/>
          <w:szCs w:val="21"/>
        </w:rPr>
        <w:t>7.2.10 实体移交证书颁发后，乙方仍应配合甲方做好有关工作，包括</w:t>
      </w:r>
      <w:r>
        <w:rPr>
          <w:rFonts w:hint="eastAsia" w:ascii="宋体" w:hAnsi="宋体"/>
          <w:szCs w:val="21"/>
          <w:u w:val="single"/>
        </w:rPr>
        <w:t xml:space="preserve">                                </w:t>
      </w:r>
      <w:r>
        <w:rPr>
          <w:rFonts w:hint="eastAsia" w:ascii="宋体" w:hAnsi="宋体"/>
          <w:szCs w:val="21"/>
        </w:rPr>
        <w:t>。</w:t>
      </w:r>
    </w:p>
    <w:p>
      <w:pPr>
        <w:pStyle w:val="33"/>
        <w:spacing w:line="500" w:lineRule="exact"/>
        <w:ind w:left="422" w:leftChars="201" w:firstLine="0"/>
        <w:rPr>
          <w:rFonts w:ascii="宋体" w:hAnsi="宋体"/>
          <w:szCs w:val="21"/>
        </w:rPr>
      </w:pPr>
      <w:r>
        <w:rPr>
          <w:rFonts w:hint="eastAsia" w:ascii="宋体" w:hAnsi="宋体"/>
          <w:szCs w:val="21"/>
        </w:rPr>
        <w:t>7.2.11 缺陷责任期设定时间应为</w:t>
      </w:r>
      <w:r>
        <w:rPr>
          <w:rFonts w:hint="eastAsia" w:ascii="宋体" w:hAnsi="宋体"/>
          <w:szCs w:val="21"/>
          <w:u w:val="single"/>
        </w:rPr>
        <w:t xml:space="preserve">      </w:t>
      </w:r>
      <w:r>
        <w:rPr>
          <w:rFonts w:hint="eastAsia" w:ascii="宋体" w:hAnsi="宋体"/>
          <w:szCs w:val="21"/>
        </w:rPr>
        <w:t>年（</w:t>
      </w:r>
      <w:r>
        <w:rPr>
          <w:rFonts w:hint="eastAsia" w:ascii="宋体" w:hAnsi="宋体"/>
          <w:i/>
          <w:szCs w:val="21"/>
        </w:rPr>
        <w:t>一般不超过2年</w:t>
      </w:r>
      <w:r>
        <w:rPr>
          <w:rFonts w:hint="eastAsia" w:ascii="宋体" w:hAnsi="宋体"/>
          <w:szCs w:val="21"/>
        </w:rPr>
        <w:t>），保修期</w:t>
      </w:r>
      <w:r>
        <w:rPr>
          <w:rFonts w:hint="eastAsia" w:ascii="宋体" w:hAnsi="宋体"/>
          <w:szCs w:val="21"/>
          <w:u w:val="single"/>
        </w:rPr>
        <w:t xml:space="preserve">              </w:t>
      </w:r>
      <w:r>
        <w:rPr>
          <w:rFonts w:hint="eastAsia" w:ascii="宋体" w:hAnsi="宋体"/>
          <w:szCs w:val="21"/>
        </w:rPr>
        <w:t>（</w:t>
      </w:r>
      <w:r>
        <w:rPr>
          <w:rFonts w:hint="eastAsia" w:ascii="宋体" w:hAnsi="宋体"/>
          <w:i/>
          <w:szCs w:val="21"/>
        </w:rPr>
        <w:t>分部分项工程</w:t>
      </w:r>
      <w:r>
        <w:rPr>
          <w:rFonts w:hint="eastAsia" w:ascii="宋体" w:hAnsi="宋体"/>
          <w:szCs w:val="21"/>
        </w:rPr>
        <w:t>）</w:t>
      </w:r>
      <w:r>
        <w:rPr>
          <w:rFonts w:hint="eastAsia" w:ascii="宋体" w:hAnsi="宋体"/>
          <w:szCs w:val="21"/>
          <w:u w:val="single"/>
        </w:rPr>
        <w:t>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w:t>
      </w:r>
      <w:r>
        <w:rPr>
          <w:rFonts w:hint="eastAsia" w:ascii="宋体" w:hAnsi="宋体"/>
          <w:i/>
          <w:szCs w:val="21"/>
        </w:rPr>
        <w:t>分部分项工程</w:t>
      </w:r>
      <w:r>
        <w:rPr>
          <w:rFonts w:hint="eastAsia" w:ascii="宋体" w:hAnsi="宋体"/>
          <w:szCs w:val="21"/>
        </w:rPr>
        <w:t>）</w:t>
      </w:r>
      <w:r>
        <w:rPr>
          <w:rFonts w:hint="eastAsia" w:ascii="宋体" w:hAnsi="宋体"/>
          <w:szCs w:val="21"/>
          <w:u w:val="single"/>
        </w:rPr>
        <w:t>　　　　</w:t>
      </w:r>
      <w:r>
        <w:rPr>
          <w:rFonts w:hint="eastAsia" w:ascii="宋体" w:hAnsi="宋体"/>
          <w:szCs w:val="21"/>
        </w:rPr>
        <w:t>年。</w:t>
      </w:r>
    </w:p>
    <w:p>
      <w:pPr>
        <w:pStyle w:val="33"/>
        <w:spacing w:line="500" w:lineRule="exact"/>
        <w:ind w:left="0" w:firstLine="426"/>
        <w:rPr>
          <w:rFonts w:ascii="宋体" w:hAnsi="宋体"/>
          <w:szCs w:val="21"/>
        </w:rPr>
      </w:pPr>
      <w:r>
        <w:rPr>
          <w:rFonts w:hint="eastAsia" w:ascii="宋体" w:hAnsi="宋体"/>
          <w:szCs w:val="21"/>
        </w:rPr>
        <w:t>同时在与有关专业单位签订的合同中应明确：实体移交证书颁发后，发包人权力转由项目使用单位行使，剩余的质量保证金或质量保函同时转交项目使用单位。</w:t>
      </w:r>
    </w:p>
    <w:p>
      <w:pPr>
        <w:pStyle w:val="33"/>
        <w:spacing w:line="500" w:lineRule="exact"/>
        <w:rPr>
          <w:rFonts w:ascii="宋体" w:hAnsi="宋体"/>
          <w:szCs w:val="21"/>
        </w:rPr>
      </w:pPr>
      <w:r>
        <w:rPr>
          <w:rFonts w:hint="eastAsia" w:ascii="宋体" w:hAnsi="宋体"/>
          <w:szCs w:val="21"/>
        </w:rPr>
        <w:t>7.3  乙方人员的管理</w:t>
      </w:r>
    </w:p>
    <w:p>
      <w:pPr>
        <w:pStyle w:val="33"/>
        <w:spacing w:line="500" w:lineRule="exact"/>
        <w:ind w:left="0" w:firstLine="426"/>
        <w:rPr>
          <w:rFonts w:ascii="宋体" w:hAnsi="宋体"/>
          <w:szCs w:val="21"/>
          <w:u w:val="single"/>
        </w:rPr>
      </w:pPr>
      <w:r>
        <w:rPr>
          <w:rFonts w:hint="eastAsia" w:ascii="宋体" w:hAnsi="宋体"/>
          <w:szCs w:val="21"/>
        </w:rPr>
        <w:t>7.3.1  乙方代建项目经理姓名：</w:t>
      </w:r>
      <w:r>
        <w:rPr>
          <w:rFonts w:hint="eastAsia" w:ascii="宋体" w:hAnsi="宋体"/>
          <w:szCs w:val="21"/>
          <w:u w:val="single"/>
        </w:rPr>
        <w:t xml:space="preserve">        </w:t>
      </w:r>
      <w:r>
        <w:rPr>
          <w:rFonts w:hint="eastAsia" w:ascii="宋体" w:hAnsi="宋体"/>
          <w:szCs w:val="21"/>
        </w:rPr>
        <w:t>资格证书：</w:t>
      </w:r>
      <w:r>
        <w:rPr>
          <w:rFonts w:hint="eastAsia" w:ascii="宋体" w:hAnsi="宋体"/>
          <w:szCs w:val="21"/>
          <w:u w:val="single"/>
        </w:rPr>
        <w:t xml:space="preserve">         </w:t>
      </w:r>
      <w:r>
        <w:rPr>
          <w:rFonts w:hint="eastAsia" w:ascii="宋体" w:hAnsi="宋体"/>
          <w:szCs w:val="21"/>
        </w:rPr>
        <w:t>证书编号：</w:t>
      </w:r>
      <w:r>
        <w:rPr>
          <w:rFonts w:hint="eastAsia" w:ascii="宋体" w:hAnsi="宋体"/>
          <w:szCs w:val="21"/>
          <w:u w:val="single"/>
        </w:rPr>
        <w:t xml:space="preserve">         </w:t>
      </w:r>
    </w:p>
    <w:p>
      <w:pPr>
        <w:pStyle w:val="33"/>
        <w:spacing w:line="500" w:lineRule="exact"/>
        <w:ind w:left="0" w:firstLine="426"/>
        <w:rPr>
          <w:rFonts w:ascii="宋体" w:hAnsi="宋体"/>
          <w:szCs w:val="21"/>
          <w:u w:val="single"/>
        </w:rPr>
      </w:pPr>
      <w:r>
        <w:rPr>
          <w:rFonts w:hint="eastAsia" w:ascii="宋体" w:hAnsi="宋体"/>
          <w:szCs w:val="21"/>
        </w:rPr>
        <w:t>乙方其他项目管理人员姓名：</w:t>
      </w:r>
      <w:r>
        <w:rPr>
          <w:rFonts w:hint="eastAsia" w:ascii="宋体" w:hAnsi="宋体"/>
          <w:szCs w:val="21"/>
          <w:u w:val="single"/>
        </w:rPr>
        <w:t xml:space="preserve">                                                 </w:t>
      </w:r>
      <w:r>
        <w:rPr>
          <w:rFonts w:hint="eastAsia" w:ascii="宋体" w:hAnsi="宋体"/>
          <w:szCs w:val="21"/>
        </w:rPr>
        <w:t>。</w:t>
      </w:r>
    </w:p>
    <w:p>
      <w:pPr>
        <w:pStyle w:val="33"/>
        <w:spacing w:line="500" w:lineRule="exact"/>
        <w:ind w:left="0" w:firstLine="0"/>
        <w:rPr>
          <w:rFonts w:ascii="宋体" w:hAnsi="宋体"/>
          <w:szCs w:val="21"/>
        </w:rPr>
      </w:pPr>
      <w:r>
        <w:rPr>
          <w:rFonts w:hint="eastAsia" w:ascii="宋体" w:hAnsi="宋体"/>
          <w:szCs w:val="21"/>
        </w:rPr>
        <w:t>7.5  报告制度和监督</w:t>
      </w:r>
    </w:p>
    <w:p>
      <w:pPr>
        <w:pStyle w:val="33"/>
        <w:spacing w:line="500" w:lineRule="exact"/>
        <w:ind w:left="0" w:firstLine="426"/>
        <w:rPr>
          <w:rFonts w:ascii="宋体" w:hAnsi="宋体"/>
          <w:szCs w:val="21"/>
        </w:rPr>
      </w:pPr>
      <w:r>
        <w:rPr>
          <w:rFonts w:hint="eastAsia" w:ascii="宋体" w:hAnsi="宋体"/>
          <w:szCs w:val="21"/>
        </w:rPr>
        <w:t>乙方应每季度向甲方和代建主管部门对项目实施情况进行书面报告的时间：下季度首月</w:t>
      </w:r>
      <w:r>
        <w:rPr>
          <w:rFonts w:ascii="宋体" w:hAnsi="宋体"/>
          <w:szCs w:val="21"/>
        </w:rPr>
        <w:t>5</w:t>
      </w:r>
      <w:r>
        <w:rPr>
          <w:rFonts w:hint="eastAsia" w:ascii="宋体" w:hAnsi="宋体"/>
          <w:szCs w:val="21"/>
        </w:rPr>
        <w:t>号以前，报告的份数为</w:t>
      </w:r>
      <w:r>
        <w:rPr>
          <w:rFonts w:ascii="宋体" w:hAnsi="宋体"/>
          <w:szCs w:val="21"/>
          <w:u w:val="single"/>
        </w:rPr>
        <w:t xml:space="preserve">      </w:t>
      </w:r>
      <w:r>
        <w:rPr>
          <w:rFonts w:hint="eastAsia" w:ascii="宋体" w:hAnsi="宋体"/>
          <w:szCs w:val="21"/>
        </w:rPr>
        <w:t>；遇到重大事项应提前</w:t>
      </w:r>
      <w:r>
        <w:rPr>
          <w:rFonts w:ascii="宋体" w:hAnsi="宋体"/>
          <w:szCs w:val="21"/>
        </w:rPr>
        <w:t>3</w:t>
      </w:r>
      <w:r>
        <w:rPr>
          <w:rFonts w:hint="eastAsia" w:ascii="宋体" w:hAnsi="宋体"/>
          <w:szCs w:val="21"/>
        </w:rPr>
        <w:t>天报告。</w:t>
      </w:r>
    </w:p>
    <w:p>
      <w:pPr>
        <w:pStyle w:val="33"/>
        <w:spacing w:line="500" w:lineRule="exact"/>
        <w:ind w:left="0" w:firstLine="426"/>
        <w:rPr>
          <w:rFonts w:ascii="宋体" w:hAnsi="宋体"/>
          <w:szCs w:val="21"/>
        </w:rPr>
      </w:pPr>
      <w:r>
        <w:rPr>
          <w:rFonts w:hint="eastAsia" w:ascii="宋体" w:hAnsi="宋体"/>
          <w:szCs w:val="21"/>
        </w:rPr>
        <w:t>本项目重大事项是指：可行性</w:t>
      </w:r>
      <w:r>
        <w:rPr>
          <w:rFonts w:ascii="宋体" w:hAnsi="宋体"/>
          <w:szCs w:val="21"/>
        </w:rPr>
        <w:t>研究报告评审、</w:t>
      </w:r>
      <w:r>
        <w:rPr>
          <w:rFonts w:hint="eastAsia" w:ascii="宋体" w:hAnsi="宋体"/>
          <w:szCs w:val="21"/>
        </w:rPr>
        <w:t>项目初步设计方案评审、初步设计概算评审、项目开工、项目招标和政府采购活动、重大设计变更论证、概算调整、项目竣工验收、项目实体移交以及</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等事项。</w:t>
      </w:r>
    </w:p>
    <w:p>
      <w:pPr>
        <w:pStyle w:val="33"/>
        <w:spacing w:line="500" w:lineRule="exact"/>
        <w:rPr>
          <w:rFonts w:ascii="宋体" w:hAnsi="宋体"/>
          <w:szCs w:val="21"/>
        </w:rPr>
      </w:pPr>
      <w:r>
        <w:rPr>
          <w:rFonts w:hint="eastAsia" w:ascii="宋体" w:hAnsi="宋体"/>
          <w:szCs w:val="21"/>
        </w:rPr>
        <w:t>7.6  其他义务</w:t>
      </w:r>
    </w:p>
    <w:p>
      <w:pPr>
        <w:pStyle w:val="33"/>
        <w:spacing w:line="500" w:lineRule="exact"/>
        <w:ind w:left="0" w:firstLine="426"/>
        <w:rPr>
          <w:rFonts w:ascii="宋体" w:hAnsi="宋体"/>
          <w:szCs w:val="21"/>
        </w:rPr>
      </w:pPr>
      <w:r>
        <w:rPr>
          <w:rFonts w:hint="eastAsia" w:ascii="宋体" w:hAnsi="宋体"/>
          <w:szCs w:val="21"/>
        </w:rPr>
        <w:t>乙方应履行合同约定的其他义务：</w:t>
      </w:r>
    </w:p>
    <w:p>
      <w:pPr>
        <w:pStyle w:val="33"/>
        <w:spacing w:line="500" w:lineRule="exact"/>
        <w:ind w:left="0" w:firstLine="426"/>
        <w:rPr>
          <w:rFonts w:ascii="宋体" w:hAnsi="宋体"/>
          <w:szCs w:val="21"/>
          <w:u w:val="single"/>
        </w:rPr>
      </w:pPr>
      <w:r>
        <w:rPr>
          <w:rFonts w:ascii="宋体" w:hAnsi="宋体"/>
          <w:szCs w:val="21"/>
          <w:u w:val="single"/>
        </w:rPr>
        <w:t>（一）依据批准的项目建议书依次组织编制报批项目可行性研究报告、初步设计，组织编制报审项目施工图设计；</w:t>
      </w:r>
    </w:p>
    <w:p>
      <w:pPr>
        <w:pStyle w:val="33"/>
        <w:spacing w:line="500" w:lineRule="exact"/>
        <w:ind w:left="0" w:firstLine="426"/>
        <w:rPr>
          <w:rFonts w:ascii="宋体" w:hAnsi="宋体"/>
          <w:szCs w:val="21"/>
          <w:u w:val="single"/>
        </w:rPr>
      </w:pPr>
      <w:r>
        <w:rPr>
          <w:rFonts w:ascii="宋体" w:hAnsi="宋体"/>
          <w:szCs w:val="21"/>
          <w:u w:val="single"/>
        </w:rPr>
        <w:t>（二）以项目单位名义办理代建期所需的各项审批和前期手续；</w:t>
      </w:r>
    </w:p>
    <w:p>
      <w:pPr>
        <w:pStyle w:val="33"/>
        <w:spacing w:line="500" w:lineRule="exact"/>
        <w:ind w:left="0" w:firstLine="426"/>
        <w:rPr>
          <w:rFonts w:ascii="宋体" w:hAnsi="宋体"/>
          <w:szCs w:val="21"/>
          <w:u w:val="single"/>
        </w:rPr>
      </w:pPr>
      <w:r>
        <w:rPr>
          <w:rFonts w:ascii="宋体" w:hAnsi="宋体"/>
          <w:szCs w:val="21"/>
          <w:u w:val="single"/>
        </w:rPr>
        <w:t>（三）按照合同约定承担项目前期咨询、勘察、招标代理、造价咨询等专业服务；并依法组织设计、监理、施工、设备材料供应的招标，负责相关合同的洽谈与签订；</w:t>
      </w:r>
    </w:p>
    <w:p>
      <w:pPr>
        <w:pStyle w:val="33"/>
        <w:spacing w:line="500" w:lineRule="exact"/>
        <w:ind w:left="0" w:firstLine="426"/>
        <w:rPr>
          <w:rFonts w:ascii="宋体" w:hAnsi="宋体"/>
          <w:szCs w:val="21"/>
          <w:u w:val="single"/>
        </w:rPr>
      </w:pPr>
      <w:r>
        <w:rPr>
          <w:rFonts w:ascii="宋体" w:hAnsi="宋体"/>
          <w:szCs w:val="21"/>
          <w:u w:val="single"/>
        </w:rPr>
        <w:t>（四）对项目投资、质量、建设进度、安全、环保、档案等进行全过程管理；</w:t>
      </w:r>
    </w:p>
    <w:p>
      <w:pPr>
        <w:pStyle w:val="33"/>
        <w:spacing w:line="500" w:lineRule="exact"/>
        <w:ind w:left="0" w:firstLine="426"/>
        <w:rPr>
          <w:rFonts w:ascii="宋体" w:hAnsi="宋体"/>
          <w:szCs w:val="21"/>
          <w:u w:val="single"/>
        </w:rPr>
      </w:pPr>
      <w:r>
        <w:rPr>
          <w:rFonts w:ascii="宋体" w:hAnsi="宋体"/>
          <w:szCs w:val="21"/>
          <w:u w:val="single"/>
        </w:rPr>
        <w:t>（五）协助项目单位按项目进度提出年度投资计划和年度支出预算，按季度向省发展改革委、省财政厅和项目单位报告工程进度和资金使用情况；</w:t>
      </w:r>
    </w:p>
    <w:p>
      <w:pPr>
        <w:pStyle w:val="33"/>
        <w:spacing w:line="500" w:lineRule="exact"/>
        <w:ind w:left="0" w:firstLine="426"/>
        <w:rPr>
          <w:rFonts w:ascii="宋体" w:hAnsi="宋体"/>
          <w:szCs w:val="21"/>
          <w:u w:val="single"/>
        </w:rPr>
      </w:pPr>
      <w:r>
        <w:rPr>
          <w:rFonts w:ascii="宋体" w:hAnsi="宋体"/>
          <w:szCs w:val="21"/>
          <w:u w:val="single"/>
        </w:rPr>
        <w:t>（六）负责组织建设项目竣工验收工作中的初步验收和向相关行政主管部门申请专项验收，并向省发展改革委报送竣工验收申请、办理相关手续；</w:t>
      </w:r>
    </w:p>
    <w:p>
      <w:pPr>
        <w:pStyle w:val="33"/>
        <w:spacing w:line="500" w:lineRule="exact"/>
        <w:ind w:left="0" w:firstLine="426"/>
        <w:rPr>
          <w:rFonts w:ascii="宋体" w:hAnsi="宋体"/>
          <w:szCs w:val="21"/>
          <w:u w:val="single"/>
        </w:rPr>
      </w:pPr>
      <w:r>
        <w:rPr>
          <w:rFonts w:ascii="宋体" w:hAnsi="宋体"/>
          <w:szCs w:val="21"/>
          <w:u w:val="single"/>
        </w:rPr>
        <w:t>（七）编制项目竣工财务决算，通过项目单位报项目主管部门审批，按照批准的固定资产价值向项目单位移交固定资产，并据实移交其他资产；</w:t>
      </w:r>
    </w:p>
    <w:p>
      <w:pPr>
        <w:pStyle w:val="33"/>
        <w:spacing w:line="500" w:lineRule="exact"/>
        <w:ind w:left="0" w:firstLine="426"/>
        <w:rPr>
          <w:rFonts w:ascii="宋体" w:hAnsi="宋体"/>
          <w:szCs w:val="21"/>
          <w:u w:val="single"/>
        </w:rPr>
      </w:pPr>
      <w:r>
        <w:rPr>
          <w:rFonts w:ascii="宋体" w:hAnsi="宋体"/>
          <w:szCs w:val="21"/>
          <w:u w:val="single"/>
        </w:rPr>
        <w:t>（八）整理汇编移交项目资料；</w:t>
      </w:r>
    </w:p>
    <w:p>
      <w:pPr>
        <w:pStyle w:val="33"/>
        <w:spacing w:line="500" w:lineRule="exact"/>
        <w:ind w:left="0" w:firstLine="426"/>
        <w:rPr>
          <w:rFonts w:ascii="宋体" w:hAnsi="宋体"/>
          <w:szCs w:val="21"/>
          <w:u w:val="single"/>
        </w:rPr>
      </w:pPr>
      <w:r>
        <w:rPr>
          <w:rFonts w:ascii="宋体" w:hAnsi="宋体"/>
          <w:szCs w:val="21"/>
          <w:u w:val="single"/>
        </w:rPr>
        <w:t>（九）配合项目单位接受审计、巡视、中期评估以及其他涉及项目监管的有关工作</w:t>
      </w:r>
      <w:r>
        <w:rPr>
          <w:rFonts w:hint="eastAsia" w:ascii="宋体" w:hAnsi="宋体"/>
          <w:szCs w:val="21"/>
          <w:u w:val="single"/>
        </w:rPr>
        <w:t>；</w:t>
      </w:r>
    </w:p>
    <w:p>
      <w:pPr>
        <w:pStyle w:val="33"/>
        <w:spacing w:line="500" w:lineRule="exact"/>
        <w:ind w:left="0" w:firstLine="426"/>
        <w:rPr>
          <w:rFonts w:ascii="宋体" w:hAnsi="宋体"/>
          <w:szCs w:val="21"/>
          <w:u w:val="single"/>
        </w:rPr>
      </w:pPr>
      <w:r>
        <w:rPr>
          <w:rFonts w:ascii="宋体" w:hAnsi="宋体"/>
          <w:szCs w:val="21"/>
          <w:u w:val="single"/>
        </w:rPr>
        <w:t>（</w:t>
      </w:r>
      <w:r>
        <w:rPr>
          <w:rFonts w:hint="eastAsia" w:ascii="宋体" w:hAnsi="宋体"/>
          <w:szCs w:val="21"/>
          <w:u w:val="single"/>
        </w:rPr>
        <w:t>十</w:t>
      </w:r>
      <w:r>
        <w:rPr>
          <w:rFonts w:ascii="宋体" w:hAnsi="宋体"/>
          <w:szCs w:val="21"/>
          <w:u w:val="single"/>
        </w:rPr>
        <w:t>）</w:t>
      </w:r>
      <w:r>
        <w:rPr>
          <w:rFonts w:hint="eastAsia" w:ascii="宋体" w:hAnsi="宋体"/>
          <w:i/>
          <w:szCs w:val="21"/>
          <w:u w:val="single"/>
        </w:rPr>
        <w:t>（根据项目具体情况进行补充调整）</w:t>
      </w:r>
      <w:r>
        <w:rPr>
          <w:rFonts w:hint="eastAsia" w:ascii="宋体" w:hAnsi="宋体"/>
          <w:szCs w:val="21"/>
          <w:u w:val="single"/>
        </w:rPr>
        <w:t xml:space="preserve"> 。</w:t>
      </w:r>
    </w:p>
    <w:p>
      <w:pPr>
        <w:pStyle w:val="33"/>
        <w:spacing w:line="500" w:lineRule="exact"/>
        <w:jc w:val="left"/>
        <w:rPr>
          <w:rFonts w:ascii="宋体" w:hAnsi="宋体"/>
          <w:szCs w:val="21"/>
          <w:u w:val="single"/>
        </w:rPr>
      </w:pPr>
    </w:p>
    <w:p>
      <w:pPr>
        <w:pStyle w:val="33"/>
        <w:spacing w:line="500" w:lineRule="exact"/>
        <w:jc w:val="center"/>
        <w:rPr>
          <w:rFonts w:ascii="宋体" w:hAnsi="宋体"/>
          <w:b/>
          <w:bCs/>
          <w:szCs w:val="21"/>
        </w:rPr>
      </w:pPr>
      <w:r>
        <w:rPr>
          <w:rFonts w:hint="eastAsia" w:ascii="宋体" w:hAnsi="宋体"/>
          <w:b/>
          <w:bCs/>
          <w:szCs w:val="21"/>
        </w:rPr>
        <w:t>第四节  代建过程管理</w:t>
      </w:r>
    </w:p>
    <w:p>
      <w:pPr>
        <w:pStyle w:val="33"/>
        <w:spacing w:line="500" w:lineRule="exact"/>
        <w:jc w:val="left"/>
        <w:rPr>
          <w:rFonts w:ascii="宋体" w:hAnsi="宋体"/>
          <w:b/>
          <w:bCs/>
          <w:szCs w:val="21"/>
        </w:rPr>
      </w:pPr>
      <w:r>
        <w:rPr>
          <w:rFonts w:hint="eastAsia" w:ascii="宋体" w:hAnsi="宋体"/>
          <w:b/>
          <w:bCs/>
          <w:szCs w:val="21"/>
        </w:rPr>
        <w:t>第12条</w:t>
      </w:r>
      <w:r>
        <w:rPr>
          <w:rFonts w:ascii="宋体" w:hAnsi="宋体"/>
          <w:b/>
          <w:bCs/>
          <w:szCs w:val="21"/>
        </w:rPr>
        <w:t xml:space="preserve">  </w:t>
      </w:r>
      <w:r>
        <w:rPr>
          <w:rFonts w:hint="eastAsia" w:ascii="宋体" w:hAnsi="宋体"/>
          <w:b/>
          <w:bCs/>
          <w:szCs w:val="21"/>
        </w:rPr>
        <w:t>代建服务费支付与调整</w:t>
      </w:r>
    </w:p>
    <w:p>
      <w:pPr>
        <w:pStyle w:val="33"/>
        <w:spacing w:line="500" w:lineRule="exact"/>
        <w:rPr>
          <w:rFonts w:ascii="宋体" w:hAnsi="宋体"/>
          <w:szCs w:val="21"/>
        </w:rPr>
      </w:pPr>
      <w:r>
        <w:rPr>
          <w:rFonts w:hint="eastAsia" w:ascii="宋体" w:hAnsi="宋体"/>
          <w:szCs w:val="21"/>
        </w:rPr>
        <w:t>12.2  预付款</w:t>
      </w:r>
    </w:p>
    <w:p>
      <w:pPr>
        <w:pStyle w:val="33"/>
        <w:spacing w:line="500" w:lineRule="exact"/>
        <w:ind w:left="0" w:firstLine="426"/>
        <w:rPr>
          <w:rFonts w:ascii="宋体" w:hAnsi="宋体"/>
          <w:szCs w:val="21"/>
        </w:rPr>
      </w:pPr>
      <w:r>
        <w:rPr>
          <w:rFonts w:hint="eastAsia" w:ascii="宋体" w:hAnsi="宋体"/>
          <w:szCs w:val="21"/>
        </w:rPr>
        <w:t>本合同的预付款为：代建服务费暂定总额的</w:t>
      </w:r>
      <w:r>
        <w:rPr>
          <w:rFonts w:hint="eastAsia" w:ascii="宋体" w:hAnsi="宋体"/>
          <w:szCs w:val="21"/>
          <w:u w:val="single"/>
        </w:rPr>
        <w:t xml:space="preserve">  </w:t>
      </w:r>
      <w:r>
        <w:rPr>
          <w:rFonts w:hint="eastAsia" w:ascii="宋体" w:hAnsi="宋体"/>
          <w:szCs w:val="21"/>
        </w:rPr>
        <w:t>％（</w:t>
      </w:r>
      <w:r>
        <w:rPr>
          <w:rFonts w:hint="eastAsia" w:ascii="宋体" w:hAnsi="宋体"/>
          <w:i/>
          <w:szCs w:val="21"/>
        </w:rPr>
        <w:t>30%-40%之间</w:t>
      </w:r>
      <w:r>
        <w:rPr>
          <w:rFonts w:hint="eastAsia" w:ascii="宋体" w:hAnsi="宋体"/>
          <w:szCs w:val="21"/>
        </w:rPr>
        <w:t>）；合同生效后，乙方向甲方提出书面支付申请和支付凭证，甲方在</w:t>
      </w:r>
      <w:r>
        <w:rPr>
          <w:rFonts w:hint="eastAsia" w:ascii="宋体" w:hAnsi="宋体"/>
          <w:szCs w:val="21"/>
          <w:u w:val="single"/>
        </w:rPr>
        <w:t xml:space="preserve">   </w:t>
      </w:r>
      <w:r>
        <w:rPr>
          <w:rFonts w:hint="eastAsia" w:ascii="宋体" w:hAnsi="宋体"/>
          <w:szCs w:val="21"/>
        </w:rPr>
        <w:t>个工作日（</w:t>
      </w:r>
      <w:r>
        <w:rPr>
          <w:rFonts w:hint="eastAsia" w:ascii="宋体" w:hAnsi="宋体"/>
          <w:i/>
          <w:szCs w:val="21"/>
        </w:rPr>
        <w:t>3-5个</w:t>
      </w:r>
      <w:r>
        <w:rPr>
          <w:rFonts w:hint="eastAsia" w:ascii="宋体" w:hAnsi="宋体"/>
          <w:szCs w:val="21"/>
        </w:rPr>
        <w:t>）内报请财政支付。</w:t>
      </w:r>
    </w:p>
    <w:p>
      <w:pPr>
        <w:pStyle w:val="33"/>
        <w:spacing w:line="500" w:lineRule="exact"/>
        <w:rPr>
          <w:rFonts w:ascii="宋体" w:hAnsi="宋体"/>
          <w:szCs w:val="21"/>
        </w:rPr>
      </w:pPr>
      <w:r>
        <w:rPr>
          <w:rFonts w:hint="eastAsia" w:ascii="宋体" w:hAnsi="宋体"/>
          <w:szCs w:val="21"/>
        </w:rPr>
        <w:t>12.3  进度付款</w:t>
      </w:r>
    </w:p>
    <w:p>
      <w:pPr>
        <w:pStyle w:val="33"/>
        <w:spacing w:line="500" w:lineRule="exact"/>
        <w:ind w:left="0" w:firstLine="426"/>
        <w:rPr>
          <w:rFonts w:ascii="宋体" w:hAnsi="宋体"/>
          <w:szCs w:val="21"/>
        </w:rPr>
      </w:pPr>
      <w:r>
        <w:rPr>
          <w:rFonts w:hint="eastAsia" w:ascii="宋体" w:hAnsi="宋体"/>
          <w:szCs w:val="21"/>
        </w:rPr>
        <w:t>□建筑工程：</w:t>
      </w:r>
    </w:p>
    <w:p>
      <w:pPr>
        <w:pStyle w:val="33"/>
        <w:spacing w:line="500" w:lineRule="exact"/>
        <w:ind w:left="0" w:firstLine="426"/>
        <w:rPr>
          <w:rFonts w:ascii="宋体" w:hAnsi="宋体"/>
          <w:szCs w:val="21"/>
        </w:rPr>
      </w:pPr>
      <w:r>
        <w:rPr>
          <w:rFonts w:hint="eastAsia" w:ascii="宋体" w:hAnsi="宋体"/>
          <w:szCs w:val="21"/>
        </w:rPr>
        <w:t>主体工程基础完工后，乙方向甲方提出书面支付申请和支付凭证，甲方在</w:t>
      </w:r>
      <w:r>
        <w:rPr>
          <w:rFonts w:hint="eastAsia" w:ascii="宋体" w:hAnsi="宋体"/>
          <w:szCs w:val="21"/>
          <w:u w:val="single"/>
        </w:rPr>
        <w:t xml:space="preserve">    </w:t>
      </w:r>
      <w:r>
        <w:rPr>
          <w:rFonts w:hint="eastAsia" w:ascii="宋体" w:hAnsi="宋体"/>
          <w:szCs w:val="21"/>
        </w:rPr>
        <w:t>个工作日（</w:t>
      </w:r>
      <w:r>
        <w:rPr>
          <w:rFonts w:hint="eastAsia" w:ascii="宋体" w:hAnsi="宋体"/>
          <w:i/>
          <w:szCs w:val="21"/>
        </w:rPr>
        <w:t>7-10个</w:t>
      </w:r>
      <w:r>
        <w:rPr>
          <w:rFonts w:hint="eastAsia" w:ascii="宋体" w:hAnsi="宋体"/>
          <w:szCs w:val="21"/>
        </w:rPr>
        <w:t>）内，报请财政支付依据批复的初步设计概算核定代建服务费总金额的</w:t>
      </w:r>
      <w:r>
        <w:rPr>
          <w:rFonts w:hint="eastAsia" w:ascii="宋体" w:hAnsi="宋体"/>
          <w:i/>
          <w:iCs/>
          <w:szCs w:val="21"/>
          <w:u w:val="single"/>
        </w:rPr>
        <w:t>20％</w:t>
      </w:r>
      <w:r>
        <w:rPr>
          <w:rFonts w:hint="eastAsia" w:ascii="宋体" w:hAnsi="宋体"/>
          <w:szCs w:val="21"/>
        </w:rPr>
        <w:t>，代建服务费总金额与暂定总金额有差额的，在本次支付中应按预付款情况予以扣减或补足，如扣减不足的，在下一个支付阶段予以扣减；</w:t>
      </w:r>
    </w:p>
    <w:p>
      <w:pPr>
        <w:pStyle w:val="33"/>
        <w:spacing w:line="500" w:lineRule="exact"/>
        <w:ind w:left="0" w:firstLine="426"/>
        <w:rPr>
          <w:rFonts w:ascii="宋体" w:hAnsi="宋体"/>
          <w:szCs w:val="21"/>
        </w:rPr>
      </w:pPr>
      <w:r>
        <w:rPr>
          <w:rFonts w:hint="eastAsia" w:ascii="宋体" w:hAnsi="宋体"/>
          <w:szCs w:val="21"/>
        </w:rPr>
        <w:t>主体工程封顶后，乙方向甲方提出书面支付申请和支付凭证，甲方在</w:t>
      </w:r>
      <w:r>
        <w:rPr>
          <w:rFonts w:hint="eastAsia" w:ascii="宋体" w:hAnsi="宋体"/>
          <w:szCs w:val="21"/>
          <w:u w:val="single"/>
        </w:rPr>
        <w:t xml:space="preserve">    </w:t>
      </w:r>
      <w:r>
        <w:rPr>
          <w:rFonts w:hint="eastAsia" w:ascii="宋体" w:hAnsi="宋体"/>
          <w:szCs w:val="21"/>
        </w:rPr>
        <w:t>个工作日（</w:t>
      </w:r>
      <w:r>
        <w:rPr>
          <w:rFonts w:hint="eastAsia" w:ascii="宋体" w:hAnsi="宋体"/>
          <w:i/>
          <w:szCs w:val="21"/>
        </w:rPr>
        <w:t>7-10个</w:t>
      </w:r>
      <w:r>
        <w:rPr>
          <w:rFonts w:hint="eastAsia" w:ascii="宋体" w:hAnsi="宋体"/>
          <w:szCs w:val="21"/>
        </w:rPr>
        <w:t>）内，报请财政支付依据批复的初步设计概算核定代建服务费总金额的</w:t>
      </w:r>
      <w:r>
        <w:rPr>
          <w:rFonts w:hint="eastAsia" w:ascii="宋体" w:hAnsi="宋体"/>
          <w:szCs w:val="21"/>
          <w:u w:val="single"/>
        </w:rPr>
        <w:t xml:space="preserve">    %</w:t>
      </w:r>
      <w:r>
        <w:rPr>
          <w:rFonts w:hint="eastAsia" w:ascii="宋体" w:hAnsi="宋体"/>
          <w:szCs w:val="21"/>
        </w:rPr>
        <w:t>（</w:t>
      </w:r>
      <w:r>
        <w:rPr>
          <w:rFonts w:hint="eastAsia" w:ascii="宋体" w:hAnsi="宋体"/>
          <w:i/>
          <w:szCs w:val="21"/>
        </w:rPr>
        <w:t>10％-20%</w:t>
      </w:r>
      <w:r>
        <w:rPr>
          <w:rFonts w:hint="eastAsia" w:ascii="宋体" w:hAnsi="宋体"/>
          <w:szCs w:val="21"/>
        </w:rPr>
        <w:t>），代建服务费总金额与暂定总金额有差额且在上一次支付中尚未扣减完的，在本次支付中继续扣减；</w:t>
      </w:r>
    </w:p>
    <w:p>
      <w:pPr>
        <w:pStyle w:val="33"/>
        <w:spacing w:line="500" w:lineRule="exact"/>
        <w:ind w:left="0" w:firstLine="426"/>
        <w:rPr>
          <w:rFonts w:ascii="宋体" w:hAnsi="宋体"/>
          <w:szCs w:val="21"/>
        </w:rPr>
      </w:pPr>
      <w:r>
        <w:rPr>
          <w:rFonts w:hint="eastAsia" w:ascii="宋体" w:hAnsi="宋体"/>
          <w:szCs w:val="21"/>
        </w:rPr>
        <w:t>工程整体竣工验收合格后，乙方向甲方提出书面支付申请和支付凭证，甲方在</w:t>
      </w:r>
      <w:r>
        <w:rPr>
          <w:rFonts w:hint="eastAsia" w:ascii="宋体" w:hAnsi="宋体"/>
          <w:szCs w:val="21"/>
          <w:u w:val="single"/>
        </w:rPr>
        <w:t xml:space="preserve">    </w:t>
      </w:r>
      <w:r>
        <w:rPr>
          <w:rFonts w:hint="eastAsia" w:ascii="宋体" w:hAnsi="宋体"/>
          <w:szCs w:val="21"/>
        </w:rPr>
        <w:t>个工作日（</w:t>
      </w:r>
      <w:r>
        <w:rPr>
          <w:rFonts w:hint="eastAsia" w:ascii="宋体" w:hAnsi="宋体"/>
          <w:i/>
          <w:szCs w:val="21"/>
        </w:rPr>
        <w:t>7-10个</w:t>
      </w:r>
      <w:r>
        <w:rPr>
          <w:rFonts w:hint="eastAsia" w:ascii="宋体" w:hAnsi="宋体"/>
          <w:szCs w:val="21"/>
        </w:rPr>
        <w:t>）内，报请财政支付依据批复的初步设计概算核定代建服务费总金额的</w:t>
      </w:r>
      <w:r>
        <w:rPr>
          <w:rFonts w:hint="eastAsia" w:ascii="宋体" w:hAnsi="宋体"/>
          <w:i/>
          <w:iCs/>
          <w:szCs w:val="21"/>
          <w:u w:val="single"/>
        </w:rPr>
        <w:t>20％</w:t>
      </w:r>
      <w:r>
        <w:rPr>
          <w:rFonts w:hint="eastAsia" w:ascii="宋体" w:hAnsi="宋体"/>
          <w:szCs w:val="21"/>
        </w:rPr>
        <w:t>；</w:t>
      </w:r>
    </w:p>
    <w:p>
      <w:pPr>
        <w:pStyle w:val="33"/>
        <w:spacing w:line="500" w:lineRule="exact"/>
        <w:ind w:left="0" w:firstLine="426"/>
        <w:rPr>
          <w:rFonts w:ascii="宋体" w:hAnsi="宋体"/>
          <w:szCs w:val="21"/>
        </w:rPr>
      </w:pPr>
      <w:r>
        <w:rPr>
          <w:rFonts w:hint="eastAsia" w:ascii="宋体" w:hAnsi="宋体"/>
          <w:szCs w:val="21"/>
        </w:rPr>
        <w:t>余款（</w:t>
      </w:r>
      <w:r>
        <w:rPr>
          <w:rFonts w:hint="eastAsia" w:ascii="宋体" w:hAnsi="宋体"/>
          <w:i/>
          <w:szCs w:val="21"/>
        </w:rPr>
        <w:t>代建服务费总额的5%-10%</w:t>
      </w:r>
      <w:r>
        <w:rPr>
          <w:rFonts w:hint="eastAsia" w:ascii="宋体" w:hAnsi="宋体"/>
          <w:szCs w:val="21"/>
        </w:rPr>
        <w:t>）待代建范围内工程决算完成后的</w:t>
      </w:r>
      <w:r>
        <w:rPr>
          <w:rFonts w:hint="eastAsia" w:ascii="宋体" w:hAnsi="宋体"/>
          <w:szCs w:val="21"/>
          <w:u w:val="single"/>
        </w:rPr>
        <w:t xml:space="preserve">    </w:t>
      </w:r>
      <w:r>
        <w:rPr>
          <w:rFonts w:hint="eastAsia" w:ascii="宋体" w:hAnsi="宋体"/>
          <w:szCs w:val="21"/>
        </w:rPr>
        <w:t>日（</w:t>
      </w:r>
      <w:r>
        <w:rPr>
          <w:rFonts w:hint="eastAsia" w:ascii="宋体" w:hAnsi="宋体"/>
          <w:i/>
          <w:szCs w:val="21"/>
        </w:rPr>
        <w:t>一般为14日</w:t>
      </w:r>
      <w:r>
        <w:rPr>
          <w:rFonts w:hint="eastAsia" w:ascii="宋体" w:hAnsi="宋体"/>
          <w:szCs w:val="21"/>
        </w:rPr>
        <w:t>）内付清。</w:t>
      </w:r>
    </w:p>
    <w:p>
      <w:pPr>
        <w:pStyle w:val="33"/>
        <w:spacing w:line="500" w:lineRule="exact"/>
        <w:ind w:left="0" w:firstLine="426"/>
        <w:rPr>
          <w:rFonts w:ascii="宋体" w:hAnsi="宋体"/>
          <w:szCs w:val="21"/>
        </w:rPr>
      </w:pPr>
      <w:r>
        <w:rPr>
          <w:rFonts w:hint="eastAsia" w:ascii="宋体" w:hAnsi="宋体"/>
          <w:szCs w:val="21"/>
        </w:rPr>
        <w:t>□其他工程按有关行业特点或有关规定约定。</w:t>
      </w:r>
    </w:p>
    <w:p>
      <w:pPr>
        <w:pStyle w:val="33"/>
        <w:spacing w:line="500" w:lineRule="exact"/>
        <w:jc w:val="center"/>
        <w:rPr>
          <w:rFonts w:ascii="宋体" w:hAnsi="宋体"/>
          <w:b/>
          <w:bCs/>
          <w:szCs w:val="21"/>
        </w:rPr>
      </w:pPr>
      <w:r>
        <w:rPr>
          <w:rFonts w:hint="eastAsia" w:ascii="宋体" w:hAnsi="宋体"/>
          <w:b/>
          <w:bCs/>
          <w:szCs w:val="21"/>
        </w:rPr>
        <w:t>第五节  不可抗力</w:t>
      </w:r>
    </w:p>
    <w:p>
      <w:pPr>
        <w:pStyle w:val="33"/>
        <w:spacing w:line="500" w:lineRule="exact"/>
        <w:jc w:val="left"/>
        <w:rPr>
          <w:rFonts w:ascii="宋体" w:hAnsi="宋体"/>
          <w:b/>
          <w:bCs/>
          <w:szCs w:val="21"/>
        </w:rPr>
      </w:pPr>
      <w:r>
        <w:rPr>
          <w:rFonts w:hint="eastAsia" w:ascii="宋体" w:hAnsi="宋体"/>
          <w:b/>
          <w:bCs/>
          <w:szCs w:val="21"/>
        </w:rPr>
        <w:t>第14条</w:t>
      </w:r>
      <w:r>
        <w:rPr>
          <w:rFonts w:ascii="宋体" w:hAnsi="宋体"/>
          <w:b/>
          <w:bCs/>
          <w:szCs w:val="21"/>
        </w:rPr>
        <w:t xml:space="preserve">  </w:t>
      </w:r>
      <w:r>
        <w:rPr>
          <w:rFonts w:hint="eastAsia" w:ascii="宋体" w:hAnsi="宋体"/>
          <w:b/>
          <w:bCs/>
          <w:szCs w:val="21"/>
        </w:rPr>
        <w:t>不可抗力</w:t>
      </w:r>
    </w:p>
    <w:p>
      <w:pPr>
        <w:pStyle w:val="33"/>
        <w:spacing w:line="500" w:lineRule="exact"/>
        <w:rPr>
          <w:rFonts w:ascii="宋体" w:hAnsi="宋体"/>
          <w:szCs w:val="21"/>
        </w:rPr>
      </w:pPr>
      <w:r>
        <w:rPr>
          <w:rFonts w:hint="eastAsia" w:ascii="宋体" w:hAnsi="宋体"/>
          <w:szCs w:val="21"/>
        </w:rPr>
        <w:t>14.1  不可抗力的确认</w:t>
      </w:r>
    </w:p>
    <w:p>
      <w:pPr>
        <w:pStyle w:val="33"/>
        <w:spacing w:line="500" w:lineRule="exact"/>
        <w:ind w:left="0" w:firstLine="426"/>
        <w:rPr>
          <w:rFonts w:ascii="宋体" w:hAnsi="宋体"/>
          <w:szCs w:val="21"/>
        </w:rPr>
      </w:pPr>
      <w:r>
        <w:rPr>
          <w:rFonts w:hint="eastAsia" w:ascii="宋体" w:hAnsi="宋体"/>
          <w:szCs w:val="21"/>
        </w:rPr>
        <w:t>14.1.1  不可抗力还包括：</w:t>
      </w:r>
      <w:r>
        <w:rPr>
          <w:rFonts w:hint="eastAsia" w:ascii="宋体" w:hAnsi="宋体"/>
          <w:szCs w:val="21"/>
          <w:u w:val="single"/>
        </w:rPr>
        <w:t xml:space="preserve">                                 </w:t>
      </w:r>
      <w:r>
        <w:rPr>
          <w:rFonts w:hint="eastAsia" w:ascii="宋体" w:hAnsi="宋体"/>
          <w:szCs w:val="21"/>
        </w:rPr>
        <w:t>。</w:t>
      </w:r>
    </w:p>
    <w:p>
      <w:pPr>
        <w:pStyle w:val="33"/>
        <w:spacing w:line="500" w:lineRule="exact"/>
        <w:rPr>
          <w:rFonts w:ascii="宋体" w:hAnsi="宋体"/>
          <w:szCs w:val="21"/>
        </w:rPr>
      </w:pPr>
      <w:r>
        <w:rPr>
          <w:rFonts w:hint="eastAsia" w:ascii="宋体" w:hAnsi="宋体"/>
          <w:szCs w:val="21"/>
        </w:rPr>
        <w:t>14.3  不可抗力后果及处理的其他约定为：</w:t>
      </w:r>
      <w:r>
        <w:rPr>
          <w:rFonts w:hint="eastAsia" w:ascii="宋体" w:hAnsi="宋体"/>
          <w:szCs w:val="21"/>
          <w:u w:val="single"/>
        </w:rPr>
        <w:t xml:space="preserve">                   </w:t>
      </w:r>
      <w:r>
        <w:rPr>
          <w:rFonts w:hint="eastAsia" w:ascii="宋体" w:hAnsi="宋体"/>
          <w:szCs w:val="21"/>
        </w:rPr>
        <w:t>。</w:t>
      </w:r>
    </w:p>
    <w:p>
      <w:pPr>
        <w:pStyle w:val="33"/>
        <w:spacing w:line="500" w:lineRule="exact"/>
        <w:rPr>
          <w:rFonts w:ascii="宋体" w:hAnsi="宋体"/>
          <w:kern w:val="0"/>
          <w:szCs w:val="21"/>
        </w:rPr>
      </w:pPr>
    </w:p>
    <w:p>
      <w:pPr>
        <w:pStyle w:val="33"/>
        <w:spacing w:line="500" w:lineRule="exact"/>
        <w:jc w:val="center"/>
        <w:rPr>
          <w:rFonts w:ascii="宋体" w:hAnsi="宋体"/>
          <w:b/>
          <w:bCs/>
          <w:szCs w:val="21"/>
        </w:rPr>
      </w:pPr>
      <w:r>
        <w:rPr>
          <w:rFonts w:hint="eastAsia" w:ascii="宋体" w:hAnsi="宋体"/>
          <w:b/>
          <w:bCs/>
          <w:szCs w:val="21"/>
        </w:rPr>
        <w:t>第六节  履约担保、违约及赔偿责任和争议解决</w:t>
      </w:r>
    </w:p>
    <w:p>
      <w:pPr>
        <w:pStyle w:val="33"/>
        <w:spacing w:line="500" w:lineRule="exact"/>
        <w:jc w:val="left"/>
        <w:rPr>
          <w:rFonts w:ascii="宋体" w:hAnsi="宋体"/>
          <w:b/>
          <w:bCs/>
          <w:szCs w:val="21"/>
        </w:rPr>
      </w:pPr>
      <w:r>
        <w:rPr>
          <w:rFonts w:hint="eastAsia" w:ascii="宋体" w:hAnsi="宋体"/>
          <w:b/>
          <w:bCs/>
          <w:szCs w:val="21"/>
        </w:rPr>
        <w:t>第15条</w:t>
      </w:r>
      <w:r>
        <w:rPr>
          <w:rFonts w:ascii="宋体" w:hAnsi="宋体"/>
          <w:b/>
          <w:bCs/>
          <w:szCs w:val="21"/>
        </w:rPr>
        <w:t xml:space="preserve">  </w:t>
      </w:r>
      <w:r>
        <w:rPr>
          <w:rFonts w:hint="eastAsia" w:ascii="宋体" w:hAnsi="宋体"/>
          <w:b/>
          <w:bCs/>
          <w:szCs w:val="21"/>
        </w:rPr>
        <w:t>履约担保</w:t>
      </w:r>
    </w:p>
    <w:p>
      <w:pPr>
        <w:pStyle w:val="33"/>
        <w:spacing w:line="500" w:lineRule="exact"/>
        <w:rPr>
          <w:rFonts w:ascii="宋体" w:hAnsi="宋体"/>
          <w:szCs w:val="21"/>
        </w:rPr>
      </w:pPr>
      <w:r>
        <w:rPr>
          <w:rFonts w:hint="eastAsia" w:ascii="宋体" w:hAnsi="宋体"/>
          <w:szCs w:val="21"/>
        </w:rPr>
        <w:t>15.1 履约担保</w:t>
      </w:r>
    </w:p>
    <w:p>
      <w:pPr>
        <w:pStyle w:val="33"/>
        <w:spacing w:line="500" w:lineRule="exact"/>
        <w:ind w:left="0" w:firstLine="426"/>
        <w:rPr>
          <w:rFonts w:ascii="宋体" w:hAnsi="宋体"/>
          <w:szCs w:val="21"/>
        </w:rPr>
      </w:pPr>
      <w:r>
        <w:rPr>
          <w:rFonts w:hint="eastAsia" w:ascii="宋体" w:hAnsi="宋体"/>
          <w:szCs w:val="21"/>
        </w:rPr>
        <w:t>15.1.1 乙方向甲方提交的金融机构履约担保额度为</w:t>
      </w:r>
      <w:r>
        <w:rPr>
          <w:rFonts w:hint="eastAsia" w:ascii="宋体" w:hAnsi="宋体"/>
          <w:szCs w:val="21"/>
          <w:u w:val="single"/>
        </w:rPr>
        <w:t xml:space="preserve">  </w:t>
      </w:r>
      <w:r>
        <w:rPr>
          <w:rFonts w:hint="eastAsia" w:ascii="宋体" w:hAnsi="宋体"/>
          <w:szCs w:val="21"/>
        </w:rPr>
        <w:t>万元（履约担保金额比率为项目中标合同金额的</w:t>
      </w:r>
      <w:r>
        <w:rPr>
          <w:rFonts w:hint="eastAsia" w:ascii="宋体" w:hAnsi="宋体"/>
          <w:szCs w:val="21"/>
          <w:u w:val="single"/>
        </w:rPr>
        <w:t xml:space="preserve">   </w:t>
      </w:r>
      <w:r>
        <w:rPr>
          <w:rFonts w:hint="eastAsia" w:ascii="宋体" w:hAnsi="宋体"/>
          <w:szCs w:val="21"/>
        </w:rPr>
        <w:t>%）。</w:t>
      </w:r>
    </w:p>
    <w:p>
      <w:pPr>
        <w:pStyle w:val="33"/>
        <w:spacing w:line="500" w:lineRule="exact"/>
        <w:jc w:val="left"/>
        <w:rPr>
          <w:rFonts w:hint="eastAsia" w:ascii="宋体" w:hAnsi="宋体"/>
          <w:b/>
          <w:bCs/>
          <w:szCs w:val="21"/>
        </w:rPr>
      </w:pPr>
      <w:r>
        <w:rPr>
          <w:rFonts w:hint="eastAsia" w:ascii="宋体" w:hAnsi="宋体"/>
          <w:b/>
          <w:bCs/>
          <w:szCs w:val="21"/>
        </w:rPr>
        <w:t>第</w:t>
      </w:r>
      <w:r>
        <w:rPr>
          <w:rFonts w:hint="eastAsia" w:ascii="宋体" w:hAnsi="宋体"/>
          <w:b/>
          <w:bCs/>
          <w:szCs w:val="21"/>
          <w:lang w:val="en-US" w:eastAsia="zh-CN"/>
        </w:rPr>
        <w:t>16</w:t>
      </w:r>
      <w:r>
        <w:rPr>
          <w:rFonts w:hint="eastAsia" w:ascii="宋体" w:hAnsi="宋体"/>
          <w:b/>
          <w:bCs/>
          <w:szCs w:val="21"/>
        </w:rPr>
        <w:t>条  违约及赔偿责任</w:t>
      </w:r>
    </w:p>
    <w:p>
      <w:pPr>
        <w:pStyle w:val="33"/>
        <w:spacing w:line="500" w:lineRule="exact"/>
        <w:rPr>
          <w:rFonts w:ascii="宋体" w:hAnsi="宋体"/>
          <w:szCs w:val="21"/>
        </w:rPr>
      </w:pPr>
      <w:r>
        <w:rPr>
          <w:rFonts w:hint="eastAsia" w:ascii="宋体" w:hAnsi="宋体"/>
          <w:szCs w:val="21"/>
        </w:rPr>
        <w:t>16.1  甲方违约</w:t>
      </w:r>
    </w:p>
    <w:p>
      <w:pPr>
        <w:pStyle w:val="33"/>
        <w:spacing w:line="500" w:lineRule="exact"/>
        <w:ind w:left="0" w:firstLine="426"/>
        <w:rPr>
          <w:rFonts w:ascii="宋体" w:hAnsi="宋体"/>
          <w:szCs w:val="21"/>
        </w:rPr>
      </w:pPr>
      <w:r>
        <w:rPr>
          <w:rFonts w:ascii="宋体" w:hAnsi="宋体"/>
          <w:szCs w:val="21"/>
        </w:rPr>
        <w:t xml:space="preserve">16.1.1 </w:t>
      </w:r>
      <w:r>
        <w:rPr>
          <w:rFonts w:hint="eastAsia" w:ascii="宋体" w:hAnsi="宋体"/>
          <w:szCs w:val="21"/>
        </w:rPr>
        <w:t>甲方违约的情形</w:t>
      </w:r>
    </w:p>
    <w:p>
      <w:pPr>
        <w:pStyle w:val="33"/>
        <w:spacing w:line="500" w:lineRule="exact"/>
        <w:ind w:left="0" w:firstLine="426"/>
        <w:rPr>
          <w:rFonts w:ascii="宋体" w:hAnsi="宋体"/>
          <w:szCs w:val="21"/>
        </w:rPr>
      </w:pPr>
      <w:r>
        <w:rPr>
          <w:rFonts w:hint="eastAsia" w:ascii="宋体" w:hAnsi="宋体"/>
          <w:szCs w:val="21"/>
        </w:rPr>
        <w:t>（2）对乙方签认报请支付专业单位款项，甲方应在</w:t>
      </w:r>
      <w:r>
        <w:rPr>
          <w:rFonts w:hint="eastAsia" w:ascii="宋体" w:hAnsi="宋体"/>
          <w:szCs w:val="21"/>
          <w:u w:val="single"/>
        </w:rPr>
        <w:t>15</w:t>
      </w:r>
      <w:r>
        <w:rPr>
          <w:rFonts w:hint="eastAsia" w:ascii="宋体" w:hAnsi="宋体"/>
          <w:szCs w:val="21"/>
        </w:rPr>
        <w:t>个工作日内向财政申请支付。</w:t>
      </w:r>
    </w:p>
    <w:p>
      <w:pPr>
        <w:pStyle w:val="33"/>
        <w:spacing w:line="500" w:lineRule="exact"/>
        <w:ind w:left="0" w:firstLine="426"/>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）甲方设备选型、材料选择的时限为：</w:t>
      </w:r>
      <w:r>
        <w:rPr>
          <w:rFonts w:ascii="宋体" w:hAnsi="宋体"/>
          <w:szCs w:val="21"/>
          <w:u w:val="single"/>
        </w:rPr>
        <w:t>15</w:t>
      </w:r>
      <w:r>
        <w:rPr>
          <w:rFonts w:hint="eastAsia" w:ascii="宋体" w:hAnsi="宋体"/>
          <w:szCs w:val="21"/>
        </w:rPr>
        <w:t>日。</w:t>
      </w:r>
    </w:p>
    <w:p>
      <w:pPr>
        <w:pStyle w:val="33"/>
        <w:spacing w:line="500" w:lineRule="exact"/>
        <w:ind w:left="0" w:firstLine="426"/>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）甲方应在</w:t>
      </w:r>
      <w:r>
        <w:rPr>
          <w:rFonts w:ascii="宋体" w:hAnsi="宋体"/>
          <w:szCs w:val="21"/>
          <w:u w:val="single"/>
        </w:rPr>
        <w:t>7</w:t>
      </w:r>
      <w:r>
        <w:rPr>
          <w:rFonts w:hint="eastAsia" w:ascii="宋体" w:hAnsi="宋体"/>
          <w:szCs w:val="21"/>
        </w:rPr>
        <w:t>日内对乙方书面提交并要求作出决定的事宜予以书面答复。</w:t>
      </w:r>
    </w:p>
    <w:p>
      <w:pPr>
        <w:pStyle w:val="33"/>
        <w:spacing w:line="500" w:lineRule="exact"/>
        <w:ind w:left="0" w:firstLine="426"/>
        <w:rPr>
          <w:rFonts w:ascii="宋体" w:hAnsi="宋体"/>
          <w:szCs w:val="21"/>
        </w:rPr>
      </w:pPr>
      <w:r>
        <w:rPr>
          <w:rFonts w:hint="eastAsia" w:ascii="宋体" w:hAnsi="宋体"/>
          <w:szCs w:val="21"/>
        </w:rPr>
        <w:t>（8）甲方不履行合同约定其他义务的情形：</w:t>
      </w:r>
      <w:r>
        <w:rPr>
          <w:rFonts w:ascii="宋体" w:hAnsi="宋体"/>
          <w:szCs w:val="21"/>
          <w:u w:val="single"/>
        </w:rPr>
        <w:t xml:space="preserve">                  </w:t>
      </w:r>
    </w:p>
    <w:p>
      <w:pPr>
        <w:pStyle w:val="33"/>
        <w:spacing w:line="500" w:lineRule="exact"/>
        <w:rPr>
          <w:rFonts w:ascii="宋体" w:hAnsi="宋体"/>
          <w:szCs w:val="21"/>
        </w:rPr>
      </w:pPr>
      <w:r>
        <w:rPr>
          <w:rFonts w:hint="eastAsia" w:ascii="宋体" w:hAnsi="宋体"/>
          <w:szCs w:val="21"/>
        </w:rPr>
        <w:t>16.2 乙方违约</w:t>
      </w:r>
    </w:p>
    <w:p>
      <w:pPr>
        <w:pStyle w:val="33"/>
        <w:spacing w:line="500" w:lineRule="exact"/>
        <w:ind w:left="0" w:firstLine="371" w:firstLineChars="177"/>
        <w:rPr>
          <w:rFonts w:ascii="宋体" w:hAnsi="宋体"/>
          <w:szCs w:val="21"/>
        </w:rPr>
      </w:pPr>
      <w:r>
        <w:rPr>
          <w:rFonts w:hint="eastAsia" w:ascii="宋体" w:hAnsi="宋体"/>
          <w:szCs w:val="21"/>
        </w:rPr>
        <w:t>16.2.1 乙方违约的情形</w:t>
      </w:r>
    </w:p>
    <w:p>
      <w:pPr>
        <w:pStyle w:val="33"/>
        <w:spacing w:line="500" w:lineRule="exact"/>
        <w:ind w:left="0" w:firstLine="371" w:firstLineChars="177"/>
        <w:rPr>
          <w:rFonts w:ascii="宋体" w:hAnsi="宋体"/>
          <w:szCs w:val="21"/>
        </w:rPr>
      </w:pPr>
      <w:r>
        <w:rPr>
          <w:rFonts w:hint="eastAsia" w:ascii="宋体" w:hAnsi="宋体"/>
          <w:szCs w:val="21"/>
        </w:rPr>
        <w:t>（9）乙方不按合同约定履行义务的其他情况：</w:t>
      </w:r>
      <w:r>
        <w:rPr>
          <w:rFonts w:hint="eastAsia" w:ascii="宋体" w:hAnsi="宋体"/>
          <w:szCs w:val="21"/>
          <w:u w:val="single"/>
        </w:rPr>
        <w:t xml:space="preserve">                </w:t>
      </w:r>
    </w:p>
    <w:p>
      <w:pPr>
        <w:pStyle w:val="33"/>
        <w:spacing w:line="500" w:lineRule="exact"/>
        <w:rPr>
          <w:rFonts w:ascii="宋体" w:hAnsi="宋体"/>
          <w:szCs w:val="21"/>
        </w:rPr>
      </w:pPr>
      <w:r>
        <w:rPr>
          <w:rFonts w:hint="eastAsia" w:ascii="宋体" w:hAnsi="宋体"/>
          <w:szCs w:val="21"/>
        </w:rPr>
        <w:t>16.3  违约处理及赔偿责任</w:t>
      </w:r>
    </w:p>
    <w:p>
      <w:pPr>
        <w:pStyle w:val="33"/>
        <w:spacing w:line="500" w:lineRule="exact"/>
        <w:ind w:left="0" w:firstLine="371" w:firstLineChars="177"/>
        <w:rPr>
          <w:rFonts w:ascii="宋体" w:hAnsi="宋体"/>
          <w:szCs w:val="21"/>
        </w:rPr>
      </w:pPr>
      <w:r>
        <w:rPr>
          <w:rFonts w:hint="eastAsia" w:ascii="宋体" w:hAnsi="宋体"/>
          <w:szCs w:val="21"/>
        </w:rPr>
        <w:t>16.3.1 甲方的违约处理</w:t>
      </w:r>
    </w:p>
    <w:p>
      <w:pPr>
        <w:pStyle w:val="33"/>
        <w:spacing w:line="500" w:lineRule="exact"/>
        <w:ind w:left="0" w:firstLine="371" w:firstLineChars="177"/>
        <w:rPr>
          <w:rFonts w:ascii="宋体" w:hAnsi="宋体"/>
          <w:szCs w:val="21"/>
        </w:rPr>
      </w:pPr>
      <w:r>
        <w:rPr>
          <w:rFonts w:hint="eastAsia" w:ascii="宋体" w:hAnsi="宋体"/>
          <w:szCs w:val="21"/>
        </w:rPr>
        <w:t>（1）因甲方违约造成工期延误的，每超过一天，甲方应支付</w:t>
      </w:r>
      <w:r>
        <w:rPr>
          <w:rFonts w:hint="eastAsia" w:ascii="宋体" w:hAnsi="宋体"/>
          <w:szCs w:val="21"/>
          <w:u w:val="single"/>
        </w:rPr>
        <w:t xml:space="preserve">     </w:t>
      </w:r>
      <w:r>
        <w:rPr>
          <w:rFonts w:hint="eastAsia" w:ascii="宋体" w:hAnsi="宋体"/>
          <w:szCs w:val="21"/>
        </w:rPr>
        <w:t>元的违约金（</w:t>
      </w:r>
      <w:r>
        <w:rPr>
          <w:rFonts w:hint="eastAsia" w:ascii="宋体" w:hAnsi="宋体"/>
          <w:i/>
          <w:szCs w:val="21"/>
        </w:rPr>
        <w:t>金额按工期提前奖励对等确定）</w:t>
      </w:r>
      <w:r>
        <w:rPr>
          <w:rFonts w:hint="eastAsia" w:ascii="宋体" w:hAnsi="宋体"/>
          <w:szCs w:val="21"/>
        </w:rPr>
        <w:t>。</w:t>
      </w:r>
    </w:p>
    <w:p>
      <w:pPr>
        <w:pStyle w:val="33"/>
        <w:spacing w:line="500" w:lineRule="exact"/>
        <w:ind w:left="0" w:firstLine="371" w:firstLineChars="177"/>
        <w:rPr>
          <w:rFonts w:ascii="宋体" w:hAnsi="宋体"/>
          <w:szCs w:val="21"/>
        </w:rPr>
      </w:pPr>
      <w:r>
        <w:rPr>
          <w:rFonts w:hint="eastAsia" w:ascii="宋体" w:hAnsi="宋体"/>
          <w:szCs w:val="21"/>
        </w:rPr>
        <w:t>16.3.2 乙方的违约处理</w:t>
      </w:r>
    </w:p>
    <w:p>
      <w:pPr>
        <w:pStyle w:val="33"/>
        <w:spacing w:line="500" w:lineRule="exact"/>
        <w:ind w:left="0" w:firstLine="371" w:firstLineChars="177"/>
        <w:rPr>
          <w:rFonts w:ascii="宋体" w:hAnsi="宋体"/>
          <w:szCs w:val="21"/>
        </w:rPr>
      </w:pPr>
      <w:r>
        <w:rPr>
          <w:rFonts w:hint="eastAsia" w:ascii="宋体" w:hAnsi="宋体"/>
          <w:szCs w:val="21"/>
        </w:rPr>
        <w:t>（1）发生16.2.1中（1）-（3）种情形，按甲方要求按期整改到位的，每次对乙方处</w:t>
      </w:r>
      <w:r>
        <w:rPr>
          <w:rFonts w:hint="eastAsia" w:ascii="宋体" w:hAnsi="宋体"/>
          <w:szCs w:val="21"/>
          <w:u w:val="single"/>
        </w:rPr>
        <w:t xml:space="preserve">    </w:t>
      </w:r>
      <w:r>
        <w:rPr>
          <w:rFonts w:hint="eastAsia" w:ascii="宋体" w:hAnsi="宋体"/>
          <w:szCs w:val="21"/>
        </w:rPr>
        <w:t>万元（</w:t>
      </w:r>
      <w:r>
        <w:rPr>
          <w:rFonts w:hint="eastAsia" w:ascii="宋体" w:hAnsi="宋体"/>
          <w:i/>
          <w:szCs w:val="21"/>
        </w:rPr>
        <w:t>10-30万元，违约金总和不超过代建服务费</w:t>
      </w:r>
      <w:r>
        <w:rPr>
          <w:rFonts w:hint="eastAsia" w:ascii="宋体" w:hAnsi="宋体"/>
          <w:szCs w:val="21"/>
        </w:rPr>
        <w:t>）违约金。</w:t>
      </w:r>
    </w:p>
    <w:p>
      <w:pPr>
        <w:pStyle w:val="33"/>
        <w:spacing w:line="500" w:lineRule="exact"/>
        <w:ind w:left="0" w:firstLine="371" w:firstLineChars="177"/>
        <w:rPr>
          <w:rFonts w:ascii="宋体" w:hAnsi="宋体"/>
          <w:szCs w:val="21"/>
        </w:rPr>
      </w:pPr>
      <w:r>
        <w:rPr>
          <w:rFonts w:hint="eastAsia" w:ascii="宋体" w:hAnsi="宋体"/>
          <w:szCs w:val="21"/>
        </w:rPr>
        <w:t>（5）乙方按每天</w:t>
      </w:r>
      <w:r>
        <w:rPr>
          <w:rFonts w:hint="eastAsia" w:ascii="宋体" w:hAnsi="宋体"/>
          <w:szCs w:val="21"/>
          <w:u w:val="single"/>
        </w:rPr>
        <w:t xml:space="preserve">     </w:t>
      </w:r>
      <w:r>
        <w:rPr>
          <w:rFonts w:hint="eastAsia" w:ascii="宋体" w:hAnsi="宋体"/>
          <w:szCs w:val="21"/>
        </w:rPr>
        <w:t>元向甲方支付工期延误赔偿（</w:t>
      </w:r>
      <w:r>
        <w:rPr>
          <w:rFonts w:hint="eastAsia" w:ascii="宋体" w:hAnsi="宋体"/>
          <w:i/>
          <w:szCs w:val="21"/>
        </w:rPr>
        <w:t>金额按工期提前奖励对等确定</w:t>
      </w:r>
      <w:r>
        <w:rPr>
          <w:rFonts w:hint="eastAsia" w:ascii="宋体" w:hAnsi="宋体"/>
          <w:szCs w:val="21"/>
        </w:rPr>
        <w:t>）。</w:t>
      </w:r>
    </w:p>
    <w:p>
      <w:pPr>
        <w:pStyle w:val="33"/>
        <w:spacing w:line="500" w:lineRule="exact"/>
        <w:ind w:left="0" w:firstLine="371" w:firstLineChars="177"/>
        <w:rPr>
          <w:rFonts w:ascii="宋体" w:hAnsi="宋体"/>
          <w:szCs w:val="21"/>
        </w:rPr>
      </w:pPr>
      <w:r>
        <w:rPr>
          <w:rFonts w:hint="eastAsia" w:ascii="宋体" w:hAnsi="宋体"/>
          <w:szCs w:val="21"/>
        </w:rPr>
        <w:t>（6）发生质量安全责任事故乙方被认定承担管理责任的，乙方按事故损失10%的比例向甲方赔偿，并承担其他法定责任。</w:t>
      </w:r>
    </w:p>
    <w:p>
      <w:pPr>
        <w:pStyle w:val="33"/>
        <w:spacing w:line="500" w:lineRule="exact"/>
        <w:ind w:left="0" w:firstLine="435" w:firstLineChars="177"/>
        <w:rPr>
          <w:rFonts w:ascii="宋体" w:hAnsi="宋体"/>
          <w:szCs w:val="21"/>
        </w:rPr>
      </w:pPr>
      <w:r>
        <w:rPr>
          <w:rFonts w:hint="eastAsia" w:ascii="宋体" w:hAnsi="宋体"/>
          <w:spacing w:val="18"/>
          <w:szCs w:val="21"/>
        </w:rPr>
        <w:t>（7）乙方不按时履行缺陷责任期内组织维修义务的，每次处以</w:t>
      </w:r>
      <w:r>
        <w:rPr>
          <w:rFonts w:hint="eastAsia" w:ascii="宋体" w:hAnsi="宋体"/>
          <w:szCs w:val="21"/>
          <w:u w:val="single"/>
        </w:rPr>
        <w:t xml:space="preserve">     </w:t>
      </w:r>
      <w:r>
        <w:rPr>
          <w:rFonts w:hint="eastAsia" w:ascii="宋体" w:hAnsi="宋体"/>
          <w:szCs w:val="21"/>
        </w:rPr>
        <w:t>万元（</w:t>
      </w:r>
      <w:r>
        <w:rPr>
          <w:rFonts w:hint="eastAsia" w:ascii="宋体" w:hAnsi="宋体"/>
          <w:i/>
          <w:szCs w:val="21"/>
        </w:rPr>
        <w:t>1-3万元</w:t>
      </w:r>
      <w:r>
        <w:rPr>
          <w:rFonts w:hint="eastAsia" w:ascii="宋体" w:hAnsi="宋体"/>
          <w:szCs w:val="21"/>
        </w:rPr>
        <w:t>）违约金。</w:t>
      </w:r>
    </w:p>
    <w:p>
      <w:pPr>
        <w:pStyle w:val="33"/>
        <w:spacing w:line="500" w:lineRule="exact"/>
        <w:rPr>
          <w:rFonts w:ascii="宋体" w:hAnsi="宋体"/>
          <w:szCs w:val="21"/>
        </w:rPr>
      </w:pPr>
      <w:r>
        <w:rPr>
          <w:rFonts w:hint="eastAsia" w:ascii="宋体" w:hAnsi="宋体"/>
          <w:szCs w:val="21"/>
        </w:rPr>
        <w:t xml:space="preserve">                         </w:t>
      </w:r>
    </w:p>
    <w:p>
      <w:pPr>
        <w:pStyle w:val="33"/>
        <w:spacing w:line="500" w:lineRule="exact"/>
        <w:jc w:val="center"/>
        <w:rPr>
          <w:rFonts w:ascii="宋体" w:hAnsi="宋体"/>
          <w:b/>
          <w:bCs/>
          <w:szCs w:val="21"/>
        </w:rPr>
      </w:pPr>
      <w:r>
        <w:rPr>
          <w:rFonts w:hint="eastAsia" w:ascii="宋体" w:hAnsi="宋体"/>
          <w:b/>
          <w:bCs/>
          <w:szCs w:val="21"/>
        </w:rPr>
        <w:t>第七节  奖励</w:t>
      </w:r>
    </w:p>
    <w:p>
      <w:pPr>
        <w:pStyle w:val="33"/>
        <w:spacing w:line="500" w:lineRule="exact"/>
        <w:jc w:val="left"/>
        <w:rPr>
          <w:rFonts w:ascii="宋体" w:hAnsi="宋体"/>
          <w:b/>
          <w:bCs/>
          <w:szCs w:val="21"/>
        </w:rPr>
      </w:pPr>
      <w:r>
        <w:rPr>
          <w:rFonts w:hint="eastAsia" w:ascii="宋体" w:hAnsi="宋体"/>
          <w:b/>
          <w:bCs/>
          <w:szCs w:val="21"/>
        </w:rPr>
        <w:t>第18条  奖励</w:t>
      </w:r>
    </w:p>
    <w:p>
      <w:pPr>
        <w:pStyle w:val="33"/>
        <w:spacing w:line="500" w:lineRule="exact"/>
        <w:rPr>
          <w:rFonts w:ascii="宋体" w:hAnsi="宋体"/>
          <w:szCs w:val="21"/>
        </w:rPr>
      </w:pPr>
      <w:r>
        <w:rPr>
          <w:rFonts w:hint="eastAsia" w:ascii="宋体" w:hAnsi="宋体"/>
          <w:szCs w:val="21"/>
        </w:rPr>
        <w:t>18.1  按节余资金</w:t>
      </w:r>
      <w:r>
        <w:rPr>
          <w:rFonts w:hint="eastAsia" w:ascii="宋体" w:hAnsi="宋体"/>
          <w:szCs w:val="21"/>
          <w:u w:val="single"/>
        </w:rPr>
        <w:t xml:space="preserve">     </w:t>
      </w:r>
      <w:r>
        <w:rPr>
          <w:rFonts w:hint="eastAsia" w:ascii="宋体" w:hAnsi="宋体"/>
          <w:szCs w:val="21"/>
        </w:rPr>
        <w:t>％（</w:t>
      </w:r>
      <w:r>
        <w:rPr>
          <w:rFonts w:hint="eastAsia" w:ascii="宋体" w:hAnsi="宋体"/>
          <w:i/>
          <w:szCs w:val="21"/>
        </w:rPr>
        <w:t>不超过20%</w:t>
      </w:r>
      <w:r>
        <w:rPr>
          <w:rFonts w:hint="eastAsia" w:ascii="宋体" w:hAnsi="宋体"/>
          <w:szCs w:val="21"/>
        </w:rPr>
        <w:t>）的比例对乙方进行奖励，最终以财政部门核定的金额为准。</w:t>
      </w:r>
    </w:p>
    <w:p>
      <w:pPr>
        <w:pStyle w:val="33"/>
        <w:spacing w:line="500" w:lineRule="exact"/>
        <w:rPr>
          <w:rFonts w:ascii="宋体" w:hAnsi="宋体"/>
          <w:szCs w:val="21"/>
        </w:rPr>
      </w:pPr>
      <w:r>
        <w:rPr>
          <w:rFonts w:hint="eastAsia" w:ascii="宋体" w:hAnsi="宋体"/>
          <w:szCs w:val="21"/>
        </w:rPr>
        <w:t>18.2  本项目获得</w:t>
      </w:r>
      <w:r>
        <w:rPr>
          <w:rFonts w:hint="eastAsia" w:ascii="宋体" w:hAnsi="宋体"/>
          <w:szCs w:val="21"/>
          <w:u w:val="single"/>
        </w:rPr>
        <w:t xml:space="preserve">           </w:t>
      </w:r>
      <w:r>
        <w:rPr>
          <w:rFonts w:hint="eastAsia" w:ascii="宋体" w:hAnsi="宋体"/>
          <w:szCs w:val="21"/>
        </w:rPr>
        <w:t>奖项（</w:t>
      </w:r>
      <w:r>
        <w:rPr>
          <w:rFonts w:hint="eastAsia" w:ascii="宋体" w:hAnsi="宋体"/>
          <w:i/>
          <w:szCs w:val="21"/>
        </w:rPr>
        <w:t>国家级</w:t>
      </w:r>
      <w:r>
        <w:rPr>
          <w:rFonts w:hint="eastAsia" w:ascii="宋体" w:hAnsi="宋体"/>
          <w:szCs w:val="21"/>
        </w:rPr>
        <w:t>）的，甲方奖励乙方</w:t>
      </w:r>
      <w:r>
        <w:rPr>
          <w:rFonts w:hint="eastAsia" w:ascii="宋体" w:hAnsi="宋体"/>
          <w:szCs w:val="21"/>
          <w:u w:val="single"/>
        </w:rPr>
        <w:t xml:space="preserve">     </w:t>
      </w:r>
      <w:r>
        <w:rPr>
          <w:rFonts w:hint="eastAsia" w:ascii="宋体" w:hAnsi="宋体"/>
          <w:szCs w:val="21"/>
        </w:rPr>
        <w:t>万元；本项目获得</w:t>
      </w:r>
      <w:r>
        <w:rPr>
          <w:rFonts w:hint="eastAsia" w:ascii="宋体" w:hAnsi="宋体"/>
          <w:szCs w:val="21"/>
          <w:u w:val="single"/>
        </w:rPr>
        <w:t xml:space="preserve">          </w:t>
      </w:r>
      <w:r>
        <w:rPr>
          <w:rFonts w:hint="eastAsia" w:ascii="宋体" w:hAnsi="宋体"/>
          <w:szCs w:val="21"/>
        </w:rPr>
        <w:t>奖项（</w:t>
      </w:r>
      <w:r>
        <w:rPr>
          <w:rFonts w:hint="eastAsia" w:ascii="宋体" w:hAnsi="宋体"/>
          <w:i/>
          <w:szCs w:val="21"/>
        </w:rPr>
        <w:t>省级</w:t>
      </w:r>
      <w:r>
        <w:rPr>
          <w:rFonts w:hint="eastAsia" w:ascii="宋体" w:hAnsi="宋体"/>
          <w:szCs w:val="21"/>
        </w:rPr>
        <w:t>）的，甲方奖励乙方</w:t>
      </w:r>
      <w:r>
        <w:rPr>
          <w:rFonts w:hint="eastAsia" w:ascii="宋体" w:hAnsi="宋体"/>
          <w:szCs w:val="21"/>
          <w:u w:val="single"/>
        </w:rPr>
        <w:t xml:space="preserve">     </w:t>
      </w:r>
      <w:r>
        <w:rPr>
          <w:rFonts w:hint="eastAsia" w:ascii="宋体" w:hAnsi="宋体"/>
          <w:szCs w:val="21"/>
        </w:rPr>
        <w:t>万元。</w:t>
      </w:r>
    </w:p>
    <w:p>
      <w:pPr>
        <w:pStyle w:val="33"/>
        <w:spacing w:line="500" w:lineRule="exact"/>
        <w:rPr>
          <w:rFonts w:ascii="宋体" w:hAnsi="宋体"/>
          <w:szCs w:val="21"/>
        </w:rPr>
      </w:pPr>
      <w:r>
        <w:rPr>
          <w:rFonts w:hint="eastAsia" w:ascii="宋体" w:hAnsi="宋体"/>
          <w:szCs w:val="21"/>
        </w:rPr>
        <w:t>18.3  因乙方科学管理使得代建项目施工工期提前的，由甲方给予乙方奖励，具体奖励金额为：工期提前奖励金＝</w:t>
      </w:r>
      <w:r>
        <w:rPr>
          <w:rFonts w:hint="eastAsia" w:ascii="宋体" w:hAnsi="宋体"/>
          <w:szCs w:val="21"/>
          <w:u w:val="single"/>
        </w:rPr>
        <w:t xml:space="preserve">        </w:t>
      </w:r>
      <w:r>
        <w:rPr>
          <w:rFonts w:hint="eastAsia" w:ascii="宋体" w:hAnsi="宋体"/>
          <w:szCs w:val="21"/>
        </w:rPr>
        <w:t>（元）/（日）×提前工期（日）</w:t>
      </w:r>
    </w:p>
    <w:p>
      <w:pPr>
        <w:pStyle w:val="33"/>
        <w:spacing w:line="500" w:lineRule="exact"/>
        <w:rPr>
          <w:rFonts w:ascii="宋体" w:hAnsi="宋体"/>
          <w:szCs w:val="21"/>
        </w:rPr>
      </w:pPr>
    </w:p>
    <w:p>
      <w:pPr>
        <w:pStyle w:val="33"/>
        <w:spacing w:line="500" w:lineRule="exact"/>
        <w:jc w:val="center"/>
        <w:rPr>
          <w:rFonts w:ascii="宋体" w:hAnsi="宋体"/>
          <w:b/>
          <w:bCs/>
          <w:szCs w:val="21"/>
        </w:rPr>
      </w:pPr>
      <w:bookmarkStart w:id="548" w:name="_Toc432755179"/>
      <w:bookmarkStart w:id="549" w:name="_Toc28116"/>
      <w:bookmarkStart w:id="550" w:name="_Toc6841"/>
      <w:r>
        <w:rPr>
          <w:rFonts w:hint="eastAsia" w:ascii="宋体" w:hAnsi="宋体"/>
          <w:b/>
          <w:bCs/>
          <w:szCs w:val="21"/>
        </w:rPr>
        <w:t>第八节  合同的生效与补充</w:t>
      </w:r>
      <w:bookmarkEnd w:id="548"/>
      <w:bookmarkEnd w:id="549"/>
      <w:bookmarkEnd w:id="550"/>
    </w:p>
    <w:p>
      <w:pPr>
        <w:pStyle w:val="33"/>
        <w:spacing w:line="500" w:lineRule="exact"/>
        <w:jc w:val="left"/>
        <w:rPr>
          <w:rFonts w:ascii="宋体" w:hAnsi="宋体"/>
          <w:b/>
          <w:bCs/>
          <w:szCs w:val="21"/>
        </w:rPr>
      </w:pPr>
      <w:bookmarkStart w:id="551" w:name="_Toc432755180"/>
      <w:r>
        <w:rPr>
          <w:rFonts w:hint="eastAsia" w:ascii="宋体" w:hAnsi="宋体"/>
          <w:b/>
          <w:bCs/>
          <w:szCs w:val="21"/>
        </w:rPr>
        <w:t>第19条  合同的生效、变更、终止与补充条款</w:t>
      </w:r>
      <w:bookmarkEnd w:id="551"/>
    </w:p>
    <w:p>
      <w:pPr>
        <w:pStyle w:val="33"/>
        <w:spacing w:line="500" w:lineRule="exact"/>
        <w:rPr>
          <w:rFonts w:ascii="宋体" w:hAnsi="宋体"/>
          <w:szCs w:val="21"/>
        </w:rPr>
      </w:pPr>
      <w:bookmarkStart w:id="552" w:name="_Toc432755182"/>
      <w:r>
        <w:rPr>
          <w:rFonts w:hint="eastAsia" w:ascii="宋体" w:hAnsi="宋体"/>
          <w:szCs w:val="21"/>
        </w:rPr>
        <w:t>19.3  补充合同条款</w:t>
      </w:r>
      <w:bookmarkEnd w:id="552"/>
    </w:p>
    <w:p>
      <w:pPr>
        <w:pStyle w:val="33"/>
        <w:spacing w:line="500" w:lineRule="exact"/>
        <w:ind w:left="0" w:firstLine="426"/>
        <w:rPr>
          <w:rFonts w:ascii="宋体" w:hAnsi="宋体"/>
          <w:kern w:val="0"/>
          <w:szCs w:val="21"/>
          <w:u w:val="single"/>
        </w:rPr>
      </w:pPr>
      <w:r>
        <w:rPr>
          <w:rFonts w:hint="eastAsia" w:ascii="宋体" w:hAnsi="宋体"/>
          <w:kern w:val="0"/>
          <w:szCs w:val="21"/>
        </w:rPr>
        <w:t>19.3.1  项目节能要求：</w:t>
      </w:r>
      <w:r>
        <w:rPr>
          <w:rFonts w:hint="eastAsia" w:ascii="宋体" w:hAnsi="宋体"/>
          <w:kern w:val="0"/>
          <w:szCs w:val="21"/>
          <w:u w:val="single"/>
        </w:rPr>
        <w:t xml:space="preserve">                                  </w:t>
      </w:r>
    </w:p>
    <w:p>
      <w:pPr>
        <w:pStyle w:val="33"/>
        <w:spacing w:line="500" w:lineRule="exact"/>
        <w:ind w:left="0" w:firstLine="426"/>
        <w:rPr>
          <w:rFonts w:ascii="宋体" w:hAnsi="宋体"/>
          <w:kern w:val="0"/>
          <w:szCs w:val="21"/>
          <w:u w:val="single"/>
        </w:rPr>
      </w:pPr>
      <w:r>
        <w:rPr>
          <w:rFonts w:hint="eastAsia" w:ascii="宋体" w:hAnsi="宋体"/>
          <w:kern w:val="0"/>
          <w:szCs w:val="21"/>
        </w:rPr>
        <w:t>19.3.2  项目绿色建筑要求：</w:t>
      </w:r>
      <w:r>
        <w:rPr>
          <w:rFonts w:hint="eastAsia" w:ascii="宋体" w:hAnsi="宋体"/>
          <w:kern w:val="0"/>
          <w:szCs w:val="21"/>
          <w:u w:val="single"/>
        </w:rPr>
        <w:t xml:space="preserve">                              </w:t>
      </w:r>
    </w:p>
    <w:p>
      <w:pPr>
        <w:pStyle w:val="33"/>
        <w:spacing w:line="500" w:lineRule="exact"/>
        <w:ind w:left="0" w:firstLine="426"/>
        <w:rPr>
          <w:rFonts w:ascii="宋体" w:hAnsi="宋体"/>
          <w:kern w:val="0"/>
          <w:szCs w:val="21"/>
          <w:u w:val="single"/>
        </w:rPr>
      </w:pPr>
      <w:r>
        <w:rPr>
          <w:rFonts w:hint="eastAsia" w:ascii="宋体" w:hAnsi="宋体"/>
          <w:kern w:val="0"/>
          <w:szCs w:val="21"/>
        </w:rPr>
        <w:t>19.3.3  资金管理</w:t>
      </w:r>
    </w:p>
    <w:p>
      <w:pPr>
        <w:pStyle w:val="33"/>
        <w:spacing w:line="500" w:lineRule="exact"/>
        <w:ind w:left="0" w:firstLine="426"/>
        <w:rPr>
          <w:rFonts w:ascii="宋体" w:hAnsi="宋体"/>
          <w:kern w:val="0"/>
          <w:szCs w:val="21"/>
        </w:rPr>
      </w:pPr>
      <w:r>
        <w:rPr>
          <w:rFonts w:hint="eastAsia" w:ascii="宋体" w:hAnsi="宋体"/>
          <w:kern w:val="0"/>
          <w:szCs w:val="21"/>
        </w:rPr>
        <w:t>（1）甲方和乙方双方互相监督项目建设资金的使用，费用支付应当经双方授权的人员签字盖章。</w:t>
      </w:r>
    </w:p>
    <w:p>
      <w:pPr>
        <w:autoSpaceDE w:val="0"/>
        <w:autoSpaceDN w:val="0"/>
        <w:adjustRightInd w:val="0"/>
        <w:snapToGrid w:val="0"/>
        <w:spacing w:line="420" w:lineRule="exact"/>
        <w:ind w:firstLine="420" w:firstLineChars="200"/>
        <w:rPr>
          <w:rFonts w:ascii="宋体" w:hAnsi="宋体" w:cs="宋体"/>
          <w:szCs w:val="21"/>
          <w:u w:val="single"/>
        </w:rPr>
      </w:pPr>
      <w:r>
        <w:rPr>
          <w:rFonts w:hint="eastAsia" w:ascii="宋体" w:hAnsi="宋体" w:cs="宋体"/>
          <w:szCs w:val="21"/>
        </w:rPr>
        <w:t>19.3.4</w:t>
      </w:r>
      <w:r>
        <w:rPr>
          <w:rFonts w:hint="eastAsia" w:cs="宋体"/>
          <w:szCs w:val="21"/>
        </w:rPr>
        <w:t xml:space="preserve">  其他</w:t>
      </w:r>
      <w:r>
        <w:rPr>
          <w:rFonts w:hint="eastAsia" w:ascii="宋体" w:hAnsi="宋体" w:cs="宋体"/>
          <w:szCs w:val="21"/>
        </w:rPr>
        <w:t>补充约定：</w:t>
      </w:r>
      <w:r>
        <w:rPr>
          <w:rFonts w:hint="eastAsia" w:ascii="宋体" w:hAnsi="宋体" w:cs="宋体"/>
          <w:szCs w:val="21"/>
          <w:u w:val="single"/>
        </w:rPr>
        <w:t xml:space="preserve">                                    </w:t>
      </w:r>
    </w:p>
    <w:p>
      <w:pPr>
        <w:pStyle w:val="37"/>
        <w:spacing w:line="500" w:lineRule="exact"/>
        <w:ind w:firstLine="420" w:firstLineChars="200"/>
        <w:rPr>
          <w:rFonts w:ascii="宋体" w:hAnsi="宋体"/>
        </w:rPr>
      </w:pPr>
      <w:r>
        <w:rPr>
          <w:rFonts w:hint="eastAsia" w:ascii="宋体" w:hAnsi="宋体"/>
        </w:rPr>
        <w:t>19.3.5  本合同一式</w:t>
      </w:r>
      <w:r>
        <w:rPr>
          <w:rFonts w:hint="eastAsia" w:ascii="宋体" w:hAnsi="宋体"/>
          <w:u w:val="single"/>
        </w:rPr>
        <w:t xml:space="preserve">    </w:t>
      </w:r>
      <w:r>
        <w:rPr>
          <w:rFonts w:hint="eastAsia" w:ascii="宋体" w:hAnsi="宋体"/>
        </w:rPr>
        <w:t>份，其中正本</w:t>
      </w:r>
      <w:r>
        <w:rPr>
          <w:rFonts w:hint="eastAsia" w:ascii="宋体" w:hAnsi="宋体"/>
          <w:u w:val="single"/>
        </w:rPr>
        <w:t xml:space="preserve">    </w:t>
      </w:r>
      <w:r>
        <w:rPr>
          <w:rFonts w:hint="eastAsia" w:ascii="宋体" w:hAnsi="宋体"/>
        </w:rPr>
        <w:t>份，副本</w:t>
      </w:r>
      <w:r>
        <w:rPr>
          <w:rFonts w:hint="eastAsia" w:ascii="宋体" w:hAnsi="宋体"/>
          <w:u w:val="single"/>
        </w:rPr>
        <w:t xml:space="preserve">    </w:t>
      </w:r>
      <w:r>
        <w:rPr>
          <w:rFonts w:hint="eastAsia" w:ascii="宋体" w:hAnsi="宋体"/>
        </w:rPr>
        <w:t>份，具有同等法律效力。甲乙双方各执正本</w:t>
      </w:r>
      <w:r>
        <w:rPr>
          <w:rFonts w:hint="eastAsia" w:ascii="宋体" w:hAnsi="宋体"/>
          <w:u w:val="single"/>
        </w:rPr>
        <w:t xml:space="preserve">    </w:t>
      </w:r>
      <w:r>
        <w:rPr>
          <w:rFonts w:hint="eastAsia" w:ascii="宋体" w:hAnsi="宋体"/>
        </w:rPr>
        <w:t>份，甲方执副本</w:t>
      </w:r>
      <w:r>
        <w:rPr>
          <w:rFonts w:hint="eastAsia" w:ascii="宋体" w:hAnsi="宋体"/>
          <w:u w:val="single"/>
        </w:rPr>
        <w:t xml:space="preserve">   </w:t>
      </w:r>
      <w:r>
        <w:rPr>
          <w:rFonts w:hint="eastAsia" w:ascii="宋体" w:hAnsi="宋体"/>
        </w:rPr>
        <w:t>份，乙方执副本</w:t>
      </w:r>
      <w:r>
        <w:rPr>
          <w:rFonts w:hint="eastAsia" w:ascii="宋体" w:hAnsi="宋体"/>
          <w:u w:val="single"/>
        </w:rPr>
        <w:t xml:space="preserve">   </w:t>
      </w:r>
      <w:r>
        <w:rPr>
          <w:rFonts w:hint="eastAsia" w:ascii="宋体" w:hAnsi="宋体"/>
        </w:rPr>
        <w:t>份。</w:t>
      </w:r>
    </w:p>
    <w:p>
      <w:pPr>
        <w:pStyle w:val="33"/>
        <w:spacing w:line="500" w:lineRule="exact"/>
        <w:ind w:left="0" w:firstLine="426"/>
        <w:rPr>
          <w:rFonts w:ascii="宋体" w:hAnsi="宋体"/>
          <w:kern w:val="0"/>
          <w:szCs w:val="21"/>
        </w:rPr>
      </w:pPr>
    </w:p>
    <w:p>
      <w:pPr>
        <w:spacing w:line="500" w:lineRule="exact"/>
        <w:jc w:val="left"/>
        <w:rPr>
          <w:rFonts w:ascii="宋体" w:hAnsi="宋体" w:cs="Arial"/>
          <w:szCs w:val="21"/>
        </w:rPr>
      </w:pPr>
      <w:r>
        <w:rPr>
          <w:rFonts w:hint="eastAsia" w:ascii="宋体" w:hAnsi="宋体" w:cs="Arial"/>
          <w:szCs w:val="21"/>
        </w:rPr>
        <w:t>甲方：</w:t>
      </w:r>
      <w:r>
        <w:rPr>
          <w:rFonts w:hint="eastAsia" w:ascii="宋体" w:hAnsi="宋体" w:cs="Arial"/>
          <w:szCs w:val="21"/>
          <w:u w:val="single"/>
        </w:rPr>
        <w:t xml:space="preserve">                          </w:t>
      </w:r>
      <w:r>
        <w:rPr>
          <w:rFonts w:hint="eastAsia" w:ascii="宋体" w:hAnsi="宋体" w:cs="Arial"/>
          <w:szCs w:val="21"/>
        </w:rPr>
        <w:t xml:space="preserve"> （盖章）</w:t>
      </w:r>
    </w:p>
    <w:p>
      <w:pPr>
        <w:spacing w:line="500" w:lineRule="exact"/>
        <w:jc w:val="left"/>
        <w:rPr>
          <w:rFonts w:ascii="宋体" w:hAnsi="宋体" w:cs="Arial"/>
          <w:szCs w:val="21"/>
          <w:u w:val="single"/>
        </w:rPr>
      </w:pPr>
      <w:r>
        <w:rPr>
          <w:rFonts w:hint="eastAsia" w:ascii="宋体" w:hAnsi="宋体" w:cs="Arial"/>
          <w:szCs w:val="21"/>
        </w:rPr>
        <w:t>住所地：</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电    话：</w:t>
      </w:r>
      <w:r>
        <w:rPr>
          <w:rFonts w:hint="eastAsia" w:ascii="宋体" w:hAnsi="宋体" w:cs="Arial"/>
          <w:szCs w:val="21"/>
          <w:u w:val="single"/>
        </w:rPr>
        <w:t xml:space="preserve">                   </w:t>
      </w:r>
      <w:r>
        <w:rPr>
          <w:rFonts w:hint="eastAsia" w:ascii="宋体" w:hAnsi="宋体" w:cs="Arial"/>
          <w:szCs w:val="21"/>
        </w:rPr>
        <w:t xml:space="preserve"> 传    真：</w:t>
      </w:r>
      <w:r>
        <w:rPr>
          <w:rFonts w:hint="eastAsia" w:ascii="宋体" w:hAnsi="宋体" w:cs="Arial"/>
          <w:szCs w:val="21"/>
          <w:u w:val="single"/>
        </w:rPr>
        <w:t xml:space="preserve">                 </w:t>
      </w:r>
    </w:p>
    <w:p>
      <w:pPr>
        <w:spacing w:line="500" w:lineRule="exact"/>
        <w:jc w:val="left"/>
        <w:rPr>
          <w:rFonts w:ascii="宋体" w:hAnsi="宋体" w:cs="Arial"/>
          <w:szCs w:val="21"/>
        </w:rPr>
      </w:pPr>
      <w:r>
        <w:rPr>
          <w:rFonts w:hint="eastAsia" w:ascii="宋体" w:hAnsi="宋体" w:cs="Arial"/>
          <w:szCs w:val="21"/>
        </w:rPr>
        <w:t>开户银行：</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账号：</w:t>
      </w:r>
      <w:r>
        <w:rPr>
          <w:rFonts w:hint="eastAsia" w:ascii="宋体" w:hAnsi="宋体" w:cs="Arial"/>
          <w:szCs w:val="21"/>
          <w:u w:val="single"/>
        </w:rPr>
        <w:t xml:space="preserve">                                </w:t>
      </w:r>
    </w:p>
    <w:p>
      <w:pPr>
        <w:spacing w:line="500" w:lineRule="exact"/>
        <w:jc w:val="left"/>
        <w:rPr>
          <w:rFonts w:ascii="宋体" w:hAnsi="宋体" w:cs="Arial"/>
          <w:szCs w:val="21"/>
        </w:rPr>
      </w:pPr>
      <w:r>
        <w:rPr>
          <w:rFonts w:hint="eastAsia" w:ascii="宋体" w:hAnsi="宋体" w:cs="Arial"/>
          <w:szCs w:val="21"/>
        </w:rPr>
        <w:t>税号：</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法定代表人：</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委托代理人：</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签约日期：</w:t>
      </w:r>
      <w:r>
        <w:rPr>
          <w:rFonts w:hint="eastAsia" w:ascii="宋体" w:hAnsi="宋体" w:cs="Arial"/>
          <w:szCs w:val="21"/>
          <w:u w:val="single"/>
        </w:rPr>
        <w:t xml:space="preserve">                            </w:t>
      </w:r>
    </w:p>
    <w:p>
      <w:pPr>
        <w:spacing w:line="500" w:lineRule="exact"/>
        <w:jc w:val="left"/>
        <w:rPr>
          <w:rFonts w:ascii="宋体" w:hAnsi="宋体" w:cs="Arial"/>
          <w:szCs w:val="21"/>
        </w:rPr>
      </w:pPr>
    </w:p>
    <w:p>
      <w:pPr>
        <w:spacing w:line="500" w:lineRule="exact"/>
        <w:jc w:val="left"/>
        <w:rPr>
          <w:rFonts w:ascii="宋体" w:hAnsi="宋体" w:cs="Arial"/>
          <w:szCs w:val="21"/>
        </w:rPr>
      </w:pPr>
      <w:r>
        <w:rPr>
          <w:rFonts w:hint="eastAsia" w:ascii="宋体" w:hAnsi="宋体" w:cs="Arial"/>
          <w:szCs w:val="21"/>
        </w:rPr>
        <w:t>乙方：</w:t>
      </w:r>
      <w:r>
        <w:rPr>
          <w:rFonts w:hint="eastAsia" w:ascii="宋体" w:hAnsi="宋体" w:cs="Arial"/>
          <w:szCs w:val="21"/>
          <w:u w:val="single"/>
        </w:rPr>
        <w:t xml:space="preserve">                   </w:t>
      </w:r>
      <w:r>
        <w:rPr>
          <w:rFonts w:hint="eastAsia" w:ascii="宋体" w:hAnsi="宋体" w:cs="Arial"/>
          <w:szCs w:val="21"/>
        </w:rPr>
        <w:t>（盖章）</w:t>
      </w:r>
    </w:p>
    <w:p>
      <w:pPr>
        <w:spacing w:line="500" w:lineRule="exact"/>
        <w:jc w:val="left"/>
        <w:rPr>
          <w:rFonts w:ascii="宋体" w:hAnsi="宋体" w:cs="Arial"/>
          <w:szCs w:val="21"/>
        </w:rPr>
      </w:pPr>
      <w:r>
        <w:rPr>
          <w:rFonts w:hint="eastAsia" w:ascii="宋体" w:hAnsi="宋体" w:cs="Arial"/>
          <w:szCs w:val="21"/>
        </w:rPr>
        <w:t>住所地：</w:t>
      </w:r>
      <w:r>
        <w:rPr>
          <w:rFonts w:hint="eastAsia" w:ascii="宋体" w:hAnsi="宋体" w:cs="Arial"/>
          <w:szCs w:val="21"/>
          <w:u w:val="single"/>
        </w:rPr>
        <w:t xml:space="preserve">                              </w:t>
      </w:r>
    </w:p>
    <w:p>
      <w:pPr>
        <w:spacing w:line="500" w:lineRule="exact"/>
        <w:jc w:val="left"/>
        <w:rPr>
          <w:rFonts w:ascii="宋体" w:hAnsi="宋体" w:cs="Arial"/>
          <w:szCs w:val="21"/>
        </w:rPr>
      </w:pPr>
      <w:r>
        <w:rPr>
          <w:rFonts w:hint="eastAsia" w:ascii="宋体" w:hAnsi="宋体" w:cs="Arial"/>
          <w:szCs w:val="21"/>
        </w:rPr>
        <w:t>电    话：</w:t>
      </w:r>
      <w:r>
        <w:rPr>
          <w:rFonts w:hint="eastAsia" w:ascii="宋体" w:hAnsi="宋体" w:cs="Arial"/>
          <w:szCs w:val="21"/>
          <w:u w:val="single"/>
        </w:rPr>
        <w:t xml:space="preserve">                  </w:t>
      </w:r>
      <w:r>
        <w:rPr>
          <w:rFonts w:hint="eastAsia" w:ascii="宋体" w:hAnsi="宋体" w:cs="Arial"/>
          <w:szCs w:val="21"/>
        </w:rPr>
        <w:t xml:space="preserve">   传    真：</w:t>
      </w:r>
      <w:r>
        <w:rPr>
          <w:rFonts w:hint="eastAsia" w:ascii="宋体" w:hAnsi="宋体" w:cs="Arial"/>
          <w:szCs w:val="21"/>
          <w:u w:val="single"/>
        </w:rPr>
        <w:t xml:space="preserve">                   </w:t>
      </w:r>
    </w:p>
    <w:p>
      <w:pPr>
        <w:spacing w:line="500" w:lineRule="exact"/>
        <w:jc w:val="left"/>
        <w:rPr>
          <w:rFonts w:ascii="宋体" w:hAnsi="宋体" w:cs="Arial"/>
          <w:szCs w:val="21"/>
        </w:rPr>
      </w:pPr>
      <w:r>
        <w:rPr>
          <w:rFonts w:hint="eastAsia" w:ascii="宋体" w:hAnsi="宋体" w:cs="Arial"/>
          <w:szCs w:val="21"/>
        </w:rPr>
        <w:t>开户银行：</w:t>
      </w:r>
      <w:r>
        <w:rPr>
          <w:rFonts w:hint="eastAsia" w:ascii="宋体" w:hAnsi="宋体" w:cs="Arial"/>
          <w:szCs w:val="21"/>
          <w:u w:val="single"/>
        </w:rPr>
        <w:t xml:space="preserve">                            </w:t>
      </w:r>
    </w:p>
    <w:p>
      <w:pPr>
        <w:spacing w:line="500" w:lineRule="exact"/>
        <w:jc w:val="left"/>
        <w:rPr>
          <w:rFonts w:ascii="宋体" w:hAnsi="宋体" w:cs="Arial"/>
          <w:szCs w:val="21"/>
        </w:rPr>
      </w:pPr>
      <w:r>
        <w:rPr>
          <w:rFonts w:hint="eastAsia" w:ascii="宋体" w:hAnsi="宋体" w:cs="Arial"/>
          <w:szCs w:val="21"/>
        </w:rPr>
        <w:t>账号：</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法定代表人：</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委托代理人：</w:t>
      </w:r>
      <w:r>
        <w:rPr>
          <w:rFonts w:hint="eastAsia" w:ascii="宋体" w:hAnsi="宋体" w:cs="Arial"/>
          <w:szCs w:val="21"/>
          <w:u w:val="single"/>
        </w:rPr>
        <w:t xml:space="preserve">                          </w:t>
      </w:r>
    </w:p>
    <w:p>
      <w:pPr>
        <w:pStyle w:val="33"/>
        <w:spacing w:line="500" w:lineRule="exact"/>
        <w:rPr>
          <w:rFonts w:ascii="宋体" w:hAnsi="宋体" w:cs="Arial"/>
          <w:szCs w:val="21"/>
          <w:u w:val="single"/>
        </w:rPr>
      </w:pPr>
      <w:r>
        <w:rPr>
          <w:rFonts w:hint="eastAsia" w:ascii="宋体" w:hAnsi="宋体" w:cs="Arial"/>
          <w:szCs w:val="21"/>
        </w:rPr>
        <w:t>签约日期：</w:t>
      </w:r>
      <w:r>
        <w:rPr>
          <w:rFonts w:hint="eastAsia" w:ascii="宋体" w:hAnsi="宋体" w:cs="Arial"/>
          <w:szCs w:val="21"/>
          <w:u w:val="single"/>
        </w:rPr>
        <w:t xml:space="preserve">                            </w:t>
      </w:r>
    </w:p>
    <w:p>
      <w:pPr>
        <w:pStyle w:val="33"/>
        <w:spacing w:line="500" w:lineRule="exact"/>
        <w:jc w:val="left"/>
        <w:rPr>
          <w:rFonts w:ascii="宋体" w:hAnsi="宋体" w:cs="Arial"/>
          <w:sz w:val="24"/>
          <w:u w:val="single"/>
        </w:rPr>
      </w:pPr>
    </w:p>
    <w:p>
      <w:pPr>
        <w:pStyle w:val="5"/>
        <w:bidi w:val="0"/>
        <w:jc w:val="center"/>
        <w:rPr>
          <w:rFonts w:hint="eastAsia"/>
          <w:b/>
          <w:bCs w:val="0"/>
          <w:sz w:val="24"/>
          <w:szCs w:val="24"/>
          <w:lang w:val="en-US" w:eastAsia="zh-CN"/>
        </w:rPr>
      </w:pPr>
      <w:bookmarkStart w:id="553" w:name="_Toc24521"/>
      <w:r>
        <w:rPr>
          <w:rFonts w:hint="eastAsia"/>
          <w:b/>
          <w:bCs w:val="0"/>
          <w:sz w:val="24"/>
          <w:szCs w:val="24"/>
          <w:lang w:val="en-US" w:eastAsia="zh-CN"/>
        </w:rPr>
        <w:t>2.可行性研究报告编制部分</w:t>
      </w:r>
      <w:bookmarkEnd w:id="553"/>
    </w:p>
    <w:p>
      <w:pPr>
        <w:spacing w:line="500" w:lineRule="exact"/>
        <w:ind w:firstLine="420" w:firstLineChars="200"/>
        <w:rPr>
          <w:rFonts w:ascii="宋体" w:hAnsi="宋体"/>
          <w:szCs w:val="21"/>
        </w:rPr>
      </w:pPr>
      <w:r>
        <w:rPr>
          <w:rFonts w:hint="eastAsia" w:ascii="宋体" w:hAnsi="宋体"/>
          <w:szCs w:val="21"/>
        </w:rPr>
        <w:t>依据《中华人民共和国民法典》、《中华人民共和国安全生产法》，甲方委托乙方开展</w:t>
      </w:r>
      <w:r>
        <w:rPr>
          <w:rFonts w:hint="eastAsia" w:ascii="宋体" w:hAnsi="宋体"/>
          <w:szCs w:val="21"/>
          <w:u w:val="single"/>
        </w:rPr>
        <w:t xml:space="preserve">  </w:t>
      </w:r>
      <w:r>
        <w:rPr>
          <w:rFonts w:hint="eastAsia" w:ascii="宋体" w:hAnsi="宋体"/>
          <w:i/>
          <w:iCs/>
          <w:szCs w:val="21"/>
          <w:u w:val="single"/>
        </w:rPr>
        <w:t>（项目名称）</w:t>
      </w:r>
      <w:r>
        <w:rPr>
          <w:rFonts w:hint="eastAsia" w:ascii="宋体" w:hAnsi="宋体"/>
          <w:szCs w:val="21"/>
          <w:u w:val="single"/>
        </w:rPr>
        <w:t xml:space="preserve">  </w:t>
      </w:r>
      <w:r>
        <w:rPr>
          <w:rFonts w:hint="eastAsia" w:ascii="宋体" w:hAnsi="宋体"/>
          <w:szCs w:val="21"/>
        </w:rPr>
        <w:t>可行性研究报告编制工作，甲、乙双方本着平等、自愿的原则，经充分协商，订立本合同，以资共同遵守执行。</w:t>
      </w:r>
    </w:p>
    <w:p>
      <w:pPr>
        <w:numPr>
          <w:ilvl w:val="0"/>
          <w:numId w:val="14"/>
        </w:numPr>
        <w:spacing w:line="500" w:lineRule="exact"/>
        <w:rPr>
          <w:rFonts w:ascii="宋体" w:hAnsi="宋体" w:cs="仿宋_GB2312"/>
          <w:b/>
          <w:szCs w:val="21"/>
        </w:rPr>
      </w:pPr>
      <w:r>
        <w:rPr>
          <w:rFonts w:hint="eastAsia" w:ascii="宋体" w:hAnsi="宋体" w:cs="仿宋_GB2312"/>
          <w:b/>
          <w:szCs w:val="21"/>
        </w:rPr>
        <w:t xml:space="preserve"> 项目名称</w:t>
      </w:r>
    </w:p>
    <w:p>
      <w:pPr>
        <w:spacing w:line="500" w:lineRule="exact"/>
        <w:ind w:firstLine="371" w:firstLineChars="177"/>
        <w:rPr>
          <w:rFonts w:ascii="宋体" w:hAnsi="宋体"/>
          <w:szCs w:val="21"/>
          <w:u w:val="single"/>
        </w:rPr>
      </w:pPr>
    </w:p>
    <w:p>
      <w:pPr>
        <w:spacing w:line="500" w:lineRule="exact"/>
        <w:rPr>
          <w:rFonts w:ascii="宋体" w:hAnsi="宋体" w:cs="宋体"/>
          <w:szCs w:val="21"/>
        </w:rPr>
      </w:pPr>
      <w:r>
        <w:rPr>
          <w:rFonts w:hint="eastAsia" w:ascii="宋体" w:hAnsi="宋体" w:cs="仿宋_GB2312"/>
          <w:b/>
          <w:szCs w:val="21"/>
        </w:rPr>
        <w:t>第二条 服务内容、工作成果</w:t>
      </w:r>
      <w:r>
        <w:rPr>
          <w:rFonts w:hint="eastAsia" w:ascii="宋体" w:hAnsi="宋体"/>
          <w:b/>
          <w:szCs w:val="21"/>
        </w:rPr>
        <w:t>及期限</w:t>
      </w:r>
    </w:p>
    <w:p>
      <w:pPr>
        <w:spacing w:line="500" w:lineRule="exact"/>
        <w:ind w:firstLine="371" w:firstLineChars="177"/>
        <w:rPr>
          <w:rFonts w:ascii="宋体" w:hAnsi="宋体"/>
          <w:szCs w:val="21"/>
        </w:rPr>
      </w:pPr>
      <w:r>
        <w:rPr>
          <w:rFonts w:hint="eastAsia" w:ascii="宋体" w:hAnsi="宋体"/>
          <w:szCs w:val="21"/>
        </w:rPr>
        <w:t>一、服务内容：</w:t>
      </w:r>
      <w:r>
        <w:rPr>
          <w:rFonts w:hint="eastAsia" w:ascii="宋体" w:hAnsi="宋体"/>
          <w:szCs w:val="21"/>
          <w:u w:val="single"/>
        </w:rPr>
        <w:t xml:space="preserve">                                            </w:t>
      </w:r>
      <w:r>
        <w:rPr>
          <w:rFonts w:ascii="宋体" w:hAnsi="宋体"/>
          <w:szCs w:val="21"/>
        </w:rPr>
        <w:t xml:space="preserve"> </w:t>
      </w:r>
    </w:p>
    <w:p>
      <w:pPr>
        <w:spacing w:line="500" w:lineRule="exact"/>
        <w:ind w:firstLine="371" w:firstLineChars="177"/>
        <w:rPr>
          <w:rFonts w:ascii="宋体" w:hAnsi="宋体"/>
          <w:szCs w:val="21"/>
        </w:rPr>
      </w:pPr>
      <w:r>
        <w:rPr>
          <w:rFonts w:hint="eastAsia" w:ascii="宋体" w:hAnsi="宋体"/>
          <w:szCs w:val="21"/>
        </w:rPr>
        <w:t>二、工作成果：</w:t>
      </w:r>
      <w:r>
        <w:rPr>
          <w:rFonts w:hint="eastAsia" w:ascii="宋体" w:hAnsi="宋体" w:cs="仿宋_GB2312"/>
          <w:szCs w:val="21"/>
          <w:u w:val="single"/>
        </w:rPr>
        <w:t xml:space="preserve">                                            </w:t>
      </w:r>
    </w:p>
    <w:p>
      <w:pPr>
        <w:spacing w:line="500" w:lineRule="exact"/>
        <w:ind w:firstLine="371" w:firstLineChars="177"/>
        <w:rPr>
          <w:rFonts w:ascii="宋体" w:hAnsi="宋体"/>
          <w:szCs w:val="21"/>
        </w:rPr>
      </w:pPr>
      <w:r>
        <w:rPr>
          <w:rFonts w:hint="eastAsia" w:ascii="宋体" w:hAnsi="宋体"/>
          <w:szCs w:val="21"/>
        </w:rPr>
        <w:t>三、期    限：</w:t>
      </w:r>
      <w:r>
        <w:rPr>
          <w:rFonts w:hint="eastAsia" w:ascii="宋体" w:hAnsi="宋体"/>
          <w:szCs w:val="21"/>
          <w:u w:val="single"/>
        </w:rPr>
        <w:t xml:space="preserve">                                            </w:t>
      </w:r>
    </w:p>
    <w:p>
      <w:pPr>
        <w:spacing w:line="500" w:lineRule="exact"/>
        <w:rPr>
          <w:rFonts w:ascii="宋体" w:hAnsi="宋体"/>
          <w:b/>
          <w:szCs w:val="21"/>
        </w:rPr>
      </w:pPr>
      <w:r>
        <w:rPr>
          <w:rFonts w:hint="eastAsia" w:ascii="宋体" w:hAnsi="宋体" w:cs="仿宋_GB2312"/>
          <w:b/>
          <w:szCs w:val="21"/>
        </w:rPr>
        <w:t>第三条 合同价款</w:t>
      </w:r>
      <w:r>
        <w:rPr>
          <w:rFonts w:hint="eastAsia" w:ascii="宋体" w:hAnsi="宋体"/>
          <w:b/>
          <w:szCs w:val="21"/>
        </w:rPr>
        <w:t>及支付方式</w:t>
      </w:r>
    </w:p>
    <w:p>
      <w:pPr>
        <w:spacing w:line="500" w:lineRule="exact"/>
        <w:ind w:firstLine="420" w:firstLineChars="200"/>
        <w:rPr>
          <w:rFonts w:ascii="宋体" w:hAnsi="宋体"/>
          <w:szCs w:val="21"/>
        </w:rPr>
      </w:pPr>
      <w:r>
        <w:rPr>
          <w:rFonts w:hint="eastAsia" w:ascii="宋体" w:hAnsi="宋体"/>
          <w:szCs w:val="21"/>
        </w:rPr>
        <w:t>一、合同总金额（含税）：人民币（大写）：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元）。</w:t>
      </w:r>
    </w:p>
    <w:p>
      <w:pPr>
        <w:spacing w:line="500" w:lineRule="exact"/>
        <w:ind w:firstLine="420" w:firstLineChars="200"/>
        <w:rPr>
          <w:rFonts w:ascii="宋体" w:hAnsi="宋体"/>
          <w:szCs w:val="21"/>
          <w:u w:val="single"/>
        </w:rPr>
      </w:pPr>
      <w:r>
        <w:rPr>
          <w:rFonts w:hint="eastAsia" w:ascii="宋体" w:hAnsi="宋体"/>
          <w:szCs w:val="21"/>
        </w:rPr>
        <w:t>二、支付方式：</w:t>
      </w:r>
      <w:r>
        <w:rPr>
          <w:rFonts w:hint="eastAsia" w:ascii="宋体" w:hAnsi="宋体"/>
          <w:szCs w:val="21"/>
          <w:u w:val="single"/>
        </w:rPr>
        <w:t xml:space="preserve">                              </w:t>
      </w:r>
    </w:p>
    <w:p>
      <w:pPr>
        <w:spacing w:line="500" w:lineRule="exact"/>
        <w:ind w:firstLine="420" w:firstLineChars="200"/>
        <w:rPr>
          <w:rFonts w:ascii="宋体" w:hAnsi="宋体"/>
          <w:szCs w:val="21"/>
          <w:u w:val="single"/>
        </w:rPr>
      </w:pPr>
      <w:r>
        <w:rPr>
          <w:rFonts w:hint="eastAsia" w:ascii="宋体" w:hAnsi="宋体"/>
          <w:szCs w:val="21"/>
        </w:rPr>
        <w:t>三、</w:t>
      </w:r>
      <w:r>
        <w:rPr>
          <w:rFonts w:ascii="宋体" w:hAnsi="宋体" w:cs="仿宋_GB2312"/>
          <w:szCs w:val="21"/>
        </w:rPr>
        <w:t>付款比例：</w:t>
      </w:r>
      <w:r>
        <w:rPr>
          <w:rFonts w:hint="eastAsia" w:ascii="宋体" w:hAnsi="宋体" w:cs="仿宋_GB2312"/>
          <w:szCs w:val="21"/>
          <w:u w:val="single"/>
        </w:rPr>
        <w:t xml:space="preserve">                              </w:t>
      </w:r>
      <w:r>
        <w:rPr>
          <w:rFonts w:hint="eastAsia" w:ascii="宋体" w:hAnsi="宋体" w:cs="仿宋_GB2312"/>
          <w:szCs w:val="21"/>
        </w:rPr>
        <w:t xml:space="preserve"> </w:t>
      </w:r>
    </w:p>
    <w:p>
      <w:pPr>
        <w:spacing w:line="500" w:lineRule="exact"/>
        <w:rPr>
          <w:rFonts w:ascii="宋体" w:hAnsi="宋体"/>
          <w:b/>
          <w:szCs w:val="21"/>
        </w:rPr>
      </w:pPr>
      <w:r>
        <w:rPr>
          <w:rFonts w:hint="eastAsia" w:ascii="宋体" w:hAnsi="宋体"/>
          <w:b/>
          <w:szCs w:val="21"/>
        </w:rPr>
        <w:t>第四条</w:t>
      </w:r>
      <w:r>
        <w:rPr>
          <w:rFonts w:ascii="宋体" w:hAnsi="宋体"/>
          <w:b/>
          <w:szCs w:val="21"/>
        </w:rPr>
        <w:t xml:space="preserve"> </w:t>
      </w:r>
      <w:r>
        <w:rPr>
          <w:rFonts w:hint="eastAsia" w:ascii="宋体" w:hAnsi="宋体"/>
          <w:b/>
          <w:szCs w:val="21"/>
        </w:rPr>
        <w:t>质量要求</w:t>
      </w:r>
    </w:p>
    <w:p>
      <w:pPr>
        <w:spacing w:line="500" w:lineRule="exact"/>
        <w:ind w:left="480"/>
        <w:rPr>
          <w:rFonts w:ascii="宋体" w:hAnsi="宋体"/>
          <w:szCs w:val="21"/>
        </w:rPr>
      </w:pPr>
    </w:p>
    <w:p>
      <w:pPr>
        <w:spacing w:line="500" w:lineRule="exact"/>
        <w:rPr>
          <w:rFonts w:ascii="宋体" w:hAnsi="宋体"/>
          <w:b/>
          <w:szCs w:val="21"/>
        </w:rPr>
      </w:pPr>
      <w:r>
        <w:rPr>
          <w:rFonts w:hint="eastAsia" w:ascii="宋体" w:hAnsi="宋体"/>
          <w:b/>
          <w:szCs w:val="21"/>
        </w:rPr>
        <w:t>第五条 双方责任</w:t>
      </w:r>
    </w:p>
    <w:p>
      <w:pPr>
        <w:tabs>
          <w:tab w:val="left" w:pos="540"/>
        </w:tabs>
        <w:spacing w:line="500" w:lineRule="exact"/>
        <w:ind w:firstLine="420" w:firstLineChars="200"/>
        <w:rPr>
          <w:rFonts w:ascii="宋体" w:hAnsi="宋体"/>
          <w:szCs w:val="21"/>
        </w:rPr>
      </w:pPr>
      <w:r>
        <w:rPr>
          <w:rFonts w:hint="eastAsia" w:ascii="宋体" w:hAnsi="宋体"/>
          <w:szCs w:val="21"/>
        </w:rPr>
        <w:t>一、甲方</w:t>
      </w:r>
    </w:p>
    <w:p>
      <w:pPr>
        <w:numPr>
          <w:ilvl w:val="0"/>
          <w:numId w:val="15"/>
        </w:numPr>
        <w:tabs>
          <w:tab w:val="left" w:pos="360"/>
        </w:tabs>
        <w:spacing w:line="500" w:lineRule="exact"/>
        <w:ind w:left="0" w:firstLine="357"/>
        <w:rPr>
          <w:rFonts w:ascii="宋体" w:hAnsi="宋体"/>
          <w:szCs w:val="21"/>
        </w:rPr>
      </w:pPr>
      <w:r>
        <w:rPr>
          <w:rFonts w:hint="eastAsia" w:ascii="宋体" w:hAnsi="宋体"/>
          <w:szCs w:val="21"/>
        </w:rPr>
        <w:t>甲方对乙方可行性</w:t>
      </w:r>
      <w:r>
        <w:rPr>
          <w:rFonts w:ascii="宋体" w:hAnsi="宋体"/>
          <w:szCs w:val="21"/>
        </w:rPr>
        <w:t>研究报告编制</w:t>
      </w:r>
      <w:r>
        <w:rPr>
          <w:rFonts w:hint="eastAsia" w:ascii="宋体" w:hAnsi="宋体"/>
          <w:szCs w:val="21"/>
        </w:rPr>
        <w:t>工作进行积极配合并提供有利于开展工作的各种方便。</w:t>
      </w:r>
    </w:p>
    <w:p>
      <w:pPr>
        <w:numPr>
          <w:ilvl w:val="0"/>
          <w:numId w:val="15"/>
        </w:numPr>
        <w:tabs>
          <w:tab w:val="left" w:pos="360"/>
        </w:tabs>
        <w:spacing w:line="500" w:lineRule="exact"/>
        <w:ind w:left="0" w:firstLine="357"/>
        <w:rPr>
          <w:rFonts w:ascii="宋体" w:hAnsi="宋体"/>
          <w:szCs w:val="21"/>
        </w:rPr>
      </w:pPr>
      <w:r>
        <w:rPr>
          <w:rFonts w:hint="eastAsia" w:ascii="宋体" w:hAnsi="宋体"/>
          <w:szCs w:val="21"/>
        </w:rPr>
        <w:t>甲方应按合同要求支付费用。</w:t>
      </w:r>
    </w:p>
    <w:p>
      <w:pPr>
        <w:numPr>
          <w:ilvl w:val="0"/>
          <w:numId w:val="15"/>
        </w:numPr>
        <w:tabs>
          <w:tab w:val="left" w:pos="360"/>
        </w:tabs>
        <w:spacing w:line="500" w:lineRule="exact"/>
        <w:ind w:left="0" w:firstLine="357"/>
        <w:rPr>
          <w:rFonts w:ascii="宋体" w:hAnsi="宋体"/>
          <w:szCs w:val="21"/>
        </w:rPr>
      </w:pPr>
      <w:r>
        <w:rPr>
          <w:rFonts w:hint="eastAsia" w:ascii="宋体" w:hAnsi="宋体"/>
          <w:szCs w:val="21"/>
        </w:rPr>
        <w:t>甲方应对乙方工作进展情况进行监督检查，负责相关问题的处理。</w:t>
      </w:r>
    </w:p>
    <w:p>
      <w:pPr>
        <w:tabs>
          <w:tab w:val="left" w:pos="540"/>
        </w:tabs>
        <w:spacing w:line="500" w:lineRule="exact"/>
        <w:ind w:firstLine="420" w:firstLineChars="200"/>
        <w:rPr>
          <w:rFonts w:ascii="宋体" w:hAnsi="宋体"/>
          <w:szCs w:val="21"/>
        </w:rPr>
      </w:pPr>
      <w:r>
        <w:rPr>
          <w:rFonts w:hint="eastAsia" w:ascii="宋体" w:hAnsi="宋体"/>
          <w:szCs w:val="21"/>
        </w:rPr>
        <w:t>二、乙方</w:t>
      </w:r>
    </w:p>
    <w:p>
      <w:pPr>
        <w:numPr>
          <w:ilvl w:val="0"/>
          <w:numId w:val="16"/>
        </w:numPr>
        <w:spacing w:line="500" w:lineRule="exact"/>
        <w:ind w:left="0" w:firstLine="357"/>
        <w:rPr>
          <w:rFonts w:ascii="宋体" w:hAnsi="宋体"/>
          <w:szCs w:val="21"/>
        </w:rPr>
      </w:pPr>
      <w:r>
        <w:rPr>
          <w:rFonts w:hint="eastAsia" w:ascii="宋体" w:hAnsi="宋体"/>
          <w:szCs w:val="21"/>
        </w:rPr>
        <w:t>可行性研究报告编制专业负责人</w:t>
      </w:r>
    </w:p>
    <w:p>
      <w:pPr>
        <w:pStyle w:val="33"/>
        <w:spacing w:line="500" w:lineRule="exact"/>
        <w:ind w:firstLine="371" w:firstLineChars="177"/>
        <w:rPr>
          <w:rFonts w:ascii="宋体" w:hAnsi="宋体"/>
          <w:szCs w:val="21"/>
        </w:rPr>
      </w:pPr>
      <w:r>
        <w:rPr>
          <w:rFonts w:hint="eastAsia" w:ascii="宋体" w:hAnsi="宋体"/>
          <w:szCs w:val="21"/>
        </w:rPr>
        <w:t>姓名：</w:t>
      </w:r>
      <w:r>
        <w:rPr>
          <w:rFonts w:hint="eastAsia" w:ascii="宋体" w:hAnsi="宋体" w:cs="Arial"/>
          <w:szCs w:val="21"/>
          <w:u w:val="single"/>
        </w:rPr>
        <w:t xml:space="preserve">            </w:t>
      </w:r>
      <w:r>
        <w:rPr>
          <w:rFonts w:hint="eastAsia" w:ascii="宋体" w:hAnsi="宋体"/>
          <w:szCs w:val="21"/>
        </w:rPr>
        <w:t xml:space="preserve"> 资格证书：</w:t>
      </w:r>
      <w:r>
        <w:rPr>
          <w:rFonts w:hint="eastAsia" w:ascii="宋体" w:hAnsi="宋体" w:cs="Arial"/>
          <w:szCs w:val="21"/>
          <w:u w:val="single"/>
        </w:rPr>
        <w:t xml:space="preserve">            </w:t>
      </w:r>
      <w:r>
        <w:rPr>
          <w:rFonts w:hint="eastAsia" w:ascii="宋体" w:hAnsi="宋体"/>
          <w:szCs w:val="21"/>
        </w:rPr>
        <w:t xml:space="preserve"> 证书编号：</w:t>
      </w:r>
      <w:r>
        <w:rPr>
          <w:rFonts w:hint="eastAsia" w:ascii="宋体" w:hAnsi="宋体" w:cs="Arial"/>
          <w:szCs w:val="21"/>
          <w:u w:val="single"/>
        </w:rPr>
        <w:t xml:space="preserve">              </w:t>
      </w:r>
    </w:p>
    <w:p>
      <w:pPr>
        <w:numPr>
          <w:ilvl w:val="0"/>
          <w:numId w:val="16"/>
        </w:numPr>
        <w:spacing w:line="500" w:lineRule="exact"/>
        <w:ind w:left="0" w:firstLine="357"/>
        <w:rPr>
          <w:rFonts w:ascii="宋体" w:hAnsi="宋体"/>
          <w:szCs w:val="21"/>
        </w:rPr>
      </w:pPr>
      <w:r>
        <w:rPr>
          <w:rFonts w:hint="eastAsia" w:ascii="宋体" w:hAnsi="宋体"/>
          <w:szCs w:val="21"/>
        </w:rPr>
        <w:t>接受甲方委托，为甲方提供可行性研究报告</w:t>
      </w:r>
      <w:r>
        <w:rPr>
          <w:rFonts w:ascii="宋体" w:hAnsi="宋体"/>
          <w:szCs w:val="21"/>
        </w:rPr>
        <w:t>编制服务</w:t>
      </w:r>
      <w:r>
        <w:rPr>
          <w:rFonts w:hint="eastAsia" w:ascii="宋体" w:hAnsi="宋体"/>
          <w:szCs w:val="21"/>
        </w:rPr>
        <w:t>。</w:t>
      </w:r>
    </w:p>
    <w:p>
      <w:pPr>
        <w:numPr>
          <w:ilvl w:val="0"/>
          <w:numId w:val="16"/>
        </w:numPr>
        <w:spacing w:line="500" w:lineRule="exact"/>
        <w:ind w:left="0" w:firstLine="357"/>
        <w:rPr>
          <w:rFonts w:ascii="宋体" w:hAnsi="宋体"/>
          <w:szCs w:val="21"/>
        </w:rPr>
      </w:pPr>
      <w:r>
        <w:rPr>
          <w:rFonts w:hint="eastAsia" w:ascii="宋体" w:hAnsi="宋体"/>
          <w:szCs w:val="21"/>
        </w:rPr>
        <w:t>乙方对其</w:t>
      </w:r>
      <w:r>
        <w:rPr>
          <w:rFonts w:ascii="宋体" w:hAnsi="宋体"/>
          <w:szCs w:val="21"/>
        </w:rPr>
        <w:t>出具的</w:t>
      </w:r>
      <w:r>
        <w:rPr>
          <w:rFonts w:hint="eastAsia" w:ascii="宋体" w:hAnsi="宋体"/>
          <w:szCs w:val="21"/>
        </w:rPr>
        <w:t>工作</w:t>
      </w:r>
      <w:r>
        <w:rPr>
          <w:rFonts w:ascii="宋体" w:hAnsi="宋体"/>
          <w:szCs w:val="21"/>
        </w:rPr>
        <w:t>成果</w:t>
      </w:r>
      <w:r>
        <w:rPr>
          <w:rFonts w:hint="eastAsia" w:ascii="宋体" w:hAnsi="宋体"/>
          <w:szCs w:val="21"/>
        </w:rPr>
        <w:t>负法律责任。</w:t>
      </w:r>
    </w:p>
    <w:p>
      <w:pPr>
        <w:numPr>
          <w:ilvl w:val="0"/>
          <w:numId w:val="16"/>
        </w:numPr>
        <w:spacing w:line="500" w:lineRule="exact"/>
        <w:ind w:left="0" w:firstLine="357"/>
        <w:rPr>
          <w:rFonts w:ascii="宋体" w:hAnsi="宋体"/>
          <w:szCs w:val="21"/>
        </w:rPr>
      </w:pPr>
      <w:r>
        <w:rPr>
          <w:rFonts w:hint="eastAsia" w:ascii="宋体" w:hAnsi="宋体"/>
          <w:szCs w:val="21"/>
        </w:rPr>
        <w:t>乙方承担完成委托工作</w:t>
      </w:r>
      <w:r>
        <w:rPr>
          <w:rFonts w:ascii="宋体" w:hAnsi="宋体"/>
          <w:szCs w:val="21"/>
        </w:rPr>
        <w:t>所需</w:t>
      </w:r>
      <w:r>
        <w:rPr>
          <w:rFonts w:hint="eastAsia" w:ascii="宋体" w:hAnsi="宋体"/>
          <w:szCs w:val="21"/>
        </w:rPr>
        <w:t>的所有费用。</w:t>
      </w:r>
    </w:p>
    <w:p>
      <w:pPr>
        <w:spacing w:line="500" w:lineRule="exact"/>
        <w:rPr>
          <w:rFonts w:ascii="宋体" w:hAnsi="宋体"/>
          <w:b/>
          <w:szCs w:val="21"/>
        </w:rPr>
      </w:pPr>
      <w:r>
        <w:rPr>
          <w:rFonts w:hint="eastAsia" w:ascii="宋体" w:hAnsi="宋体"/>
          <w:b/>
          <w:szCs w:val="21"/>
        </w:rPr>
        <w:t>第六条 违约责任</w:t>
      </w:r>
    </w:p>
    <w:p>
      <w:pPr>
        <w:tabs>
          <w:tab w:val="left" w:pos="540"/>
        </w:tabs>
        <w:spacing w:line="500" w:lineRule="exact"/>
        <w:ind w:firstLine="420" w:firstLineChars="200"/>
        <w:rPr>
          <w:rFonts w:ascii="宋体" w:hAnsi="宋体"/>
          <w:szCs w:val="21"/>
        </w:rPr>
      </w:pPr>
      <w:r>
        <w:rPr>
          <w:rFonts w:hint="eastAsia" w:ascii="宋体" w:hAnsi="宋体"/>
          <w:szCs w:val="21"/>
        </w:rPr>
        <w:t>一、甲方无法定事由或本合同约定事由解除合同，应向乙方支付合同总价款20%的违约金。</w:t>
      </w:r>
    </w:p>
    <w:p>
      <w:pPr>
        <w:tabs>
          <w:tab w:val="left" w:pos="540"/>
        </w:tabs>
        <w:spacing w:line="500" w:lineRule="exact"/>
        <w:ind w:firstLine="420" w:firstLineChars="200"/>
        <w:rPr>
          <w:rFonts w:ascii="宋体" w:hAnsi="宋体"/>
          <w:szCs w:val="21"/>
        </w:rPr>
      </w:pPr>
      <w:r>
        <w:rPr>
          <w:rFonts w:hint="eastAsia" w:ascii="宋体" w:hAnsi="宋体"/>
          <w:szCs w:val="21"/>
        </w:rPr>
        <w:t>二、乙方无法定事由或本合同约定事由解除合同或出具的报告不符合约定的，应向甲方支付合同总价款20%的违约金。</w:t>
      </w:r>
    </w:p>
    <w:p>
      <w:pPr>
        <w:tabs>
          <w:tab w:val="left" w:pos="540"/>
        </w:tabs>
        <w:spacing w:line="500" w:lineRule="exact"/>
        <w:ind w:firstLine="420" w:firstLineChars="200"/>
        <w:rPr>
          <w:rFonts w:ascii="宋体" w:hAnsi="宋体"/>
          <w:szCs w:val="21"/>
        </w:rPr>
      </w:pPr>
      <w:r>
        <w:rPr>
          <w:rFonts w:hint="eastAsia" w:ascii="宋体" w:hAnsi="宋体"/>
          <w:szCs w:val="21"/>
        </w:rPr>
        <w:t>三、由于乙方原因造成委托工作延误，每推迟一天，乙方按合同总价的1%偿付逾期违约金。</w:t>
      </w:r>
    </w:p>
    <w:p>
      <w:pPr>
        <w:tabs>
          <w:tab w:val="left" w:pos="540"/>
        </w:tabs>
        <w:spacing w:line="500" w:lineRule="exact"/>
        <w:ind w:firstLine="420" w:firstLineChars="200"/>
        <w:rPr>
          <w:rFonts w:ascii="宋体" w:hAnsi="宋体"/>
          <w:szCs w:val="21"/>
        </w:rPr>
      </w:pPr>
      <w:r>
        <w:rPr>
          <w:rFonts w:hint="eastAsia" w:ascii="宋体" w:hAnsi="宋体"/>
          <w:szCs w:val="21"/>
        </w:rPr>
        <w:t>四、非因委托任务发生实质性变化导致乙方不能在要求期限内完成委托工作并出具成果文件的，工期不予顺延，乙方承担由此产生的一切费用，并按照合同约定向甲方支付逾期违约金，若由此给甲方造成损失的，乙方还应赔偿由此给甲方造成的一切损失。</w:t>
      </w:r>
    </w:p>
    <w:p>
      <w:pPr>
        <w:tabs>
          <w:tab w:val="left" w:pos="540"/>
        </w:tabs>
        <w:spacing w:line="500" w:lineRule="exact"/>
        <w:ind w:firstLine="420" w:firstLineChars="200"/>
        <w:rPr>
          <w:rFonts w:ascii="宋体" w:hAnsi="宋体"/>
          <w:szCs w:val="21"/>
        </w:rPr>
      </w:pPr>
      <w:r>
        <w:rPr>
          <w:rFonts w:hint="eastAsia" w:ascii="宋体" w:hAnsi="宋体"/>
          <w:szCs w:val="21"/>
        </w:rPr>
        <w:t>五、合同任何一方因违约给对方造成损失的，违约方除了向守约方支付违约金外，还应赔偿由此给守约方造成的一切损失，包括但不限于诉讼费、律师费、鉴定费、保全费、差旅费等一切费用。</w:t>
      </w:r>
    </w:p>
    <w:p>
      <w:pPr>
        <w:spacing w:line="500" w:lineRule="exact"/>
        <w:rPr>
          <w:rFonts w:ascii="宋体" w:hAnsi="宋体"/>
          <w:b/>
          <w:szCs w:val="21"/>
        </w:rPr>
      </w:pPr>
      <w:r>
        <w:rPr>
          <w:rFonts w:hint="eastAsia" w:ascii="宋体" w:hAnsi="宋体"/>
          <w:b/>
          <w:szCs w:val="21"/>
        </w:rPr>
        <w:t>第七条 保密条款</w:t>
      </w:r>
    </w:p>
    <w:p>
      <w:pPr>
        <w:spacing w:line="500" w:lineRule="exact"/>
        <w:ind w:firstLine="420" w:firstLineChars="200"/>
        <w:rPr>
          <w:rFonts w:ascii="宋体" w:hAnsi="宋体"/>
          <w:szCs w:val="21"/>
        </w:rPr>
      </w:pPr>
      <w:r>
        <w:rPr>
          <w:rFonts w:hint="eastAsia" w:ascii="宋体" w:hAnsi="宋体"/>
          <w:szCs w:val="21"/>
        </w:rPr>
        <w:t>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spacing w:line="500" w:lineRule="exact"/>
        <w:ind w:firstLine="420" w:firstLineChars="200"/>
        <w:rPr>
          <w:rFonts w:ascii="宋体" w:hAnsi="宋体"/>
          <w:szCs w:val="21"/>
        </w:rPr>
      </w:pPr>
      <w:r>
        <w:rPr>
          <w:rFonts w:hint="eastAsia" w:ascii="宋体" w:hAnsi="宋体"/>
          <w:szCs w:val="21"/>
        </w:rPr>
        <w:t>保密条款不因本合同的无效、解除、提前终止或不具操作性而失效。</w:t>
      </w:r>
    </w:p>
    <w:p>
      <w:pPr>
        <w:spacing w:line="500" w:lineRule="exact"/>
        <w:rPr>
          <w:rFonts w:ascii="宋体" w:hAnsi="宋体"/>
          <w:b/>
          <w:szCs w:val="21"/>
        </w:rPr>
      </w:pPr>
      <w:r>
        <w:rPr>
          <w:rFonts w:hint="eastAsia" w:ascii="宋体" w:hAnsi="宋体"/>
          <w:b/>
          <w:szCs w:val="21"/>
        </w:rPr>
        <w:t>第八条 合同争议的解决方式</w:t>
      </w:r>
    </w:p>
    <w:p>
      <w:pPr>
        <w:spacing w:line="500" w:lineRule="exact"/>
        <w:ind w:firstLine="357"/>
        <w:rPr>
          <w:rFonts w:ascii="宋体" w:hAnsi="宋体"/>
          <w:szCs w:val="21"/>
        </w:rPr>
      </w:pPr>
      <w:r>
        <w:rPr>
          <w:rFonts w:hint="eastAsia" w:ascii="宋体" w:hAnsi="宋体"/>
          <w:szCs w:val="21"/>
        </w:rPr>
        <w:t>本合同履行过程中如有争议，应由双方协商解决，协商不成，双方应通过下述第</w:t>
      </w:r>
      <w:r>
        <w:rPr>
          <w:rFonts w:hint="eastAsia" w:ascii="宋体" w:hAnsi="宋体"/>
          <w:szCs w:val="21"/>
          <w:u w:val="single"/>
        </w:rPr>
        <w:t xml:space="preserve">    </w:t>
      </w:r>
      <w:r>
        <w:rPr>
          <w:rFonts w:hint="eastAsia" w:ascii="宋体" w:hAnsi="宋体"/>
          <w:szCs w:val="21"/>
        </w:rPr>
        <w:t>种方式解决：</w:t>
      </w:r>
    </w:p>
    <w:p>
      <w:pPr>
        <w:tabs>
          <w:tab w:val="left" w:pos="540"/>
        </w:tabs>
        <w:spacing w:line="500" w:lineRule="exact"/>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仲裁委员申请仲裁；</w:t>
      </w:r>
    </w:p>
    <w:p>
      <w:pPr>
        <w:tabs>
          <w:tab w:val="left" w:pos="540"/>
        </w:tabs>
        <w:spacing w:line="500" w:lineRule="exact"/>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人民法院提起诉讼。</w:t>
      </w:r>
    </w:p>
    <w:p>
      <w:pPr>
        <w:spacing w:line="500" w:lineRule="exact"/>
        <w:rPr>
          <w:rFonts w:ascii="宋体" w:hAnsi="宋体"/>
          <w:b/>
          <w:szCs w:val="21"/>
        </w:rPr>
      </w:pPr>
      <w:r>
        <w:rPr>
          <w:rFonts w:hint="eastAsia" w:ascii="宋体" w:hAnsi="宋体"/>
          <w:b/>
          <w:szCs w:val="21"/>
        </w:rPr>
        <w:t>第九条 不可抗力</w:t>
      </w:r>
    </w:p>
    <w:p>
      <w:pPr>
        <w:spacing w:line="500" w:lineRule="exact"/>
        <w:ind w:firstLine="357"/>
        <w:rPr>
          <w:rFonts w:ascii="宋体" w:hAnsi="宋体"/>
          <w:szCs w:val="21"/>
        </w:rPr>
      </w:pPr>
      <w:r>
        <w:rPr>
          <w:rFonts w:ascii="宋体" w:hAnsi="宋体"/>
          <w:szCs w:val="21"/>
        </w:rPr>
        <w:t>1.一旦本合同各方确认发生不可抗力致使本合同无法履行或延期履行，任何一方都将可以暂停履行本合同，但应在2个工作日内书面通知对方并在15日内提交不可抗力事件的详细情况及有效证据。如果上述不可抗力的影响未能在不可抗力发生之日起30天内消除，且双方未能就本合同协商一致达成变更意见，任何一方有权解除本合同，本合同自一方向另一方发出书面终止通知之日起解除。</w:t>
      </w:r>
    </w:p>
    <w:p>
      <w:pPr>
        <w:spacing w:line="500" w:lineRule="exact"/>
        <w:ind w:firstLine="357"/>
        <w:rPr>
          <w:rFonts w:ascii="宋体" w:hAnsi="宋体"/>
          <w:szCs w:val="21"/>
        </w:rPr>
      </w:pPr>
      <w:r>
        <w:rPr>
          <w:rFonts w:ascii="宋体" w:hAnsi="宋体"/>
          <w:szCs w:val="21"/>
        </w:rPr>
        <w:t>2.“不可抗力”是指本合同双方不能合理控制、不可预见或即使预见亦无法避免的事件，该事件使任何一方根据本合同履行其全部或部分义务已不可能。该事件包括但不限于政府行为、政策变化、地震、台风、洪水、火灾或其它天灾、战争或任何其它类似事件。</w:t>
      </w:r>
    </w:p>
    <w:p>
      <w:pPr>
        <w:tabs>
          <w:tab w:val="left" w:pos="750"/>
        </w:tabs>
        <w:spacing w:line="500" w:lineRule="exact"/>
        <w:ind w:firstLine="357"/>
        <w:rPr>
          <w:rFonts w:ascii="宋体" w:hAnsi="宋体"/>
          <w:szCs w:val="21"/>
        </w:rPr>
      </w:pPr>
      <w:r>
        <w:rPr>
          <w:rFonts w:ascii="宋体" w:hAnsi="宋体"/>
          <w:szCs w:val="21"/>
        </w:rPr>
        <w:t>3.一方违约后发生不可抗力，违约方不予免责。</w:t>
      </w:r>
    </w:p>
    <w:p>
      <w:pPr>
        <w:spacing w:line="500" w:lineRule="exact"/>
        <w:rPr>
          <w:rFonts w:ascii="宋体" w:hAnsi="宋体"/>
          <w:b/>
          <w:szCs w:val="21"/>
        </w:rPr>
      </w:pPr>
      <w:r>
        <w:rPr>
          <w:rFonts w:hint="eastAsia" w:ascii="宋体" w:hAnsi="宋体"/>
          <w:b/>
          <w:szCs w:val="21"/>
        </w:rPr>
        <w:t>第十条 其他</w:t>
      </w:r>
    </w:p>
    <w:p>
      <w:pPr>
        <w:tabs>
          <w:tab w:val="left" w:pos="540"/>
        </w:tabs>
        <w:spacing w:line="500" w:lineRule="exact"/>
        <w:ind w:firstLine="420" w:firstLineChars="200"/>
        <w:rPr>
          <w:rFonts w:ascii="宋体" w:hAnsi="宋体"/>
          <w:szCs w:val="21"/>
        </w:rPr>
      </w:pPr>
      <w:r>
        <w:rPr>
          <w:rFonts w:hint="eastAsia" w:ascii="宋体" w:hAnsi="宋体"/>
          <w:szCs w:val="21"/>
        </w:rPr>
        <w:t>一、本合同非因法律规定允许解除合同的情况发生，任何一方当事人不得擅自变更或解除合同。当事人一方依照法律规定要求变更或解除合同时，应及时采取书面形式通知其他当事人，并签订合同。</w:t>
      </w:r>
    </w:p>
    <w:p>
      <w:pPr>
        <w:tabs>
          <w:tab w:val="left" w:pos="540"/>
        </w:tabs>
        <w:spacing w:line="500" w:lineRule="exact"/>
        <w:ind w:firstLine="420" w:firstLineChars="200"/>
        <w:rPr>
          <w:rFonts w:ascii="宋体" w:hAnsi="宋体"/>
          <w:szCs w:val="21"/>
        </w:rPr>
      </w:pPr>
      <w:r>
        <w:rPr>
          <w:rFonts w:hint="eastAsia" w:ascii="宋体" w:hAnsi="宋体"/>
          <w:szCs w:val="21"/>
        </w:rPr>
        <w:t>二、本合同执行过程中的未尽事宜，双方友好协商，签订补充协议加以解决。该补充协议与本合同具有同等法律效力。</w:t>
      </w:r>
    </w:p>
    <w:p>
      <w:pPr>
        <w:tabs>
          <w:tab w:val="left" w:pos="540"/>
        </w:tabs>
        <w:spacing w:line="500" w:lineRule="exact"/>
        <w:ind w:firstLine="420" w:firstLineChars="200"/>
        <w:rPr>
          <w:rFonts w:ascii="宋体" w:hAnsi="宋体"/>
          <w:szCs w:val="21"/>
        </w:rPr>
      </w:pPr>
      <w:r>
        <w:rPr>
          <w:rFonts w:hint="eastAsia" w:ascii="宋体" w:hAnsi="宋体"/>
          <w:szCs w:val="21"/>
        </w:rPr>
        <w:t>三、其他约定：乙方应采取严格的安全防护措施，承担合同期间的任何安全责任和因此发生的费用。</w:t>
      </w:r>
    </w:p>
    <w:p>
      <w:pPr>
        <w:spacing w:line="500" w:lineRule="exact"/>
        <w:rPr>
          <w:rFonts w:ascii="宋体" w:hAnsi="宋体"/>
          <w:b/>
          <w:szCs w:val="21"/>
        </w:rPr>
      </w:pPr>
      <w:r>
        <w:rPr>
          <w:rFonts w:hint="eastAsia" w:ascii="宋体" w:hAnsi="宋体"/>
          <w:b/>
          <w:szCs w:val="21"/>
        </w:rPr>
        <w:t>第十一条 附则</w:t>
      </w:r>
    </w:p>
    <w:p>
      <w:pPr>
        <w:autoSpaceDE w:val="0"/>
        <w:autoSpaceDN w:val="0"/>
        <w:adjustRightInd w:val="0"/>
        <w:snapToGrid w:val="0"/>
        <w:spacing w:line="420" w:lineRule="exact"/>
        <w:ind w:firstLine="420" w:firstLineChars="200"/>
        <w:rPr>
          <w:rFonts w:ascii="宋体" w:hAnsi="宋体" w:cs="宋体"/>
          <w:szCs w:val="21"/>
          <w:u w:val="single"/>
        </w:rPr>
      </w:pPr>
      <w:r>
        <w:rPr>
          <w:rFonts w:hint="eastAsia" w:ascii="宋体" w:hAnsi="宋体"/>
          <w:szCs w:val="21"/>
        </w:rPr>
        <w:t>一、</w:t>
      </w:r>
      <w:r>
        <w:rPr>
          <w:rFonts w:hint="eastAsia" w:cs="宋体"/>
          <w:szCs w:val="21"/>
        </w:rPr>
        <w:t>其他</w:t>
      </w:r>
      <w:r>
        <w:rPr>
          <w:rFonts w:hint="eastAsia" w:ascii="宋体" w:hAnsi="宋体" w:cs="宋体"/>
          <w:szCs w:val="21"/>
        </w:rPr>
        <w:t>补充约定：</w:t>
      </w:r>
      <w:r>
        <w:rPr>
          <w:rFonts w:hint="eastAsia" w:ascii="宋体" w:hAnsi="宋体" w:cs="宋体"/>
          <w:szCs w:val="21"/>
          <w:u w:val="single"/>
        </w:rPr>
        <w:t xml:space="preserve">                                    </w:t>
      </w:r>
    </w:p>
    <w:p>
      <w:pPr>
        <w:pStyle w:val="37"/>
        <w:spacing w:line="500" w:lineRule="exact"/>
        <w:ind w:firstLine="420" w:firstLineChars="200"/>
        <w:rPr>
          <w:rFonts w:ascii="宋体" w:hAnsi="宋体"/>
        </w:rPr>
      </w:pPr>
      <w:r>
        <w:rPr>
          <w:rFonts w:hint="eastAsia" w:ascii="宋体" w:hAnsi="宋体"/>
        </w:rPr>
        <w:t>二、本合同一式</w:t>
      </w:r>
      <w:r>
        <w:rPr>
          <w:rFonts w:hint="eastAsia" w:ascii="宋体" w:hAnsi="宋体"/>
          <w:u w:val="single"/>
        </w:rPr>
        <w:t xml:space="preserve">    </w:t>
      </w:r>
      <w:r>
        <w:rPr>
          <w:rFonts w:hint="eastAsia" w:ascii="宋体" w:hAnsi="宋体"/>
        </w:rPr>
        <w:t>份，其中正本</w:t>
      </w:r>
      <w:r>
        <w:rPr>
          <w:rFonts w:hint="eastAsia" w:ascii="宋体" w:hAnsi="宋体"/>
          <w:u w:val="single"/>
        </w:rPr>
        <w:t xml:space="preserve">    </w:t>
      </w:r>
      <w:r>
        <w:rPr>
          <w:rFonts w:hint="eastAsia" w:ascii="宋体" w:hAnsi="宋体"/>
        </w:rPr>
        <w:t>份，副本</w:t>
      </w:r>
      <w:r>
        <w:rPr>
          <w:rFonts w:hint="eastAsia" w:ascii="宋体" w:hAnsi="宋体"/>
          <w:u w:val="single"/>
        </w:rPr>
        <w:t xml:space="preserve">    </w:t>
      </w:r>
      <w:r>
        <w:rPr>
          <w:rFonts w:hint="eastAsia" w:ascii="宋体" w:hAnsi="宋体"/>
        </w:rPr>
        <w:t>份，具有同等法律效力。甲乙双方各执正本</w:t>
      </w:r>
      <w:r>
        <w:rPr>
          <w:rFonts w:hint="eastAsia" w:ascii="宋体" w:hAnsi="宋体"/>
          <w:u w:val="single"/>
        </w:rPr>
        <w:t xml:space="preserve">    </w:t>
      </w:r>
      <w:r>
        <w:rPr>
          <w:rFonts w:hint="eastAsia" w:ascii="宋体" w:hAnsi="宋体"/>
        </w:rPr>
        <w:t>份，甲方执副本</w:t>
      </w:r>
      <w:r>
        <w:rPr>
          <w:rFonts w:hint="eastAsia" w:ascii="宋体" w:hAnsi="宋体"/>
          <w:u w:val="single"/>
        </w:rPr>
        <w:t xml:space="preserve">   </w:t>
      </w:r>
      <w:r>
        <w:rPr>
          <w:rFonts w:hint="eastAsia" w:ascii="宋体" w:hAnsi="宋体"/>
        </w:rPr>
        <w:t>份，乙方执副本</w:t>
      </w:r>
      <w:r>
        <w:rPr>
          <w:rFonts w:hint="eastAsia" w:ascii="宋体" w:hAnsi="宋体"/>
          <w:u w:val="single"/>
        </w:rPr>
        <w:t xml:space="preserve">   </w:t>
      </w:r>
      <w:r>
        <w:rPr>
          <w:rFonts w:hint="eastAsia" w:ascii="宋体" w:hAnsi="宋体"/>
        </w:rPr>
        <w:t>份。</w:t>
      </w:r>
    </w:p>
    <w:p>
      <w:pPr>
        <w:tabs>
          <w:tab w:val="left" w:pos="540"/>
        </w:tabs>
        <w:spacing w:line="500" w:lineRule="exact"/>
        <w:ind w:firstLine="420" w:firstLineChars="200"/>
        <w:rPr>
          <w:rFonts w:ascii="宋体" w:hAnsi="宋体"/>
          <w:szCs w:val="21"/>
        </w:rPr>
      </w:pPr>
    </w:p>
    <w:p>
      <w:pPr>
        <w:tabs>
          <w:tab w:val="left" w:pos="540"/>
        </w:tabs>
        <w:spacing w:line="500" w:lineRule="exact"/>
        <w:ind w:firstLine="420" w:firstLineChars="200"/>
        <w:rPr>
          <w:rFonts w:ascii="宋体" w:hAnsi="宋体"/>
          <w:szCs w:val="21"/>
        </w:rPr>
      </w:pPr>
    </w:p>
    <w:p>
      <w:pPr>
        <w:spacing w:line="500" w:lineRule="exact"/>
        <w:rPr>
          <w:rFonts w:ascii="宋体" w:hAnsi="宋体"/>
          <w:sz w:val="24"/>
        </w:rPr>
      </w:pPr>
    </w:p>
    <w:p>
      <w:pPr>
        <w:pStyle w:val="2"/>
        <w:outlineLvl w:val="9"/>
        <w:rPr>
          <w:rFonts w:ascii="宋体" w:hAnsi="宋体"/>
          <w:sz w:val="24"/>
        </w:rPr>
      </w:pPr>
    </w:p>
    <w:p>
      <w:pPr>
        <w:pStyle w:val="2"/>
        <w:outlineLvl w:val="9"/>
        <w:rPr>
          <w:rFonts w:ascii="宋体" w:hAnsi="宋体"/>
          <w:sz w:val="24"/>
        </w:rPr>
      </w:pPr>
    </w:p>
    <w:p>
      <w:pPr>
        <w:pStyle w:val="2"/>
        <w:outlineLvl w:val="9"/>
        <w:rPr>
          <w:rFonts w:ascii="宋体" w:hAnsi="宋体"/>
          <w:sz w:val="24"/>
        </w:rPr>
      </w:pPr>
    </w:p>
    <w:p>
      <w:pPr>
        <w:pStyle w:val="2"/>
        <w:outlineLvl w:val="9"/>
        <w:rPr>
          <w:rFonts w:ascii="宋体" w:hAnsi="宋体"/>
          <w:sz w:val="24"/>
        </w:rPr>
      </w:pPr>
    </w:p>
    <w:p>
      <w:pPr>
        <w:pStyle w:val="2"/>
        <w:outlineLvl w:val="9"/>
        <w:rPr>
          <w:rFonts w:ascii="宋体" w:hAnsi="宋体"/>
          <w:sz w:val="24"/>
        </w:rPr>
      </w:pPr>
    </w:p>
    <w:p>
      <w:pPr>
        <w:pStyle w:val="2"/>
        <w:outlineLvl w:val="9"/>
        <w:rPr>
          <w:rFonts w:ascii="宋体" w:hAnsi="宋体"/>
          <w:sz w:val="24"/>
        </w:rPr>
      </w:pPr>
    </w:p>
    <w:p>
      <w:pPr>
        <w:pStyle w:val="2"/>
        <w:outlineLvl w:val="9"/>
        <w:rPr>
          <w:rFonts w:ascii="宋体" w:hAnsi="宋体"/>
          <w:sz w:val="24"/>
        </w:rPr>
      </w:pPr>
    </w:p>
    <w:p>
      <w:pPr>
        <w:pStyle w:val="2"/>
        <w:outlineLvl w:val="9"/>
        <w:rPr>
          <w:rFonts w:ascii="宋体" w:hAnsi="宋体"/>
          <w:sz w:val="24"/>
        </w:rPr>
      </w:pPr>
    </w:p>
    <w:p>
      <w:pPr>
        <w:spacing w:line="500" w:lineRule="exact"/>
        <w:rPr>
          <w:rFonts w:ascii="宋体" w:hAnsi="宋体"/>
          <w:sz w:val="24"/>
        </w:rPr>
      </w:pPr>
    </w:p>
    <w:p>
      <w:pPr>
        <w:spacing w:line="500" w:lineRule="exact"/>
        <w:jc w:val="left"/>
        <w:rPr>
          <w:rFonts w:ascii="宋体" w:hAnsi="宋体" w:cs="Arial"/>
          <w:szCs w:val="21"/>
        </w:rPr>
      </w:pPr>
      <w:r>
        <w:rPr>
          <w:rFonts w:hint="eastAsia" w:ascii="宋体" w:hAnsi="宋体" w:cs="Arial"/>
          <w:szCs w:val="21"/>
        </w:rPr>
        <w:t>甲方：</w:t>
      </w:r>
      <w:r>
        <w:rPr>
          <w:rFonts w:hint="eastAsia" w:ascii="宋体" w:hAnsi="宋体" w:cs="Arial"/>
          <w:szCs w:val="21"/>
          <w:u w:val="single"/>
        </w:rPr>
        <w:t xml:space="preserve">                          </w:t>
      </w:r>
      <w:r>
        <w:rPr>
          <w:rFonts w:hint="eastAsia" w:ascii="宋体" w:hAnsi="宋体" w:cs="Arial"/>
          <w:szCs w:val="21"/>
        </w:rPr>
        <w:t xml:space="preserve"> （盖章）</w:t>
      </w:r>
    </w:p>
    <w:p>
      <w:pPr>
        <w:spacing w:line="500" w:lineRule="exact"/>
        <w:jc w:val="left"/>
        <w:rPr>
          <w:rFonts w:ascii="宋体" w:hAnsi="宋体" w:cs="Arial"/>
          <w:szCs w:val="21"/>
          <w:u w:val="single"/>
        </w:rPr>
      </w:pPr>
      <w:r>
        <w:rPr>
          <w:rFonts w:hint="eastAsia" w:ascii="宋体" w:hAnsi="宋体" w:cs="Arial"/>
          <w:szCs w:val="21"/>
        </w:rPr>
        <w:t>住所地：</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电    话：</w:t>
      </w:r>
      <w:r>
        <w:rPr>
          <w:rFonts w:hint="eastAsia" w:ascii="宋体" w:hAnsi="宋体" w:cs="Arial"/>
          <w:szCs w:val="21"/>
          <w:u w:val="single"/>
        </w:rPr>
        <w:t xml:space="preserve">                   </w:t>
      </w:r>
      <w:r>
        <w:rPr>
          <w:rFonts w:hint="eastAsia" w:ascii="宋体" w:hAnsi="宋体" w:cs="Arial"/>
          <w:szCs w:val="21"/>
        </w:rPr>
        <w:t xml:space="preserve"> 传    真：</w:t>
      </w:r>
      <w:r>
        <w:rPr>
          <w:rFonts w:hint="eastAsia" w:ascii="宋体" w:hAnsi="宋体" w:cs="Arial"/>
          <w:szCs w:val="21"/>
          <w:u w:val="single"/>
        </w:rPr>
        <w:t xml:space="preserve">                 </w:t>
      </w:r>
    </w:p>
    <w:p>
      <w:pPr>
        <w:spacing w:line="500" w:lineRule="exact"/>
        <w:jc w:val="left"/>
        <w:rPr>
          <w:rFonts w:ascii="宋体" w:hAnsi="宋体" w:cs="Arial"/>
          <w:szCs w:val="21"/>
        </w:rPr>
      </w:pPr>
      <w:r>
        <w:rPr>
          <w:rFonts w:hint="eastAsia" w:ascii="宋体" w:hAnsi="宋体" w:cs="Arial"/>
          <w:szCs w:val="21"/>
        </w:rPr>
        <w:t>开户银行：</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账号：</w:t>
      </w:r>
      <w:r>
        <w:rPr>
          <w:rFonts w:hint="eastAsia" w:ascii="宋体" w:hAnsi="宋体" w:cs="Arial"/>
          <w:szCs w:val="21"/>
          <w:u w:val="single"/>
        </w:rPr>
        <w:t xml:space="preserve">                                </w:t>
      </w:r>
    </w:p>
    <w:p>
      <w:pPr>
        <w:spacing w:line="500" w:lineRule="exact"/>
        <w:jc w:val="left"/>
        <w:rPr>
          <w:rFonts w:ascii="宋体" w:hAnsi="宋体" w:cs="Arial"/>
          <w:szCs w:val="21"/>
        </w:rPr>
      </w:pPr>
      <w:r>
        <w:rPr>
          <w:rFonts w:hint="eastAsia" w:ascii="宋体" w:hAnsi="宋体" w:cs="Arial"/>
          <w:szCs w:val="21"/>
        </w:rPr>
        <w:t>税号：</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法定代表人：</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委托代理人：</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签约日期：</w:t>
      </w:r>
      <w:r>
        <w:rPr>
          <w:rFonts w:hint="eastAsia" w:ascii="宋体" w:hAnsi="宋体" w:cs="Arial"/>
          <w:szCs w:val="21"/>
          <w:u w:val="single"/>
        </w:rPr>
        <w:t xml:space="preserve">                            </w:t>
      </w:r>
    </w:p>
    <w:p>
      <w:pPr>
        <w:spacing w:line="500" w:lineRule="exact"/>
        <w:jc w:val="left"/>
        <w:rPr>
          <w:rFonts w:ascii="宋体" w:hAnsi="宋体" w:cs="Arial"/>
          <w:szCs w:val="21"/>
        </w:rPr>
      </w:pPr>
    </w:p>
    <w:p>
      <w:pPr>
        <w:spacing w:line="500" w:lineRule="exact"/>
        <w:jc w:val="left"/>
        <w:rPr>
          <w:rFonts w:ascii="宋体" w:hAnsi="宋体" w:cs="Arial"/>
          <w:szCs w:val="21"/>
        </w:rPr>
      </w:pPr>
      <w:r>
        <w:rPr>
          <w:rFonts w:hint="eastAsia" w:ascii="宋体" w:hAnsi="宋体" w:cs="Arial"/>
          <w:szCs w:val="21"/>
        </w:rPr>
        <w:t>乙方：</w:t>
      </w:r>
      <w:r>
        <w:rPr>
          <w:rFonts w:hint="eastAsia" w:ascii="宋体" w:hAnsi="宋体" w:cs="Arial"/>
          <w:szCs w:val="21"/>
          <w:u w:val="single"/>
        </w:rPr>
        <w:t xml:space="preserve">                   </w:t>
      </w:r>
      <w:r>
        <w:rPr>
          <w:rFonts w:hint="eastAsia" w:ascii="宋体" w:hAnsi="宋体" w:cs="Arial"/>
          <w:szCs w:val="21"/>
        </w:rPr>
        <w:t>（盖章）</w:t>
      </w:r>
    </w:p>
    <w:p>
      <w:pPr>
        <w:spacing w:line="500" w:lineRule="exact"/>
        <w:jc w:val="left"/>
        <w:rPr>
          <w:rFonts w:ascii="宋体" w:hAnsi="宋体" w:cs="Arial"/>
          <w:szCs w:val="21"/>
        </w:rPr>
      </w:pPr>
      <w:r>
        <w:rPr>
          <w:rFonts w:hint="eastAsia" w:ascii="宋体" w:hAnsi="宋体" w:cs="Arial"/>
          <w:szCs w:val="21"/>
        </w:rPr>
        <w:t>住所地：</w:t>
      </w:r>
      <w:r>
        <w:rPr>
          <w:rFonts w:hint="eastAsia" w:ascii="宋体" w:hAnsi="宋体" w:cs="Arial"/>
          <w:szCs w:val="21"/>
          <w:u w:val="single"/>
        </w:rPr>
        <w:t xml:space="preserve">                              </w:t>
      </w:r>
    </w:p>
    <w:p>
      <w:pPr>
        <w:spacing w:line="500" w:lineRule="exact"/>
        <w:jc w:val="left"/>
        <w:rPr>
          <w:rFonts w:ascii="宋体" w:hAnsi="宋体" w:cs="Arial"/>
          <w:szCs w:val="21"/>
        </w:rPr>
      </w:pPr>
      <w:r>
        <w:rPr>
          <w:rFonts w:hint="eastAsia" w:ascii="宋体" w:hAnsi="宋体" w:cs="Arial"/>
          <w:szCs w:val="21"/>
        </w:rPr>
        <w:t>电    话：</w:t>
      </w:r>
      <w:r>
        <w:rPr>
          <w:rFonts w:hint="eastAsia" w:ascii="宋体" w:hAnsi="宋体" w:cs="Arial"/>
          <w:szCs w:val="21"/>
          <w:u w:val="single"/>
        </w:rPr>
        <w:t xml:space="preserve">                  </w:t>
      </w:r>
      <w:r>
        <w:rPr>
          <w:rFonts w:hint="eastAsia" w:ascii="宋体" w:hAnsi="宋体" w:cs="Arial"/>
          <w:szCs w:val="21"/>
        </w:rPr>
        <w:t xml:space="preserve">   传    真：</w:t>
      </w:r>
      <w:r>
        <w:rPr>
          <w:rFonts w:hint="eastAsia" w:ascii="宋体" w:hAnsi="宋体" w:cs="Arial"/>
          <w:szCs w:val="21"/>
          <w:u w:val="single"/>
        </w:rPr>
        <w:t xml:space="preserve">                   </w:t>
      </w:r>
    </w:p>
    <w:p>
      <w:pPr>
        <w:spacing w:line="500" w:lineRule="exact"/>
        <w:jc w:val="left"/>
        <w:rPr>
          <w:rFonts w:ascii="宋体" w:hAnsi="宋体" w:cs="Arial"/>
          <w:szCs w:val="21"/>
        </w:rPr>
      </w:pPr>
      <w:r>
        <w:rPr>
          <w:rFonts w:hint="eastAsia" w:ascii="宋体" w:hAnsi="宋体" w:cs="Arial"/>
          <w:szCs w:val="21"/>
        </w:rPr>
        <w:t>开户银行：</w:t>
      </w:r>
      <w:r>
        <w:rPr>
          <w:rFonts w:hint="eastAsia" w:ascii="宋体" w:hAnsi="宋体" w:cs="Arial"/>
          <w:szCs w:val="21"/>
          <w:u w:val="single"/>
        </w:rPr>
        <w:t xml:space="preserve">                            </w:t>
      </w:r>
    </w:p>
    <w:p>
      <w:pPr>
        <w:spacing w:line="500" w:lineRule="exact"/>
        <w:jc w:val="left"/>
        <w:rPr>
          <w:rFonts w:ascii="宋体" w:hAnsi="宋体" w:cs="Arial"/>
          <w:szCs w:val="21"/>
        </w:rPr>
      </w:pPr>
      <w:r>
        <w:rPr>
          <w:rFonts w:hint="eastAsia" w:ascii="宋体" w:hAnsi="宋体" w:cs="Arial"/>
          <w:szCs w:val="21"/>
        </w:rPr>
        <w:t>账号：</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法定代表人：</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委托代理人：</w:t>
      </w:r>
      <w:r>
        <w:rPr>
          <w:rFonts w:hint="eastAsia" w:ascii="宋体" w:hAnsi="宋体" w:cs="Arial"/>
          <w:szCs w:val="21"/>
          <w:u w:val="single"/>
        </w:rPr>
        <w:t xml:space="preserve">                          </w:t>
      </w:r>
    </w:p>
    <w:p>
      <w:pPr>
        <w:pStyle w:val="33"/>
        <w:spacing w:line="500" w:lineRule="exact"/>
        <w:rPr>
          <w:rFonts w:ascii="宋体" w:hAnsi="宋体" w:cs="Arial"/>
          <w:szCs w:val="21"/>
          <w:u w:val="single"/>
        </w:rPr>
      </w:pPr>
      <w:r>
        <w:rPr>
          <w:rFonts w:hint="eastAsia" w:ascii="宋体" w:hAnsi="宋体" w:cs="Arial"/>
          <w:szCs w:val="21"/>
        </w:rPr>
        <w:t>签约日期：</w:t>
      </w:r>
      <w:r>
        <w:rPr>
          <w:rFonts w:hint="eastAsia" w:ascii="宋体" w:hAnsi="宋体" w:cs="Arial"/>
          <w:szCs w:val="21"/>
          <w:u w:val="single"/>
        </w:rPr>
        <w:t xml:space="preserve">                            </w:t>
      </w:r>
    </w:p>
    <w:p>
      <w:pPr>
        <w:spacing w:line="500" w:lineRule="exact"/>
        <w:rPr>
          <w:szCs w:val="21"/>
        </w:rPr>
      </w:pPr>
    </w:p>
    <w:p>
      <w:pPr>
        <w:pStyle w:val="33"/>
        <w:spacing w:line="500" w:lineRule="exact"/>
        <w:jc w:val="center"/>
        <w:rPr>
          <w:rFonts w:ascii="宋体" w:hAnsi="宋体"/>
          <w:b/>
          <w:bCs/>
          <w:sz w:val="24"/>
          <w:szCs w:val="24"/>
        </w:rPr>
      </w:pPr>
    </w:p>
    <w:p>
      <w:pPr>
        <w:rPr>
          <w:rFonts w:hint="eastAsia"/>
          <w:b/>
          <w:bCs w:val="0"/>
          <w:sz w:val="24"/>
          <w:szCs w:val="24"/>
          <w:lang w:val="en-US" w:eastAsia="zh-CN"/>
        </w:rPr>
      </w:pPr>
      <w:r>
        <w:rPr>
          <w:rFonts w:hint="eastAsia"/>
          <w:b/>
          <w:bCs w:val="0"/>
          <w:sz w:val="24"/>
          <w:szCs w:val="24"/>
          <w:lang w:val="en-US" w:eastAsia="zh-CN"/>
        </w:rPr>
        <w:br w:type="page"/>
      </w:r>
    </w:p>
    <w:p>
      <w:pPr>
        <w:pStyle w:val="5"/>
        <w:bidi w:val="0"/>
        <w:jc w:val="center"/>
        <w:rPr>
          <w:rFonts w:hint="eastAsia"/>
          <w:b/>
          <w:bCs w:val="0"/>
          <w:sz w:val="24"/>
          <w:szCs w:val="24"/>
          <w:lang w:val="en-US" w:eastAsia="zh-CN"/>
        </w:rPr>
      </w:pPr>
      <w:bookmarkStart w:id="554" w:name="_Toc29850"/>
      <w:r>
        <w:rPr>
          <w:rFonts w:hint="eastAsia"/>
          <w:b/>
          <w:bCs w:val="0"/>
          <w:sz w:val="24"/>
          <w:szCs w:val="24"/>
          <w:lang w:val="en-US" w:eastAsia="zh-CN"/>
        </w:rPr>
        <w:t>3.勘察部分</w:t>
      </w:r>
      <w:bookmarkEnd w:id="554"/>
    </w:p>
    <w:p>
      <w:pPr>
        <w:pStyle w:val="33"/>
        <w:spacing w:line="500" w:lineRule="exact"/>
        <w:ind w:left="0" w:firstLine="0"/>
        <w:jc w:val="center"/>
        <w:rPr>
          <w:rFonts w:ascii="宋体" w:hAnsi="宋体"/>
          <w:b/>
          <w:sz w:val="24"/>
          <w:szCs w:val="24"/>
        </w:rPr>
      </w:pPr>
    </w:p>
    <w:p>
      <w:pPr>
        <w:pStyle w:val="33"/>
        <w:spacing w:line="500" w:lineRule="exact"/>
        <w:rPr>
          <w:rFonts w:ascii="宋体" w:hAnsi="宋体"/>
          <w:b/>
          <w:bCs/>
          <w:szCs w:val="21"/>
        </w:rPr>
      </w:pPr>
      <w:r>
        <w:rPr>
          <w:rFonts w:hint="eastAsia" w:ascii="宋体" w:hAnsi="宋体"/>
          <w:b/>
          <w:bCs/>
          <w:szCs w:val="21"/>
        </w:rPr>
        <w:t>第1条 一般约定</w:t>
      </w:r>
    </w:p>
    <w:p>
      <w:pPr>
        <w:pStyle w:val="33"/>
        <w:spacing w:line="500" w:lineRule="exact"/>
        <w:ind w:left="0" w:firstLine="371" w:firstLineChars="177"/>
        <w:rPr>
          <w:rFonts w:ascii="宋体" w:hAnsi="宋体"/>
          <w:szCs w:val="21"/>
        </w:rPr>
      </w:pPr>
      <w:r>
        <w:rPr>
          <w:rFonts w:hint="eastAsia" w:ascii="宋体" w:hAnsi="宋体"/>
          <w:szCs w:val="21"/>
        </w:rPr>
        <w:t>1.1 词语定义</w:t>
      </w:r>
    </w:p>
    <w:p>
      <w:pPr>
        <w:pStyle w:val="33"/>
        <w:spacing w:line="500" w:lineRule="exact"/>
        <w:rPr>
          <w:rFonts w:ascii="宋体" w:hAnsi="宋体"/>
          <w:szCs w:val="21"/>
        </w:rPr>
      </w:pP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1.2 合同文件及优先解释顺序</w:t>
      </w:r>
    </w:p>
    <w:p>
      <w:pPr>
        <w:pStyle w:val="33"/>
        <w:spacing w:line="500" w:lineRule="exact"/>
        <w:ind w:left="0" w:firstLine="371" w:firstLineChars="177"/>
        <w:rPr>
          <w:rFonts w:ascii="宋体" w:hAnsi="宋体"/>
          <w:szCs w:val="21"/>
        </w:rPr>
      </w:pPr>
      <w:r>
        <w:rPr>
          <w:rFonts w:hint="eastAsia" w:ascii="宋体" w:hAnsi="宋体"/>
          <w:szCs w:val="21"/>
        </w:rPr>
        <w:t>1.2.1 合同文件组成及优先解释顺序：</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1.3 适用法律法规、技术标准</w:t>
      </w:r>
    </w:p>
    <w:p>
      <w:pPr>
        <w:pStyle w:val="33"/>
        <w:spacing w:line="500" w:lineRule="exact"/>
        <w:ind w:left="0" w:firstLine="426"/>
        <w:rPr>
          <w:rFonts w:ascii="宋体" w:hAnsi="宋体"/>
          <w:szCs w:val="21"/>
        </w:rPr>
      </w:pPr>
      <w:r>
        <w:rPr>
          <w:rFonts w:hint="eastAsia" w:ascii="宋体" w:hAnsi="宋体"/>
          <w:szCs w:val="21"/>
        </w:rPr>
        <w:t>1.3.1 适用法律法规</w:t>
      </w:r>
    </w:p>
    <w:p>
      <w:pPr>
        <w:pStyle w:val="33"/>
        <w:spacing w:line="500" w:lineRule="exact"/>
        <w:ind w:left="0" w:firstLine="426"/>
        <w:rPr>
          <w:rFonts w:ascii="宋体" w:hAnsi="宋体"/>
          <w:szCs w:val="21"/>
        </w:rPr>
      </w:pPr>
      <w:r>
        <w:rPr>
          <w:rFonts w:hint="eastAsia" w:ascii="宋体" w:hAnsi="宋体"/>
          <w:szCs w:val="21"/>
        </w:rPr>
        <w:t>需要明示的规范性文件：</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1.3.2 适用技术标准</w:t>
      </w:r>
    </w:p>
    <w:p>
      <w:pPr>
        <w:pStyle w:val="33"/>
        <w:spacing w:line="500" w:lineRule="exact"/>
        <w:ind w:left="0" w:firstLine="426"/>
        <w:rPr>
          <w:rFonts w:ascii="宋体" w:hAnsi="宋体"/>
          <w:szCs w:val="21"/>
        </w:rPr>
      </w:pPr>
      <w:r>
        <w:rPr>
          <w:rFonts w:hint="eastAsia" w:ascii="宋体" w:hAnsi="宋体"/>
          <w:szCs w:val="21"/>
        </w:rPr>
        <w:t>特别要求：</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使用国外技术标准的名称、提供方、原文版、中译本的份数、时间及费用承担：</w:t>
      </w:r>
    </w:p>
    <w:p>
      <w:pPr>
        <w:pStyle w:val="33"/>
        <w:spacing w:line="500" w:lineRule="exact"/>
        <w:ind w:left="0" w:firstLine="426"/>
        <w:rPr>
          <w:rFonts w:ascii="宋体" w:hAnsi="宋体"/>
          <w:szCs w:val="21"/>
        </w:rPr>
      </w:pP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1.4 语言文字</w:t>
      </w:r>
    </w:p>
    <w:p>
      <w:pPr>
        <w:pStyle w:val="33"/>
        <w:spacing w:line="500" w:lineRule="exact"/>
        <w:ind w:left="0" w:firstLine="426"/>
        <w:rPr>
          <w:rFonts w:ascii="宋体" w:hAnsi="宋体"/>
          <w:szCs w:val="21"/>
        </w:rPr>
      </w:pPr>
      <w:r>
        <w:rPr>
          <w:rFonts w:hint="eastAsia" w:ascii="宋体" w:hAnsi="宋体"/>
          <w:szCs w:val="21"/>
        </w:rPr>
        <w:t>本合同除使用汉语外，还使用</w:t>
      </w:r>
      <w:r>
        <w:rPr>
          <w:rFonts w:hint="eastAsia" w:ascii="宋体" w:hAnsi="宋体" w:cs="Arial"/>
          <w:szCs w:val="21"/>
          <w:u w:val="single"/>
        </w:rPr>
        <w:t xml:space="preserve">            </w:t>
      </w:r>
      <w:r>
        <w:rPr>
          <w:rFonts w:hint="eastAsia" w:ascii="宋体" w:hAnsi="宋体"/>
          <w:szCs w:val="21"/>
        </w:rPr>
        <w:t>语言文字。</w:t>
      </w:r>
    </w:p>
    <w:p>
      <w:pPr>
        <w:pStyle w:val="33"/>
        <w:spacing w:line="500" w:lineRule="exact"/>
        <w:ind w:left="0" w:firstLine="426"/>
        <w:rPr>
          <w:rFonts w:ascii="宋体" w:hAnsi="宋体"/>
          <w:szCs w:val="21"/>
        </w:rPr>
      </w:pPr>
      <w:r>
        <w:rPr>
          <w:rFonts w:hint="eastAsia" w:ascii="宋体" w:hAnsi="宋体"/>
          <w:szCs w:val="21"/>
        </w:rPr>
        <w:t>1.5 联络</w:t>
      </w:r>
    </w:p>
    <w:p>
      <w:pPr>
        <w:pStyle w:val="33"/>
        <w:spacing w:line="500" w:lineRule="exact"/>
        <w:ind w:left="0" w:firstLine="426"/>
        <w:rPr>
          <w:rFonts w:ascii="宋体" w:hAnsi="宋体"/>
          <w:szCs w:val="21"/>
        </w:rPr>
      </w:pPr>
      <w:r>
        <w:rPr>
          <w:rFonts w:hint="eastAsia" w:ascii="宋体" w:hAnsi="宋体"/>
          <w:szCs w:val="21"/>
        </w:rPr>
        <w:t>1.5.1 发包人（甲方）和勘察人（乙方）应在</w:t>
      </w:r>
      <w:r>
        <w:rPr>
          <w:rFonts w:hint="eastAsia" w:ascii="宋体" w:hAnsi="宋体" w:cs="Arial"/>
          <w:szCs w:val="21"/>
          <w:u w:val="single"/>
        </w:rPr>
        <w:t xml:space="preserve">            </w:t>
      </w:r>
      <w:r>
        <w:rPr>
          <w:rFonts w:hint="eastAsia" w:ascii="宋体" w:hAnsi="宋体"/>
          <w:szCs w:val="21"/>
        </w:rPr>
        <w:t>天内将与合同有关的通知、批准、证明、证书、指示、指令、要求、请求、同意、意见、确定和决定等书面函件送达对方当事人。</w:t>
      </w:r>
    </w:p>
    <w:p>
      <w:pPr>
        <w:pStyle w:val="33"/>
        <w:spacing w:line="500" w:lineRule="exact"/>
        <w:ind w:left="0" w:firstLine="426"/>
        <w:rPr>
          <w:rFonts w:ascii="宋体" w:hAnsi="宋体"/>
          <w:szCs w:val="21"/>
        </w:rPr>
      </w:pPr>
      <w:r>
        <w:rPr>
          <w:rFonts w:hint="eastAsia" w:ascii="宋体" w:hAnsi="宋体"/>
          <w:szCs w:val="21"/>
        </w:rPr>
        <w:t>1.5.2 发包人接收文件的地点：</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发包人指定的接收人：</w:t>
      </w:r>
      <w:r>
        <w:rPr>
          <w:rFonts w:hint="eastAsia" w:ascii="宋体" w:hAnsi="宋体" w:cs="Arial"/>
          <w:szCs w:val="21"/>
          <w:u w:val="single"/>
        </w:rPr>
        <w:t xml:space="preserve">                               </w:t>
      </w:r>
    </w:p>
    <w:p>
      <w:pPr>
        <w:pStyle w:val="33"/>
        <w:spacing w:line="500" w:lineRule="exact"/>
        <w:ind w:left="0" w:firstLine="426"/>
        <w:rPr>
          <w:rFonts w:ascii="宋体" w:hAnsi="宋体" w:cs="Arial"/>
          <w:szCs w:val="21"/>
          <w:u w:val="single"/>
        </w:rPr>
      </w:pPr>
      <w:r>
        <w:rPr>
          <w:rFonts w:hint="eastAsia" w:ascii="宋体" w:hAnsi="宋体"/>
          <w:szCs w:val="21"/>
        </w:rPr>
        <w:t>发包人指定的联系方式：</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勘察人接收文件的地点：</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勘察人指定的接收人：</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勘察人指定的联系方式：</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1.7 保密</w:t>
      </w:r>
    </w:p>
    <w:p>
      <w:pPr>
        <w:pStyle w:val="33"/>
        <w:spacing w:line="500" w:lineRule="exact"/>
        <w:ind w:left="0" w:firstLine="371" w:firstLineChars="177"/>
        <w:rPr>
          <w:rFonts w:ascii="宋体" w:hAnsi="宋体"/>
          <w:szCs w:val="21"/>
        </w:rPr>
      </w:pPr>
      <w:r>
        <w:rPr>
          <w:rFonts w:hint="eastAsia" w:ascii="宋体" w:hAnsi="宋体"/>
          <w:szCs w:val="21"/>
        </w:rPr>
        <w:t>合同当事人关于保密的约定：</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rPr>
          <w:rFonts w:ascii="宋体" w:hAnsi="宋体"/>
          <w:b/>
          <w:bCs/>
          <w:szCs w:val="21"/>
        </w:rPr>
      </w:pPr>
      <w:r>
        <w:rPr>
          <w:rFonts w:hint="eastAsia" w:ascii="宋体" w:hAnsi="宋体"/>
          <w:b/>
          <w:bCs/>
          <w:szCs w:val="21"/>
        </w:rPr>
        <w:t>第2条 发包人（甲方）</w:t>
      </w:r>
    </w:p>
    <w:p>
      <w:pPr>
        <w:pStyle w:val="33"/>
        <w:spacing w:line="500" w:lineRule="exact"/>
        <w:ind w:left="0" w:firstLine="426"/>
        <w:rPr>
          <w:rFonts w:ascii="宋体" w:hAnsi="宋体"/>
          <w:szCs w:val="21"/>
        </w:rPr>
      </w:pPr>
      <w:r>
        <w:rPr>
          <w:rFonts w:hint="eastAsia" w:ascii="宋体" w:hAnsi="宋体"/>
          <w:szCs w:val="21"/>
        </w:rPr>
        <w:t>2.2 发包人义务</w:t>
      </w:r>
    </w:p>
    <w:p>
      <w:pPr>
        <w:pStyle w:val="33"/>
        <w:spacing w:line="500" w:lineRule="exact"/>
        <w:ind w:left="0" w:firstLine="426"/>
        <w:rPr>
          <w:rFonts w:ascii="宋体" w:hAnsi="宋体"/>
          <w:szCs w:val="21"/>
        </w:rPr>
      </w:pPr>
      <w:r>
        <w:rPr>
          <w:rFonts w:hint="eastAsia" w:ascii="宋体" w:hAnsi="宋体"/>
          <w:szCs w:val="21"/>
        </w:rPr>
        <w:t>2.2.2 发包人委托勘察人搜集的资料：</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2.2.7 发包人对安全文明施工的特别要求：</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rPr>
          <w:rFonts w:ascii="宋体" w:hAnsi="宋体"/>
          <w:szCs w:val="21"/>
        </w:rPr>
      </w:pPr>
      <w:r>
        <w:rPr>
          <w:rFonts w:hint="eastAsia" w:ascii="宋体" w:hAnsi="宋体"/>
          <w:szCs w:val="21"/>
        </w:rPr>
        <w:t>2.3 发包人代表</w:t>
      </w:r>
    </w:p>
    <w:p>
      <w:pPr>
        <w:pStyle w:val="33"/>
        <w:spacing w:line="500" w:lineRule="exact"/>
        <w:ind w:left="0" w:firstLine="371" w:firstLineChars="177"/>
        <w:rPr>
          <w:rFonts w:ascii="宋体" w:hAnsi="宋体"/>
          <w:szCs w:val="21"/>
        </w:rPr>
      </w:pPr>
      <w:r>
        <w:rPr>
          <w:rFonts w:hint="eastAsia" w:ascii="宋体" w:hAnsi="宋体"/>
          <w:szCs w:val="21"/>
        </w:rPr>
        <w:t>姓名：</w:t>
      </w:r>
      <w:r>
        <w:rPr>
          <w:rFonts w:hint="eastAsia" w:ascii="宋体" w:hAnsi="宋体" w:cs="Arial"/>
          <w:szCs w:val="21"/>
          <w:u w:val="single"/>
        </w:rPr>
        <w:t xml:space="preserve">            </w:t>
      </w:r>
      <w:r>
        <w:rPr>
          <w:rFonts w:hint="eastAsia" w:ascii="宋体" w:hAnsi="宋体"/>
          <w:szCs w:val="21"/>
        </w:rPr>
        <w:t xml:space="preserve"> 职务：</w:t>
      </w:r>
      <w:r>
        <w:rPr>
          <w:rFonts w:hint="eastAsia" w:ascii="宋体" w:hAnsi="宋体" w:cs="Arial"/>
          <w:szCs w:val="21"/>
          <w:u w:val="single"/>
        </w:rPr>
        <w:t xml:space="preserve">            </w:t>
      </w:r>
      <w:r>
        <w:rPr>
          <w:rFonts w:hint="eastAsia" w:ascii="宋体" w:hAnsi="宋体"/>
          <w:szCs w:val="21"/>
        </w:rPr>
        <w:t xml:space="preserve"> 联系方式：</w:t>
      </w:r>
      <w:r>
        <w:rPr>
          <w:rFonts w:hint="eastAsia" w:ascii="宋体" w:hAnsi="宋体" w:cs="Arial"/>
          <w:szCs w:val="21"/>
          <w:u w:val="single"/>
        </w:rPr>
        <w:t xml:space="preserve">                </w:t>
      </w:r>
    </w:p>
    <w:p>
      <w:pPr>
        <w:pStyle w:val="33"/>
        <w:spacing w:line="500" w:lineRule="exact"/>
        <w:ind w:left="0" w:firstLine="371" w:firstLineChars="177"/>
        <w:rPr>
          <w:rFonts w:ascii="宋体" w:hAnsi="宋体"/>
          <w:szCs w:val="21"/>
        </w:rPr>
      </w:pPr>
      <w:r>
        <w:rPr>
          <w:rFonts w:hint="eastAsia" w:ascii="宋体" w:hAnsi="宋体"/>
          <w:szCs w:val="21"/>
        </w:rPr>
        <w:t>授权范围：</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rPr>
          <w:rFonts w:ascii="宋体" w:hAnsi="宋体" w:cs="Arial"/>
          <w:szCs w:val="21"/>
          <w:u w:val="single"/>
        </w:rPr>
      </w:pP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rPr>
          <w:rFonts w:ascii="宋体" w:hAnsi="宋体"/>
          <w:b/>
          <w:bCs/>
          <w:szCs w:val="21"/>
        </w:rPr>
      </w:pPr>
      <w:r>
        <w:rPr>
          <w:rFonts w:hint="eastAsia" w:ascii="宋体" w:hAnsi="宋体"/>
          <w:b/>
          <w:bCs/>
          <w:szCs w:val="21"/>
        </w:rPr>
        <w:t>第3条 勘察人（乙方）</w:t>
      </w:r>
    </w:p>
    <w:p>
      <w:pPr>
        <w:pStyle w:val="33"/>
        <w:spacing w:line="500" w:lineRule="exact"/>
        <w:ind w:left="0" w:firstLine="426"/>
        <w:rPr>
          <w:rFonts w:ascii="宋体" w:hAnsi="宋体"/>
          <w:szCs w:val="21"/>
        </w:rPr>
      </w:pPr>
      <w:r>
        <w:rPr>
          <w:rFonts w:hint="eastAsia" w:ascii="宋体" w:hAnsi="宋体"/>
          <w:szCs w:val="21"/>
        </w:rPr>
        <w:t>3.1 勘察人权利</w:t>
      </w:r>
    </w:p>
    <w:p>
      <w:pPr>
        <w:pStyle w:val="33"/>
        <w:spacing w:line="500" w:lineRule="exact"/>
        <w:ind w:left="0" w:firstLine="426"/>
        <w:rPr>
          <w:rFonts w:ascii="宋体" w:hAnsi="宋体"/>
          <w:szCs w:val="21"/>
        </w:rPr>
      </w:pPr>
      <w:r>
        <w:rPr>
          <w:rFonts w:hint="eastAsia" w:ascii="宋体" w:hAnsi="宋体"/>
          <w:szCs w:val="21"/>
        </w:rPr>
        <w:t>3.1.2 关于分包的约定：</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3.3 勘察专业负责人</w:t>
      </w:r>
    </w:p>
    <w:p>
      <w:pPr>
        <w:pStyle w:val="33"/>
        <w:spacing w:line="500" w:lineRule="exact"/>
        <w:ind w:left="0" w:firstLine="371" w:firstLineChars="177"/>
        <w:rPr>
          <w:rFonts w:ascii="宋体" w:hAnsi="宋体"/>
          <w:szCs w:val="21"/>
        </w:rPr>
      </w:pPr>
      <w:r>
        <w:rPr>
          <w:rFonts w:hint="eastAsia" w:ascii="宋体" w:hAnsi="宋体"/>
          <w:szCs w:val="21"/>
        </w:rPr>
        <w:t>姓名：</w:t>
      </w:r>
      <w:r>
        <w:rPr>
          <w:rFonts w:hint="eastAsia" w:ascii="宋体" w:hAnsi="宋体" w:cs="Arial"/>
          <w:szCs w:val="21"/>
          <w:u w:val="single"/>
        </w:rPr>
        <w:t xml:space="preserve">            </w:t>
      </w:r>
      <w:r>
        <w:rPr>
          <w:rFonts w:hint="eastAsia" w:ascii="宋体" w:hAnsi="宋体"/>
          <w:szCs w:val="21"/>
        </w:rPr>
        <w:t xml:space="preserve"> 资格证书：</w:t>
      </w:r>
      <w:r>
        <w:rPr>
          <w:rFonts w:hint="eastAsia" w:ascii="宋体" w:hAnsi="宋体" w:cs="Arial"/>
          <w:szCs w:val="21"/>
          <w:u w:val="single"/>
        </w:rPr>
        <w:t xml:space="preserve">            </w:t>
      </w:r>
      <w:r>
        <w:rPr>
          <w:rFonts w:hint="eastAsia" w:ascii="宋体" w:hAnsi="宋体"/>
          <w:szCs w:val="21"/>
        </w:rPr>
        <w:t xml:space="preserve"> 证书编号：</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ind w:left="0" w:firstLine="371" w:firstLineChars="177"/>
        <w:rPr>
          <w:rFonts w:ascii="宋体" w:hAnsi="宋体"/>
          <w:szCs w:val="21"/>
        </w:rPr>
      </w:pPr>
      <w:r>
        <w:rPr>
          <w:rFonts w:hint="eastAsia" w:ascii="宋体" w:hAnsi="宋体"/>
          <w:szCs w:val="21"/>
        </w:rPr>
        <w:t>授权范围：</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rPr>
          <w:rFonts w:ascii="宋体" w:hAnsi="宋体"/>
          <w:b/>
          <w:bCs/>
          <w:szCs w:val="21"/>
        </w:rPr>
      </w:pPr>
      <w:r>
        <w:rPr>
          <w:rFonts w:hint="eastAsia" w:ascii="宋体" w:hAnsi="宋体"/>
          <w:b/>
          <w:bCs/>
          <w:szCs w:val="21"/>
        </w:rPr>
        <w:t>第4条 工期</w:t>
      </w:r>
    </w:p>
    <w:p>
      <w:pPr>
        <w:pStyle w:val="33"/>
        <w:spacing w:line="500" w:lineRule="exact"/>
        <w:ind w:left="0" w:firstLine="426"/>
        <w:rPr>
          <w:rFonts w:ascii="宋体" w:hAnsi="宋体"/>
          <w:szCs w:val="21"/>
        </w:rPr>
      </w:pPr>
      <w:r>
        <w:rPr>
          <w:rFonts w:hint="eastAsia" w:ascii="宋体" w:hAnsi="宋体"/>
          <w:szCs w:val="21"/>
        </w:rPr>
        <w:t>4.2成果提交日期</w:t>
      </w:r>
    </w:p>
    <w:p>
      <w:pPr>
        <w:pStyle w:val="33"/>
        <w:spacing w:line="500" w:lineRule="exact"/>
        <w:ind w:left="0" w:firstLine="371" w:firstLineChars="177"/>
        <w:rPr>
          <w:rFonts w:ascii="宋体" w:hAnsi="宋体"/>
          <w:szCs w:val="21"/>
        </w:rPr>
      </w:pPr>
      <w:r>
        <w:rPr>
          <w:rFonts w:hint="eastAsia" w:ascii="宋体" w:hAnsi="宋体"/>
          <w:szCs w:val="21"/>
        </w:rPr>
        <w:t>双方约定工期顺延的其他情况：</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4.3 发包人造成的工期延误</w:t>
      </w:r>
    </w:p>
    <w:p>
      <w:pPr>
        <w:pStyle w:val="33"/>
        <w:spacing w:line="500" w:lineRule="exact"/>
        <w:ind w:left="0" w:firstLine="371" w:firstLineChars="177"/>
        <w:rPr>
          <w:rFonts w:ascii="宋体" w:hAnsi="宋体"/>
          <w:szCs w:val="21"/>
        </w:rPr>
      </w:pPr>
      <w:r>
        <w:rPr>
          <w:rFonts w:hint="eastAsia" w:ascii="宋体" w:hAnsi="宋体"/>
          <w:szCs w:val="21"/>
        </w:rPr>
        <w:t>4.3.2 双方就工期顺延确定期限的约定：</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rPr>
          <w:rFonts w:ascii="宋体" w:hAnsi="宋体"/>
          <w:b/>
          <w:bCs/>
          <w:szCs w:val="21"/>
        </w:rPr>
      </w:pPr>
      <w:r>
        <w:rPr>
          <w:rFonts w:hint="eastAsia" w:ascii="宋体" w:hAnsi="宋体"/>
          <w:b/>
          <w:bCs/>
          <w:szCs w:val="21"/>
        </w:rPr>
        <w:t>第5条 成果资料</w:t>
      </w:r>
    </w:p>
    <w:p>
      <w:pPr>
        <w:pStyle w:val="33"/>
        <w:spacing w:line="500" w:lineRule="exact"/>
        <w:ind w:left="0" w:firstLine="426"/>
        <w:rPr>
          <w:rFonts w:ascii="宋体" w:hAnsi="宋体"/>
          <w:szCs w:val="21"/>
        </w:rPr>
      </w:pPr>
      <w:r>
        <w:rPr>
          <w:rFonts w:hint="eastAsia" w:ascii="宋体" w:hAnsi="宋体"/>
          <w:szCs w:val="21"/>
        </w:rPr>
        <w:t>5.2 成果份数</w:t>
      </w:r>
    </w:p>
    <w:p>
      <w:pPr>
        <w:pStyle w:val="33"/>
        <w:spacing w:line="500" w:lineRule="exact"/>
        <w:ind w:left="0" w:firstLine="426"/>
        <w:rPr>
          <w:rFonts w:ascii="宋体" w:hAnsi="宋体"/>
          <w:szCs w:val="21"/>
        </w:rPr>
      </w:pPr>
      <w:r>
        <w:rPr>
          <w:rFonts w:hint="eastAsia" w:ascii="宋体" w:hAnsi="宋体"/>
          <w:szCs w:val="21"/>
        </w:rPr>
        <w:t>勘察人应向发包人提交成果资料四份，发包人要求增加的份数为</w:t>
      </w:r>
      <w:r>
        <w:rPr>
          <w:rFonts w:hint="eastAsia" w:ascii="宋体" w:hAnsi="宋体" w:cs="Arial"/>
          <w:szCs w:val="21"/>
          <w:u w:val="single"/>
        </w:rPr>
        <w:t xml:space="preserve">          </w:t>
      </w:r>
      <w:r>
        <w:rPr>
          <w:rFonts w:hint="eastAsia" w:ascii="宋体" w:hAnsi="宋体"/>
          <w:szCs w:val="21"/>
        </w:rPr>
        <w:t>份。</w:t>
      </w:r>
    </w:p>
    <w:p>
      <w:pPr>
        <w:pStyle w:val="33"/>
        <w:spacing w:line="500" w:lineRule="exact"/>
        <w:ind w:left="0" w:firstLine="426"/>
        <w:rPr>
          <w:rFonts w:ascii="宋体" w:hAnsi="宋体"/>
          <w:szCs w:val="21"/>
        </w:rPr>
      </w:pPr>
      <w:r>
        <w:rPr>
          <w:rFonts w:hint="eastAsia" w:ascii="宋体" w:hAnsi="宋体"/>
          <w:szCs w:val="21"/>
        </w:rPr>
        <w:t>5.4 成果验收</w:t>
      </w:r>
    </w:p>
    <w:p>
      <w:pPr>
        <w:pStyle w:val="33"/>
        <w:spacing w:line="500" w:lineRule="exact"/>
        <w:ind w:left="0" w:firstLine="426"/>
        <w:rPr>
          <w:rFonts w:ascii="宋体" w:hAnsi="宋体"/>
          <w:szCs w:val="21"/>
        </w:rPr>
      </w:pPr>
      <w:r>
        <w:rPr>
          <w:rFonts w:hint="eastAsia" w:ascii="宋体" w:hAnsi="宋体"/>
          <w:szCs w:val="21"/>
        </w:rPr>
        <w:t>双方就成果验收期限的约定：</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rPr>
          <w:rFonts w:ascii="宋体" w:hAnsi="宋体"/>
          <w:b/>
          <w:bCs/>
          <w:szCs w:val="21"/>
        </w:rPr>
      </w:pPr>
      <w:r>
        <w:rPr>
          <w:rFonts w:hint="eastAsia" w:ascii="宋体" w:hAnsi="宋体"/>
          <w:b/>
          <w:bCs/>
          <w:szCs w:val="21"/>
        </w:rPr>
        <w:t>第6条 后期服务</w:t>
      </w:r>
    </w:p>
    <w:p>
      <w:pPr>
        <w:pStyle w:val="33"/>
        <w:spacing w:line="500" w:lineRule="exact"/>
        <w:ind w:left="0" w:firstLine="426"/>
        <w:rPr>
          <w:rFonts w:ascii="宋体" w:hAnsi="宋体"/>
          <w:szCs w:val="21"/>
        </w:rPr>
      </w:pPr>
      <w:r>
        <w:rPr>
          <w:rFonts w:hint="eastAsia" w:ascii="宋体" w:hAnsi="宋体"/>
          <w:szCs w:val="21"/>
        </w:rPr>
        <w:t>6.1 后续技术服务</w:t>
      </w:r>
    </w:p>
    <w:p>
      <w:pPr>
        <w:pStyle w:val="33"/>
        <w:spacing w:line="500" w:lineRule="exact"/>
        <w:ind w:left="0" w:firstLine="426"/>
        <w:rPr>
          <w:rFonts w:ascii="宋体" w:hAnsi="宋体"/>
          <w:szCs w:val="21"/>
        </w:rPr>
      </w:pPr>
      <w:r>
        <w:rPr>
          <w:rFonts w:hint="eastAsia" w:ascii="宋体" w:hAnsi="宋体"/>
          <w:szCs w:val="21"/>
        </w:rPr>
        <w:t xml:space="preserve">后续技术服务内容约定： </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后续技术服务费用约定：</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后续技术服务时限约定：</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pPr>
        <w:pStyle w:val="33"/>
        <w:spacing w:line="500" w:lineRule="exact"/>
        <w:rPr>
          <w:rFonts w:ascii="宋体" w:hAnsi="宋体"/>
          <w:b/>
          <w:bCs/>
          <w:szCs w:val="21"/>
        </w:rPr>
      </w:pPr>
      <w:r>
        <w:rPr>
          <w:rFonts w:hint="eastAsia" w:ascii="宋体" w:hAnsi="宋体"/>
          <w:b/>
          <w:bCs/>
          <w:szCs w:val="21"/>
        </w:rPr>
        <w:t>第7条 合同价款与支付</w:t>
      </w:r>
    </w:p>
    <w:p>
      <w:pPr>
        <w:pStyle w:val="33"/>
        <w:spacing w:line="500" w:lineRule="exact"/>
        <w:ind w:left="0" w:firstLine="426"/>
        <w:rPr>
          <w:rFonts w:ascii="宋体" w:hAnsi="宋体"/>
          <w:szCs w:val="21"/>
        </w:rPr>
      </w:pPr>
      <w:r>
        <w:rPr>
          <w:rFonts w:hint="eastAsia" w:ascii="宋体" w:hAnsi="宋体"/>
          <w:szCs w:val="21"/>
        </w:rPr>
        <w:t>7.1 合同价款与调整</w:t>
      </w:r>
    </w:p>
    <w:p>
      <w:pPr>
        <w:pStyle w:val="33"/>
        <w:spacing w:line="500" w:lineRule="exact"/>
        <w:ind w:left="0" w:firstLine="371" w:firstLineChars="177"/>
        <w:rPr>
          <w:rFonts w:ascii="宋体" w:hAnsi="宋体"/>
          <w:szCs w:val="21"/>
        </w:rPr>
      </w:pPr>
      <w:r>
        <w:rPr>
          <w:rFonts w:hint="eastAsia" w:ascii="宋体" w:hAnsi="宋体"/>
          <w:szCs w:val="21"/>
        </w:rPr>
        <w:t>7.1.1 双方约定的合同价款调整因素和方法：</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7.1.2 本合同价款采用</w:t>
      </w:r>
      <w:r>
        <w:rPr>
          <w:rFonts w:hint="eastAsia" w:ascii="宋体" w:hAnsi="宋体" w:cs="Arial"/>
          <w:szCs w:val="21"/>
          <w:u w:val="single"/>
        </w:rPr>
        <w:t xml:space="preserve">          </w:t>
      </w:r>
      <w:r>
        <w:rPr>
          <w:rFonts w:hint="eastAsia" w:ascii="宋体" w:hAnsi="宋体"/>
          <w:szCs w:val="21"/>
        </w:rPr>
        <w:t>方式确定。</w:t>
      </w:r>
    </w:p>
    <w:p>
      <w:pPr>
        <w:pStyle w:val="33"/>
        <w:spacing w:line="500" w:lineRule="exact"/>
        <w:ind w:left="0" w:firstLine="371" w:firstLineChars="177"/>
        <w:rPr>
          <w:rFonts w:ascii="宋体" w:hAnsi="宋体"/>
          <w:szCs w:val="21"/>
        </w:rPr>
      </w:pPr>
      <w:r>
        <w:rPr>
          <w:rFonts w:hint="eastAsia" w:ascii="宋体" w:hAnsi="宋体"/>
          <w:szCs w:val="21"/>
        </w:rPr>
        <w:t>（1）采用总价合同，合同价款中包括的风险范围：</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cs="Arial"/>
          <w:szCs w:val="21"/>
          <w:u w:val="single"/>
        </w:rPr>
        <w:t xml:space="preserve">                                                                          </w:t>
      </w:r>
    </w:p>
    <w:p>
      <w:pPr>
        <w:pStyle w:val="33"/>
        <w:spacing w:line="500" w:lineRule="exact"/>
        <w:ind w:left="0" w:firstLine="426"/>
        <w:rPr>
          <w:rFonts w:ascii="宋体" w:hAnsi="宋体"/>
          <w:szCs w:val="21"/>
        </w:rPr>
      </w:pPr>
    </w:p>
    <w:p>
      <w:pPr>
        <w:pStyle w:val="33"/>
        <w:spacing w:line="500" w:lineRule="exact"/>
        <w:ind w:left="0" w:firstLine="371" w:firstLineChars="177"/>
        <w:rPr>
          <w:rFonts w:ascii="宋体" w:hAnsi="宋体"/>
          <w:szCs w:val="21"/>
        </w:rPr>
      </w:pPr>
      <w:r>
        <w:rPr>
          <w:rFonts w:hint="eastAsia" w:ascii="宋体" w:hAnsi="宋体"/>
          <w:szCs w:val="21"/>
        </w:rPr>
        <w:t>风险费用的计算方法：</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cs="Arial"/>
          <w:szCs w:val="21"/>
          <w:u w:val="single"/>
        </w:rPr>
        <w:t xml:space="preserve">                                                                          </w:t>
      </w:r>
    </w:p>
    <w:p>
      <w:pPr>
        <w:pStyle w:val="33"/>
        <w:spacing w:line="500" w:lineRule="exact"/>
        <w:ind w:left="0" w:firstLine="426"/>
        <w:rPr>
          <w:rFonts w:ascii="宋体" w:hAnsi="宋体"/>
          <w:szCs w:val="21"/>
        </w:rPr>
      </w:pPr>
    </w:p>
    <w:p>
      <w:pPr>
        <w:pStyle w:val="33"/>
        <w:spacing w:line="500" w:lineRule="exact"/>
        <w:ind w:left="0" w:firstLine="371" w:firstLineChars="177"/>
        <w:rPr>
          <w:rFonts w:ascii="宋体" w:hAnsi="宋体"/>
          <w:szCs w:val="21"/>
        </w:rPr>
      </w:pPr>
      <w:r>
        <w:rPr>
          <w:rFonts w:hint="eastAsia" w:ascii="宋体" w:hAnsi="宋体"/>
          <w:szCs w:val="21"/>
        </w:rPr>
        <w:t>风险范围以外合同价款调整因素和方法：</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cs="Arial"/>
          <w:szCs w:val="21"/>
          <w:u w:val="single"/>
        </w:rPr>
        <w:t xml:space="preserve">                                                                          </w:t>
      </w:r>
    </w:p>
    <w:p>
      <w:pPr>
        <w:pStyle w:val="33"/>
        <w:spacing w:line="500" w:lineRule="exact"/>
        <w:ind w:left="0" w:firstLine="371" w:firstLineChars="177"/>
        <w:rPr>
          <w:rFonts w:ascii="宋体" w:hAnsi="宋体"/>
          <w:szCs w:val="21"/>
        </w:rPr>
      </w:pPr>
      <w:r>
        <w:rPr>
          <w:rFonts w:hint="eastAsia" w:ascii="宋体" w:hAnsi="宋体"/>
          <w:szCs w:val="21"/>
        </w:rPr>
        <w:t>（2）采用单价合同，合同价款中包括的风险范围：</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cs="Arial"/>
          <w:szCs w:val="21"/>
          <w:u w:val="single"/>
        </w:rPr>
        <w:t xml:space="preserve">                                                                          </w:t>
      </w:r>
    </w:p>
    <w:p>
      <w:pPr>
        <w:pStyle w:val="33"/>
        <w:spacing w:line="500" w:lineRule="exact"/>
        <w:ind w:left="0" w:firstLine="371" w:firstLineChars="177"/>
        <w:rPr>
          <w:rFonts w:ascii="宋体" w:hAnsi="宋体"/>
          <w:szCs w:val="21"/>
        </w:rPr>
      </w:pPr>
      <w:r>
        <w:rPr>
          <w:rFonts w:hint="eastAsia" w:ascii="宋体" w:hAnsi="宋体"/>
          <w:szCs w:val="21"/>
        </w:rPr>
        <w:t>风险范围以外合同单价调整因素和方法：</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cs="Arial"/>
          <w:szCs w:val="21"/>
          <w:u w:val="single"/>
        </w:rPr>
        <w:t xml:space="preserve">                                                                          </w:t>
      </w:r>
    </w:p>
    <w:p>
      <w:pPr>
        <w:pStyle w:val="33"/>
        <w:spacing w:line="500" w:lineRule="exact"/>
        <w:ind w:left="0" w:firstLine="371" w:firstLineChars="177"/>
        <w:rPr>
          <w:rFonts w:ascii="宋体" w:hAnsi="宋体"/>
          <w:szCs w:val="21"/>
        </w:rPr>
      </w:pPr>
      <w:r>
        <w:rPr>
          <w:rFonts w:hint="eastAsia" w:ascii="宋体" w:hAnsi="宋体"/>
          <w:szCs w:val="21"/>
        </w:rPr>
        <w:t>（3）采用的其他合同价款形式及调整因素和方法：</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cs="Arial"/>
          <w:szCs w:val="21"/>
          <w:u w:val="single"/>
        </w:rPr>
        <w:t xml:space="preserve">                                                                          </w:t>
      </w:r>
    </w:p>
    <w:p>
      <w:pPr>
        <w:pStyle w:val="33"/>
        <w:spacing w:line="500" w:lineRule="exact"/>
        <w:ind w:left="0" w:firstLine="371" w:firstLineChars="177"/>
        <w:rPr>
          <w:rFonts w:ascii="宋体" w:hAnsi="宋体"/>
          <w:szCs w:val="21"/>
        </w:rPr>
      </w:pPr>
      <w:r>
        <w:rPr>
          <w:rFonts w:hint="eastAsia" w:ascii="宋体" w:hAnsi="宋体"/>
          <w:szCs w:val="21"/>
        </w:rPr>
        <w:t>7.1.3双方就合同价款调整确认期限的约定：</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7.2 定金或预付款</w:t>
      </w:r>
    </w:p>
    <w:p>
      <w:pPr>
        <w:pStyle w:val="33"/>
        <w:spacing w:line="500" w:lineRule="exact"/>
        <w:ind w:left="0" w:firstLine="426"/>
        <w:rPr>
          <w:rFonts w:ascii="宋体" w:hAnsi="宋体"/>
          <w:szCs w:val="21"/>
          <w:u w:val="single"/>
        </w:rPr>
      </w:pPr>
      <w:r>
        <w:rPr>
          <w:rFonts w:hint="eastAsia" w:ascii="宋体" w:hAnsi="宋体"/>
          <w:szCs w:val="21"/>
        </w:rPr>
        <w:t>7.2.1发包人向勘察人支付定金金额：</w:t>
      </w:r>
      <w:r>
        <w:rPr>
          <w:rFonts w:hint="eastAsia" w:ascii="宋体" w:hAnsi="宋体" w:cs="Arial"/>
          <w:szCs w:val="21"/>
          <w:u w:val="single"/>
        </w:rPr>
        <w:t xml:space="preserve">                   </w:t>
      </w:r>
      <w:r>
        <w:rPr>
          <w:rFonts w:hint="eastAsia" w:ascii="宋体" w:hAnsi="宋体"/>
          <w:szCs w:val="21"/>
        </w:rPr>
        <w:t>或预付款的金额：</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7.2.2定金或预付款在进度款中的抵扣办法：</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7.3 进度款支付</w:t>
      </w:r>
    </w:p>
    <w:p>
      <w:pPr>
        <w:pStyle w:val="33"/>
        <w:spacing w:line="500" w:lineRule="exact"/>
        <w:ind w:left="0" w:firstLine="371" w:firstLineChars="177"/>
        <w:rPr>
          <w:rFonts w:ascii="宋体" w:hAnsi="宋体"/>
          <w:szCs w:val="21"/>
        </w:rPr>
      </w:pPr>
      <w:r>
        <w:rPr>
          <w:rFonts w:hint="eastAsia" w:ascii="宋体" w:hAnsi="宋体"/>
          <w:szCs w:val="21"/>
        </w:rPr>
        <w:t>7.3.1双方约定的进度款支付方式、支付条件和支付时间：</w:t>
      </w:r>
      <w:r>
        <w:rPr>
          <w:rFonts w:hint="eastAsia" w:ascii="宋体" w:hAnsi="宋体" w:cs="Arial"/>
          <w:szCs w:val="21"/>
          <w:u w:val="single"/>
        </w:rPr>
        <w:t xml:space="preserve">                                                      </w:t>
      </w:r>
    </w:p>
    <w:p>
      <w:pPr>
        <w:pStyle w:val="33"/>
        <w:spacing w:line="500" w:lineRule="exact"/>
        <w:ind w:left="0" w:firstLine="426"/>
        <w:rPr>
          <w:rFonts w:ascii="宋体" w:hAnsi="宋体" w:cs="Arial"/>
          <w:szCs w:val="21"/>
          <w:u w:val="single"/>
        </w:rPr>
      </w:pP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7.4 合同价款结算</w:t>
      </w:r>
    </w:p>
    <w:p>
      <w:pPr>
        <w:pStyle w:val="33"/>
        <w:spacing w:line="500" w:lineRule="exact"/>
        <w:ind w:left="0" w:firstLine="426"/>
        <w:rPr>
          <w:rFonts w:ascii="宋体" w:hAnsi="宋体"/>
          <w:szCs w:val="21"/>
        </w:rPr>
      </w:pPr>
      <w:r>
        <w:rPr>
          <w:rFonts w:hint="eastAsia" w:ascii="宋体" w:hAnsi="宋体"/>
          <w:szCs w:val="21"/>
        </w:rPr>
        <w:t>最终合同价款支付的约定：</w:t>
      </w:r>
      <w:r>
        <w:rPr>
          <w:rFonts w:hint="eastAsia" w:ascii="宋体" w:hAnsi="宋体" w:cs="Arial"/>
          <w:szCs w:val="21"/>
          <w:u w:val="single"/>
        </w:rPr>
        <w:t xml:space="preserve">                                                  </w:t>
      </w:r>
    </w:p>
    <w:p>
      <w:pPr>
        <w:pStyle w:val="33"/>
        <w:spacing w:line="500" w:lineRule="exact"/>
        <w:rPr>
          <w:rFonts w:ascii="宋体" w:hAnsi="宋体"/>
          <w:b/>
          <w:bCs/>
          <w:szCs w:val="21"/>
        </w:rPr>
      </w:pPr>
      <w:r>
        <w:rPr>
          <w:rFonts w:hint="eastAsia" w:ascii="宋体" w:hAnsi="宋体"/>
          <w:b/>
          <w:bCs/>
          <w:szCs w:val="21"/>
        </w:rPr>
        <w:t>第8条 变更与调整</w:t>
      </w:r>
    </w:p>
    <w:p>
      <w:pPr>
        <w:pStyle w:val="33"/>
        <w:spacing w:line="500" w:lineRule="exact"/>
        <w:ind w:left="0" w:firstLine="426"/>
        <w:rPr>
          <w:rFonts w:ascii="宋体" w:hAnsi="宋体"/>
          <w:szCs w:val="21"/>
        </w:rPr>
      </w:pPr>
      <w:r>
        <w:rPr>
          <w:rFonts w:hint="eastAsia" w:ascii="宋体" w:hAnsi="宋体"/>
          <w:szCs w:val="21"/>
        </w:rPr>
        <w:t>8.1  变更范围与确认</w:t>
      </w:r>
    </w:p>
    <w:p>
      <w:pPr>
        <w:pStyle w:val="33"/>
        <w:spacing w:line="500" w:lineRule="exact"/>
        <w:ind w:left="0" w:firstLine="426"/>
        <w:rPr>
          <w:rFonts w:ascii="宋体" w:hAnsi="宋体"/>
          <w:szCs w:val="21"/>
        </w:rPr>
      </w:pPr>
      <w:r>
        <w:rPr>
          <w:rFonts w:hint="eastAsia" w:ascii="宋体" w:hAnsi="宋体"/>
          <w:szCs w:val="21"/>
        </w:rPr>
        <w:t>8.1.1 变更范围</w:t>
      </w:r>
    </w:p>
    <w:p>
      <w:pPr>
        <w:pStyle w:val="33"/>
        <w:spacing w:line="500" w:lineRule="exact"/>
        <w:ind w:left="0" w:firstLine="371" w:firstLineChars="177"/>
        <w:rPr>
          <w:rFonts w:ascii="宋体" w:hAnsi="宋体" w:cs="Arial"/>
          <w:szCs w:val="21"/>
          <w:u w:val="single"/>
        </w:rPr>
      </w:pPr>
      <w:r>
        <w:rPr>
          <w:rFonts w:hint="eastAsia" w:ascii="宋体" w:hAnsi="宋体"/>
          <w:szCs w:val="21"/>
        </w:rPr>
        <w:t>变更范围的其他约定：</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8.1.2 变更确认</w:t>
      </w:r>
    </w:p>
    <w:p>
      <w:pPr>
        <w:pStyle w:val="33"/>
        <w:spacing w:line="500" w:lineRule="exact"/>
        <w:ind w:left="0" w:firstLine="426"/>
        <w:rPr>
          <w:rFonts w:ascii="宋体" w:hAnsi="宋体"/>
          <w:szCs w:val="21"/>
        </w:rPr>
      </w:pPr>
      <w:r>
        <w:rPr>
          <w:rFonts w:hint="eastAsia" w:ascii="宋体" w:hAnsi="宋体"/>
          <w:szCs w:val="21"/>
        </w:rPr>
        <w:t>变更提出和确认期限的约定：</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8.2  变更合同价款确定</w:t>
      </w:r>
    </w:p>
    <w:p>
      <w:pPr>
        <w:pStyle w:val="33"/>
        <w:spacing w:line="500" w:lineRule="exact"/>
        <w:ind w:left="0" w:firstLine="426"/>
        <w:rPr>
          <w:rFonts w:ascii="宋体" w:hAnsi="宋体"/>
          <w:szCs w:val="21"/>
        </w:rPr>
      </w:pPr>
      <w:r>
        <w:rPr>
          <w:rFonts w:hint="eastAsia" w:ascii="宋体" w:hAnsi="宋体"/>
          <w:szCs w:val="21"/>
        </w:rPr>
        <w:t>8.2.2 提出变更合同价款报告期限的约定：</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8.2.3 确认变更合同价款报告时限的约定：</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rPr>
          <w:rFonts w:ascii="宋体" w:hAnsi="宋体"/>
          <w:b/>
          <w:bCs/>
          <w:szCs w:val="21"/>
        </w:rPr>
      </w:pPr>
      <w:r>
        <w:rPr>
          <w:rFonts w:hint="eastAsia" w:ascii="宋体" w:hAnsi="宋体"/>
          <w:b/>
          <w:bCs/>
          <w:szCs w:val="21"/>
        </w:rPr>
        <w:t>第9条 知识产权</w:t>
      </w:r>
    </w:p>
    <w:p>
      <w:pPr>
        <w:pStyle w:val="33"/>
        <w:spacing w:line="500" w:lineRule="exact"/>
        <w:ind w:left="0" w:firstLine="371" w:firstLineChars="177"/>
        <w:rPr>
          <w:rFonts w:ascii="宋体" w:hAnsi="宋体"/>
          <w:szCs w:val="21"/>
        </w:rPr>
      </w:pPr>
      <w:r>
        <w:rPr>
          <w:rFonts w:hint="eastAsia" w:ascii="宋体" w:hAnsi="宋体"/>
          <w:szCs w:val="21"/>
        </w:rPr>
        <w:t>9.1关于发包人提供给勘察人的图纸、发包人为实施工程自行编制或委托编制的反映发包人要求或其他类似性质的文件的著作权的归属：</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rPr>
          <w:rFonts w:ascii="宋体" w:hAnsi="宋体"/>
          <w:szCs w:val="21"/>
        </w:rPr>
      </w:pPr>
      <w:r>
        <w:rPr>
          <w:rFonts w:hint="eastAsia" w:ascii="宋体" w:hAnsi="宋体"/>
          <w:szCs w:val="21"/>
        </w:rPr>
        <w:t>关于发包人提供的上述文件的使用限制的要求：</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ind w:left="0" w:firstLine="371" w:firstLineChars="177"/>
        <w:rPr>
          <w:rFonts w:ascii="宋体" w:hAnsi="宋体"/>
          <w:szCs w:val="21"/>
        </w:rPr>
      </w:pPr>
      <w:r>
        <w:rPr>
          <w:rFonts w:hint="eastAsia" w:ascii="宋体" w:hAnsi="宋体"/>
          <w:szCs w:val="21"/>
        </w:rPr>
        <w:t>9.2关于勘察人为实施工程所编制文件的著作权的归属：</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ind w:left="0" w:firstLine="371" w:firstLineChars="177"/>
        <w:rPr>
          <w:rFonts w:ascii="宋体" w:hAnsi="宋体"/>
          <w:szCs w:val="21"/>
        </w:rPr>
      </w:pPr>
      <w:r>
        <w:rPr>
          <w:rFonts w:hint="eastAsia" w:ascii="宋体" w:hAnsi="宋体"/>
          <w:szCs w:val="21"/>
        </w:rPr>
        <w:t>关于勘察人提供的上述文件的使用限制的要求：</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cs="Arial"/>
          <w:szCs w:val="21"/>
          <w:u w:val="single"/>
        </w:rPr>
        <w:t xml:space="preserve">                                                                          </w:t>
      </w:r>
    </w:p>
    <w:p>
      <w:pPr>
        <w:pStyle w:val="33"/>
        <w:spacing w:line="500" w:lineRule="exact"/>
        <w:ind w:left="0" w:firstLine="371" w:firstLineChars="177"/>
        <w:rPr>
          <w:rFonts w:ascii="宋体" w:hAnsi="宋体"/>
          <w:szCs w:val="21"/>
        </w:rPr>
      </w:pPr>
      <w:r>
        <w:rPr>
          <w:rFonts w:hint="eastAsia" w:ascii="宋体" w:hAnsi="宋体"/>
          <w:szCs w:val="21"/>
        </w:rPr>
        <w:t>9.5  勘察人在工作过程中所采用的专利、专有技术、技术秘密的使用费的承担方式：</w:t>
      </w:r>
      <w:r>
        <w:rPr>
          <w:rFonts w:hint="eastAsia" w:ascii="宋体" w:hAnsi="宋体" w:cs="Arial"/>
          <w:szCs w:val="21"/>
          <w:u w:val="single"/>
        </w:rPr>
        <w:t xml:space="preserve">                                                      </w:t>
      </w:r>
    </w:p>
    <w:p>
      <w:pPr>
        <w:pStyle w:val="33"/>
        <w:spacing w:line="500" w:lineRule="exact"/>
        <w:ind w:left="0" w:firstLine="426"/>
        <w:rPr>
          <w:rFonts w:ascii="宋体" w:hAnsi="宋体" w:cs="Arial"/>
          <w:szCs w:val="21"/>
          <w:u w:val="single"/>
        </w:rPr>
      </w:pPr>
      <w:r>
        <w:rPr>
          <w:rFonts w:hint="eastAsia" w:ascii="宋体" w:hAnsi="宋体" w:cs="Arial"/>
          <w:szCs w:val="21"/>
          <w:u w:val="single"/>
        </w:rPr>
        <w:t xml:space="preserve">                                                                           </w:t>
      </w:r>
    </w:p>
    <w:p>
      <w:pPr>
        <w:pStyle w:val="33"/>
        <w:spacing w:line="500" w:lineRule="exact"/>
        <w:rPr>
          <w:rFonts w:ascii="宋体" w:hAnsi="宋体"/>
          <w:b/>
          <w:bCs/>
          <w:szCs w:val="21"/>
        </w:rPr>
      </w:pPr>
      <w:r>
        <w:rPr>
          <w:rFonts w:hint="eastAsia" w:ascii="宋体" w:hAnsi="宋体"/>
          <w:b/>
          <w:bCs/>
          <w:szCs w:val="21"/>
        </w:rPr>
        <w:t>第10条 不可抗力</w:t>
      </w:r>
    </w:p>
    <w:p>
      <w:pPr>
        <w:pStyle w:val="33"/>
        <w:spacing w:line="500" w:lineRule="exact"/>
        <w:ind w:left="0" w:firstLine="371" w:firstLineChars="177"/>
        <w:rPr>
          <w:rFonts w:ascii="宋体" w:hAnsi="宋体"/>
          <w:szCs w:val="21"/>
        </w:rPr>
      </w:pPr>
      <w:r>
        <w:rPr>
          <w:rFonts w:hint="eastAsia" w:ascii="宋体" w:hAnsi="宋体"/>
          <w:szCs w:val="21"/>
        </w:rPr>
        <w:t>10.1 不可抗力的确认</w:t>
      </w:r>
    </w:p>
    <w:p>
      <w:pPr>
        <w:pStyle w:val="33"/>
        <w:spacing w:line="500" w:lineRule="exact"/>
        <w:ind w:left="0" w:firstLine="371" w:firstLineChars="177"/>
        <w:rPr>
          <w:rFonts w:ascii="宋体" w:hAnsi="宋体"/>
          <w:szCs w:val="21"/>
        </w:rPr>
      </w:pPr>
      <w:r>
        <w:rPr>
          <w:rFonts w:hint="eastAsia" w:ascii="宋体" w:hAnsi="宋体"/>
          <w:szCs w:val="21"/>
        </w:rPr>
        <w:t>10.1.1 双方关于不可抗力的其他约定（如政府临时禁令）：</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cs="Arial"/>
          <w:szCs w:val="21"/>
          <w:u w:val="single"/>
        </w:rPr>
        <w:t xml:space="preserve">                                                                          </w:t>
      </w:r>
    </w:p>
    <w:p>
      <w:pPr>
        <w:pStyle w:val="33"/>
        <w:spacing w:line="500" w:lineRule="exact"/>
        <w:ind w:left="0" w:firstLine="371" w:firstLineChars="177"/>
        <w:rPr>
          <w:rFonts w:ascii="宋体" w:hAnsi="宋体"/>
          <w:szCs w:val="21"/>
        </w:rPr>
      </w:pPr>
      <w:r>
        <w:rPr>
          <w:rFonts w:hint="eastAsia" w:ascii="宋体" w:hAnsi="宋体"/>
          <w:szCs w:val="21"/>
        </w:rPr>
        <w:t>10.2 不可抗力的通知</w:t>
      </w:r>
    </w:p>
    <w:p>
      <w:pPr>
        <w:pStyle w:val="33"/>
        <w:spacing w:line="500" w:lineRule="exact"/>
        <w:ind w:left="0" w:firstLine="371" w:firstLineChars="177"/>
        <w:rPr>
          <w:rFonts w:ascii="宋体" w:hAnsi="宋体"/>
          <w:szCs w:val="21"/>
        </w:rPr>
      </w:pPr>
      <w:r>
        <w:rPr>
          <w:rFonts w:hint="eastAsia" w:ascii="宋体" w:hAnsi="宋体"/>
          <w:szCs w:val="21"/>
        </w:rPr>
        <w:t>10.2.1 不可抗力持续发生，勘察人报告受害损失期限的约定：</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cs="Arial"/>
          <w:szCs w:val="21"/>
          <w:u w:val="single"/>
        </w:rPr>
        <w:t xml:space="preserve">                                                                          </w:t>
      </w:r>
    </w:p>
    <w:p>
      <w:pPr>
        <w:pStyle w:val="33"/>
        <w:spacing w:line="500" w:lineRule="exact"/>
        <w:ind w:left="0" w:firstLine="371" w:firstLineChars="177"/>
        <w:rPr>
          <w:rFonts w:ascii="宋体" w:hAnsi="宋体"/>
          <w:szCs w:val="21"/>
        </w:rPr>
      </w:pPr>
      <w:r>
        <w:rPr>
          <w:rFonts w:hint="eastAsia" w:ascii="宋体" w:hAnsi="宋体"/>
          <w:szCs w:val="21"/>
        </w:rPr>
        <w:t>10.2.2 勘察人向发包人通报受害损失情况及费用期限的约定：</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cs="Arial"/>
          <w:szCs w:val="21"/>
          <w:u w:val="single"/>
        </w:rPr>
        <w:t xml:space="preserve">                                                                          </w:t>
      </w:r>
    </w:p>
    <w:p>
      <w:pPr>
        <w:pStyle w:val="33"/>
        <w:spacing w:line="500" w:lineRule="exact"/>
        <w:rPr>
          <w:rFonts w:ascii="宋体" w:hAnsi="宋体"/>
          <w:b/>
          <w:bCs/>
          <w:szCs w:val="21"/>
        </w:rPr>
      </w:pPr>
      <w:r>
        <w:rPr>
          <w:rFonts w:hint="eastAsia" w:ascii="宋体" w:hAnsi="宋体"/>
          <w:b/>
          <w:bCs/>
          <w:szCs w:val="21"/>
        </w:rPr>
        <w:t>第13条 责任与保险</w:t>
      </w:r>
    </w:p>
    <w:p>
      <w:pPr>
        <w:pStyle w:val="33"/>
        <w:spacing w:line="500" w:lineRule="exact"/>
        <w:ind w:left="0" w:firstLine="371" w:firstLineChars="177"/>
        <w:rPr>
          <w:rFonts w:ascii="宋体" w:hAnsi="宋体"/>
          <w:szCs w:val="21"/>
        </w:rPr>
      </w:pPr>
      <w:r>
        <w:rPr>
          <w:rFonts w:hint="eastAsia" w:ascii="宋体" w:hAnsi="宋体"/>
          <w:szCs w:val="21"/>
        </w:rPr>
        <w:t>13.2 工程勘察责任保险的约定：</w:t>
      </w:r>
      <w:r>
        <w:rPr>
          <w:rFonts w:hint="eastAsia" w:ascii="宋体" w:hAnsi="宋体" w:cs="Arial"/>
          <w:szCs w:val="21"/>
          <w:u w:val="single"/>
        </w:rPr>
        <w:t xml:space="preserve">                                             </w:t>
      </w:r>
    </w:p>
    <w:p>
      <w:pPr>
        <w:pStyle w:val="33"/>
        <w:spacing w:line="500" w:lineRule="exact"/>
        <w:rPr>
          <w:rFonts w:ascii="宋体" w:hAnsi="宋体"/>
          <w:b/>
          <w:bCs/>
          <w:szCs w:val="21"/>
        </w:rPr>
      </w:pPr>
      <w:r>
        <w:rPr>
          <w:rFonts w:hint="eastAsia" w:ascii="宋体" w:hAnsi="宋体"/>
          <w:b/>
          <w:bCs/>
          <w:szCs w:val="21"/>
        </w:rPr>
        <w:t>第14条 违约</w:t>
      </w:r>
    </w:p>
    <w:p>
      <w:pPr>
        <w:pStyle w:val="33"/>
        <w:spacing w:line="500" w:lineRule="exact"/>
        <w:ind w:left="0" w:firstLine="371" w:firstLineChars="177"/>
        <w:rPr>
          <w:rFonts w:ascii="宋体" w:hAnsi="宋体"/>
          <w:szCs w:val="21"/>
        </w:rPr>
      </w:pPr>
      <w:r>
        <w:rPr>
          <w:rFonts w:hint="eastAsia" w:ascii="宋体" w:hAnsi="宋体"/>
          <w:szCs w:val="21"/>
        </w:rPr>
        <w:t>14.1 发包人违约</w:t>
      </w:r>
    </w:p>
    <w:p>
      <w:pPr>
        <w:pStyle w:val="33"/>
        <w:spacing w:line="500" w:lineRule="exact"/>
        <w:ind w:left="0" w:firstLine="426"/>
        <w:rPr>
          <w:rFonts w:ascii="宋体" w:hAnsi="宋体"/>
          <w:szCs w:val="21"/>
        </w:rPr>
      </w:pPr>
      <w:r>
        <w:rPr>
          <w:rFonts w:hint="eastAsia" w:ascii="宋体" w:hAnsi="宋体"/>
          <w:szCs w:val="21"/>
        </w:rPr>
        <w:t>14.1.2 发包人违约责任</w:t>
      </w:r>
    </w:p>
    <w:p>
      <w:pPr>
        <w:pStyle w:val="33"/>
        <w:spacing w:line="500" w:lineRule="exact"/>
        <w:ind w:left="0" w:firstLine="426"/>
        <w:rPr>
          <w:rFonts w:ascii="宋体" w:hAnsi="宋体"/>
          <w:szCs w:val="21"/>
        </w:rPr>
      </w:pPr>
      <w:r>
        <w:rPr>
          <w:rFonts w:hint="eastAsia" w:ascii="宋体" w:hAnsi="宋体"/>
          <w:szCs w:val="21"/>
        </w:rPr>
        <w:t>（1）发包人支付勘察人的违约金：</w:t>
      </w:r>
      <w:r>
        <w:rPr>
          <w:rFonts w:hint="eastAsia" w:ascii="宋体" w:hAnsi="宋体" w:cs="Arial"/>
          <w:szCs w:val="21"/>
          <w:u w:val="single"/>
        </w:rPr>
        <w:t xml:space="preserve">                                             </w:t>
      </w:r>
    </w:p>
    <w:p>
      <w:pPr>
        <w:pStyle w:val="33"/>
        <w:spacing w:line="500" w:lineRule="exact"/>
        <w:ind w:left="0" w:firstLine="371" w:firstLineChars="177"/>
        <w:rPr>
          <w:rFonts w:ascii="宋体" w:hAnsi="宋体"/>
          <w:szCs w:val="21"/>
        </w:rPr>
      </w:pPr>
      <w:r>
        <w:rPr>
          <w:rFonts w:hint="eastAsia" w:ascii="宋体" w:hAnsi="宋体"/>
          <w:szCs w:val="21"/>
        </w:rPr>
        <w:t>（2）发包人发生其他违约情形应承担的违约责任：</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cs="Arial"/>
          <w:szCs w:val="21"/>
          <w:u w:val="single"/>
        </w:rPr>
        <w:t xml:space="preserve">                                                                          </w:t>
      </w:r>
    </w:p>
    <w:p>
      <w:pPr>
        <w:pStyle w:val="33"/>
        <w:spacing w:line="500" w:lineRule="exact"/>
        <w:ind w:left="0" w:firstLine="371" w:firstLineChars="177"/>
        <w:rPr>
          <w:rFonts w:ascii="宋体" w:hAnsi="宋体"/>
          <w:szCs w:val="21"/>
        </w:rPr>
      </w:pPr>
      <w:r>
        <w:rPr>
          <w:rFonts w:hint="eastAsia" w:ascii="宋体" w:hAnsi="宋体"/>
          <w:szCs w:val="21"/>
        </w:rPr>
        <w:t>14.2 勘察人违约</w:t>
      </w:r>
    </w:p>
    <w:p>
      <w:pPr>
        <w:pStyle w:val="33"/>
        <w:spacing w:line="500" w:lineRule="exact"/>
        <w:ind w:left="0" w:firstLine="426"/>
        <w:rPr>
          <w:rFonts w:ascii="宋体" w:hAnsi="宋体"/>
          <w:szCs w:val="21"/>
        </w:rPr>
      </w:pPr>
      <w:r>
        <w:rPr>
          <w:rFonts w:hint="eastAsia" w:ascii="宋体" w:hAnsi="宋体"/>
          <w:szCs w:val="21"/>
        </w:rPr>
        <w:t>14.2.2勘察人违约责任</w:t>
      </w:r>
    </w:p>
    <w:p>
      <w:pPr>
        <w:pStyle w:val="33"/>
        <w:spacing w:line="500" w:lineRule="exact"/>
        <w:ind w:left="0" w:firstLine="426"/>
        <w:rPr>
          <w:rFonts w:ascii="宋体" w:hAnsi="宋体"/>
          <w:szCs w:val="21"/>
        </w:rPr>
      </w:pPr>
      <w:r>
        <w:rPr>
          <w:rFonts w:hint="eastAsia" w:ascii="宋体" w:hAnsi="宋体"/>
          <w:szCs w:val="21"/>
        </w:rPr>
        <w:t>（1）勘察人支付发包人的违约金：</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（2）勘察人造成工期延误应承担的违约责任：</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（3）因勘察人原因导致工程质量安全事故或其他事故时的赔偿金上限：</w:t>
      </w:r>
      <w:r>
        <w:rPr>
          <w:rFonts w:hint="eastAsia" w:ascii="宋体" w:hAnsi="宋体" w:cs="Arial"/>
          <w:szCs w:val="21"/>
          <w:u w:val="single"/>
        </w:rPr>
        <w:t xml:space="preserve">                                                                           </w:t>
      </w:r>
    </w:p>
    <w:p>
      <w:pPr>
        <w:pStyle w:val="33"/>
        <w:spacing w:line="500" w:lineRule="exact"/>
        <w:ind w:left="0" w:firstLine="426"/>
        <w:rPr>
          <w:rFonts w:ascii="宋体" w:hAnsi="宋体"/>
          <w:szCs w:val="21"/>
        </w:rPr>
      </w:pPr>
      <w:r>
        <w:rPr>
          <w:rFonts w:hint="eastAsia" w:ascii="宋体" w:hAnsi="宋体"/>
          <w:szCs w:val="21"/>
        </w:rPr>
        <w:t>（4）勘察人发生其他违约情形应承担的违约责任：</w:t>
      </w:r>
      <w:r>
        <w:rPr>
          <w:rFonts w:hint="eastAsia" w:ascii="宋体" w:hAnsi="宋体" w:cs="Arial"/>
          <w:szCs w:val="21"/>
          <w:u w:val="single"/>
        </w:rPr>
        <w:t xml:space="preserve">                             </w:t>
      </w:r>
    </w:p>
    <w:p>
      <w:pPr>
        <w:pStyle w:val="33"/>
        <w:spacing w:line="500" w:lineRule="exact"/>
        <w:rPr>
          <w:rFonts w:ascii="宋体" w:hAnsi="宋体"/>
          <w:b/>
          <w:bCs/>
          <w:szCs w:val="21"/>
        </w:rPr>
      </w:pPr>
      <w:r>
        <w:rPr>
          <w:rFonts w:hint="eastAsia" w:ascii="宋体" w:hAnsi="宋体"/>
          <w:b/>
          <w:bCs/>
          <w:szCs w:val="21"/>
        </w:rPr>
        <w:t>第15条 索赔</w:t>
      </w:r>
    </w:p>
    <w:p>
      <w:pPr>
        <w:pStyle w:val="33"/>
        <w:spacing w:line="500" w:lineRule="exact"/>
        <w:ind w:left="0" w:firstLine="371" w:firstLineChars="177"/>
        <w:rPr>
          <w:rFonts w:ascii="宋体" w:hAnsi="宋体"/>
          <w:szCs w:val="21"/>
        </w:rPr>
      </w:pPr>
      <w:r>
        <w:rPr>
          <w:rFonts w:hint="eastAsia" w:ascii="宋体" w:hAnsi="宋体"/>
          <w:szCs w:val="21"/>
        </w:rPr>
        <w:t>15.1 发包人索赔</w:t>
      </w:r>
    </w:p>
    <w:p>
      <w:pPr>
        <w:pStyle w:val="33"/>
        <w:spacing w:line="500" w:lineRule="exact"/>
        <w:ind w:left="0" w:firstLine="426"/>
        <w:rPr>
          <w:rFonts w:ascii="宋体" w:hAnsi="宋体"/>
          <w:szCs w:val="21"/>
        </w:rPr>
      </w:pPr>
      <w:r>
        <w:rPr>
          <w:rFonts w:hint="eastAsia" w:ascii="宋体" w:hAnsi="宋体"/>
          <w:szCs w:val="21"/>
        </w:rPr>
        <w:t>索赔程序和期限的约定：</w:t>
      </w:r>
      <w:r>
        <w:rPr>
          <w:rFonts w:hint="eastAsia" w:ascii="宋体" w:hAnsi="宋体"/>
          <w:szCs w:val="21"/>
          <w:u w:val="single"/>
        </w:rPr>
        <w:t xml:space="preserve">                                                    </w:t>
      </w:r>
    </w:p>
    <w:p>
      <w:pPr>
        <w:pStyle w:val="33"/>
        <w:spacing w:line="500" w:lineRule="exact"/>
        <w:ind w:left="0" w:firstLine="371" w:firstLineChars="177"/>
        <w:rPr>
          <w:rFonts w:ascii="宋体" w:hAnsi="宋体"/>
          <w:szCs w:val="21"/>
        </w:rPr>
      </w:pPr>
      <w:r>
        <w:rPr>
          <w:rFonts w:hint="eastAsia" w:ascii="宋体" w:hAnsi="宋体"/>
          <w:szCs w:val="21"/>
        </w:rPr>
        <w:t>15.2 勘察人索赔</w:t>
      </w:r>
    </w:p>
    <w:p>
      <w:pPr>
        <w:pStyle w:val="33"/>
        <w:spacing w:line="500" w:lineRule="exact"/>
        <w:ind w:left="0" w:firstLine="426"/>
        <w:rPr>
          <w:rFonts w:ascii="宋体" w:hAnsi="宋体"/>
          <w:szCs w:val="21"/>
        </w:rPr>
      </w:pPr>
      <w:r>
        <w:rPr>
          <w:rFonts w:hint="eastAsia" w:ascii="宋体" w:hAnsi="宋体"/>
          <w:szCs w:val="21"/>
        </w:rPr>
        <w:t>索赔程序和期限的约定：</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pStyle w:val="33"/>
        <w:spacing w:line="500" w:lineRule="exact"/>
        <w:rPr>
          <w:rFonts w:ascii="宋体" w:hAnsi="宋体"/>
          <w:b/>
          <w:bCs/>
          <w:szCs w:val="21"/>
        </w:rPr>
      </w:pPr>
      <w:r>
        <w:rPr>
          <w:rFonts w:hint="eastAsia" w:ascii="宋体" w:hAnsi="宋体"/>
          <w:b/>
          <w:bCs/>
          <w:szCs w:val="21"/>
        </w:rPr>
        <w:t>第16条 争议解决</w:t>
      </w:r>
    </w:p>
    <w:p>
      <w:pPr>
        <w:pStyle w:val="33"/>
        <w:spacing w:line="500" w:lineRule="exact"/>
        <w:ind w:left="0" w:firstLine="371" w:firstLineChars="177"/>
        <w:rPr>
          <w:rFonts w:ascii="宋体" w:hAnsi="宋体"/>
          <w:szCs w:val="21"/>
        </w:rPr>
      </w:pPr>
      <w:r>
        <w:rPr>
          <w:rFonts w:hint="eastAsia" w:ascii="宋体" w:hAnsi="宋体"/>
          <w:szCs w:val="21"/>
        </w:rPr>
        <w:t>16.3 仲裁或诉讼</w:t>
      </w:r>
    </w:p>
    <w:p>
      <w:pPr>
        <w:pStyle w:val="33"/>
        <w:spacing w:line="500" w:lineRule="exact"/>
        <w:ind w:left="0" w:firstLine="371" w:firstLineChars="177"/>
        <w:rPr>
          <w:rFonts w:ascii="宋体" w:hAnsi="宋体"/>
          <w:szCs w:val="21"/>
        </w:rPr>
      </w:pPr>
      <w:r>
        <w:rPr>
          <w:rFonts w:hint="eastAsia" w:ascii="宋体" w:hAnsi="宋体"/>
          <w:szCs w:val="21"/>
        </w:rPr>
        <w:t>双方约定在履行合同过程中产生争议时，采取下列第</w:t>
      </w:r>
      <w:r>
        <w:rPr>
          <w:rFonts w:hint="eastAsia" w:ascii="宋体" w:hAnsi="宋体"/>
          <w:szCs w:val="21"/>
          <w:u w:val="single"/>
        </w:rPr>
        <w:t xml:space="preserve">          </w:t>
      </w:r>
      <w:r>
        <w:rPr>
          <w:rFonts w:hint="eastAsia" w:ascii="宋体" w:hAnsi="宋体"/>
          <w:szCs w:val="21"/>
        </w:rPr>
        <w:t>种方式解决：</w:t>
      </w:r>
    </w:p>
    <w:p>
      <w:pPr>
        <w:pStyle w:val="33"/>
        <w:spacing w:line="500" w:lineRule="exact"/>
        <w:ind w:left="0" w:firstLine="371" w:firstLineChars="177"/>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仲裁委员会提请仲裁；</w:t>
      </w:r>
    </w:p>
    <w:p>
      <w:pPr>
        <w:pStyle w:val="33"/>
        <w:spacing w:line="500" w:lineRule="exact"/>
        <w:ind w:left="0" w:firstLine="371" w:firstLineChars="177"/>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人民法院提起诉讼。</w:t>
      </w:r>
    </w:p>
    <w:p>
      <w:pPr>
        <w:pStyle w:val="33"/>
        <w:spacing w:line="500" w:lineRule="exact"/>
        <w:rPr>
          <w:rFonts w:ascii="宋体" w:hAnsi="宋体"/>
          <w:b/>
          <w:bCs/>
          <w:szCs w:val="21"/>
        </w:rPr>
      </w:pPr>
      <w:r>
        <w:rPr>
          <w:rFonts w:hint="eastAsia" w:ascii="宋体" w:hAnsi="宋体"/>
          <w:b/>
          <w:bCs/>
          <w:szCs w:val="21"/>
        </w:rPr>
        <w:t>第17条 补充条款</w:t>
      </w:r>
    </w:p>
    <w:p>
      <w:pPr>
        <w:autoSpaceDE w:val="0"/>
        <w:autoSpaceDN w:val="0"/>
        <w:adjustRightInd w:val="0"/>
        <w:snapToGrid w:val="0"/>
        <w:spacing w:line="420" w:lineRule="exact"/>
        <w:ind w:firstLine="420" w:firstLineChars="200"/>
        <w:rPr>
          <w:rFonts w:ascii="宋体" w:hAnsi="宋体" w:cs="宋体"/>
          <w:szCs w:val="21"/>
          <w:u w:val="single"/>
        </w:rPr>
      </w:pPr>
      <w:r>
        <w:rPr>
          <w:rFonts w:hint="eastAsia" w:ascii="宋体" w:hAnsi="宋体"/>
          <w:szCs w:val="21"/>
        </w:rPr>
        <w:t xml:space="preserve">17.1 </w:t>
      </w:r>
      <w:r>
        <w:rPr>
          <w:rFonts w:hint="eastAsia" w:cs="宋体"/>
          <w:szCs w:val="21"/>
        </w:rPr>
        <w:t>其他</w:t>
      </w:r>
      <w:r>
        <w:rPr>
          <w:rFonts w:hint="eastAsia" w:ascii="宋体" w:hAnsi="宋体" w:cs="宋体"/>
          <w:szCs w:val="21"/>
        </w:rPr>
        <w:t>补充约定：</w:t>
      </w:r>
      <w:r>
        <w:rPr>
          <w:rFonts w:hint="eastAsia" w:ascii="宋体" w:hAnsi="宋体" w:cs="宋体"/>
          <w:szCs w:val="21"/>
          <w:u w:val="single"/>
        </w:rPr>
        <w:t xml:space="preserve">                                                       </w:t>
      </w:r>
      <w:r>
        <w:rPr>
          <w:rFonts w:ascii="宋体" w:hAnsi="宋体" w:cs="宋体"/>
          <w:szCs w:val="21"/>
          <w:u w:val="single"/>
        </w:rPr>
        <w:t xml:space="preserve"> </w:t>
      </w:r>
    </w:p>
    <w:p>
      <w:pPr>
        <w:pStyle w:val="37"/>
        <w:spacing w:line="500" w:lineRule="exact"/>
        <w:ind w:firstLine="420" w:firstLineChars="200"/>
        <w:rPr>
          <w:rFonts w:ascii="宋体" w:hAnsi="宋体"/>
        </w:rPr>
      </w:pPr>
      <w:r>
        <w:rPr>
          <w:rFonts w:hint="eastAsia" w:ascii="宋体" w:hAnsi="宋体"/>
        </w:rPr>
        <w:t>17.2 本合同一式</w:t>
      </w:r>
      <w:r>
        <w:rPr>
          <w:rFonts w:hint="eastAsia" w:ascii="宋体" w:hAnsi="宋体"/>
          <w:u w:val="single"/>
        </w:rPr>
        <w:t xml:space="preserve">    </w:t>
      </w:r>
      <w:r>
        <w:rPr>
          <w:rFonts w:hint="eastAsia" w:ascii="宋体" w:hAnsi="宋体"/>
        </w:rPr>
        <w:t>份，其中正本</w:t>
      </w:r>
      <w:r>
        <w:rPr>
          <w:rFonts w:hint="eastAsia" w:ascii="宋体" w:hAnsi="宋体"/>
          <w:u w:val="single"/>
        </w:rPr>
        <w:t xml:space="preserve">    </w:t>
      </w:r>
      <w:r>
        <w:rPr>
          <w:rFonts w:hint="eastAsia" w:ascii="宋体" w:hAnsi="宋体"/>
        </w:rPr>
        <w:t>份，副本</w:t>
      </w:r>
      <w:r>
        <w:rPr>
          <w:rFonts w:hint="eastAsia" w:ascii="宋体" w:hAnsi="宋体"/>
          <w:u w:val="single"/>
        </w:rPr>
        <w:t xml:space="preserve">    </w:t>
      </w:r>
      <w:r>
        <w:rPr>
          <w:rFonts w:hint="eastAsia" w:ascii="宋体" w:hAnsi="宋体"/>
        </w:rPr>
        <w:t>份，具有同等法律效力。甲乙双方各执正本</w:t>
      </w:r>
      <w:r>
        <w:rPr>
          <w:rFonts w:hint="eastAsia" w:ascii="宋体" w:hAnsi="宋体"/>
          <w:u w:val="single"/>
        </w:rPr>
        <w:t xml:space="preserve">   </w:t>
      </w:r>
      <w:r>
        <w:rPr>
          <w:rFonts w:hint="eastAsia" w:ascii="宋体" w:hAnsi="宋体"/>
        </w:rPr>
        <w:t>份，甲方执副本</w:t>
      </w:r>
      <w:r>
        <w:rPr>
          <w:rFonts w:hint="eastAsia" w:ascii="宋体" w:hAnsi="宋体"/>
          <w:u w:val="single"/>
        </w:rPr>
        <w:t xml:space="preserve">   </w:t>
      </w:r>
      <w:r>
        <w:rPr>
          <w:rFonts w:hint="eastAsia" w:ascii="宋体" w:hAnsi="宋体"/>
        </w:rPr>
        <w:t>份，乙方执副本</w:t>
      </w:r>
      <w:r>
        <w:rPr>
          <w:rFonts w:hint="eastAsia" w:ascii="宋体" w:hAnsi="宋体"/>
          <w:u w:val="single"/>
        </w:rPr>
        <w:t xml:space="preserve">   </w:t>
      </w:r>
      <w:r>
        <w:rPr>
          <w:rFonts w:hint="eastAsia" w:ascii="宋体" w:hAnsi="宋体"/>
        </w:rPr>
        <w:t>份。</w:t>
      </w:r>
    </w:p>
    <w:p>
      <w:pPr>
        <w:pStyle w:val="37"/>
        <w:spacing w:line="500" w:lineRule="exact"/>
        <w:ind w:firstLine="420" w:firstLineChars="200"/>
        <w:rPr>
          <w:rFonts w:ascii="宋体" w:hAnsi="宋体"/>
        </w:rPr>
      </w:pPr>
    </w:p>
    <w:p>
      <w:pPr>
        <w:snapToGrid w:val="0"/>
        <w:spacing w:line="440" w:lineRule="exact"/>
        <w:jc w:val="left"/>
        <w:rPr>
          <w:rFonts w:ascii="宋体" w:hAnsi="宋体" w:cs="Arial"/>
          <w:szCs w:val="21"/>
        </w:rPr>
      </w:pPr>
      <w:r>
        <w:rPr>
          <w:rFonts w:hint="eastAsia" w:ascii="宋体" w:hAnsi="宋体" w:cs="Arial"/>
          <w:szCs w:val="21"/>
        </w:rPr>
        <w:t>甲方：</w:t>
      </w:r>
      <w:r>
        <w:rPr>
          <w:rFonts w:hint="eastAsia" w:ascii="宋体" w:hAnsi="宋体" w:cs="Arial"/>
          <w:szCs w:val="21"/>
          <w:u w:val="single"/>
        </w:rPr>
        <w:t xml:space="preserve">                          </w:t>
      </w:r>
      <w:r>
        <w:rPr>
          <w:rFonts w:hint="eastAsia" w:ascii="宋体" w:hAnsi="宋体" w:cs="Arial"/>
          <w:szCs w:val="21"/>
        </w:rPr>
        <w:t xml:space="preserve"> （盖章）</w:t>
      </w:r>
    </w:p>
    <w:p>
      <w:pPr>
        <w:snapToGrid w:val="0"/>
        <w:spacing w:line="440" w:lineRule="exact"/>
        <w:jc w:val="left"/>
        <w:rPr>
          <w:rFonts w:ascii="宋体" w:hAnsi="宋体" w:cs="Arial"/>
          <w:szCs w:val="21"/>
          <w:u w:val="single"/>
        </w:rPr>
      </w:pPr>
      <w:r>
        <w:rPr>
          <w:rFonts w:hint="eastAsia" w:ascii="宋体" w:hAnsi="宋体" w:cs="Arial"/>
          <w:szCs w:val="21"/>
        </w:rPr>
        <w:t>住所地：</w:t>
      </w:r>
      <w:r>
        <w:rPr>
          <w:rFonts w:hint="eastAsia" w:ascii="宋体" w:hAnsi="宋体" w:cs="Arial"/>
          <w:szCs w:val="21"/>
          <w:u w:val="single"/>
        </w:rPr>
        <w:t xml:space="preserve">                              </w:t>
      </w:r>
    </w:p>
    <w:p>
      <w:pPr>
        <w:snapToGrid w:val="0"/>
        <w:spacing w:line="440" w:lineRule="exact"/>
        <w:jc w:val="left"/>
        <w:rPr>
          <w:rFonts w:ascii="宋体" w:hAnsi="宋体" w:cs="Arial"/>
          <w:szCs w:val="21"/>
          <w:u w:val="single"/>
        </w:rPr>
      </w:pPr>
      <w:r>
        <w:rPr>
          <w:rFonts w:hint="eastAsia" w:ascii="宋体" w:hAnsi="宋体" w:cs="Arial"/>
          <w:szCs w:val="21"/>
        </w:rPr>
        <w:t>电    话：</w:t>
      </w:r>
      <w:r>
        <w:rPr>
          <w:rFonts w:hint="eastAsia" w:ascii="宋体" w:hAnsi="宋体" w:cs="Arial"/>
          <w:szCs w:val="21"/>
          <w:u w:val="single"/>
        </w:rPr>
        <w:t xml:space="preserve">                   </w:t>
      </w:r>
      <w:r>
        <w:rPr>
          <w:rFonts w:hint="eastAsia" w:ascii="宋体" w:hAnsi="宋体" w:cs="Arial"/>
          <w:szCs w:val="21"/>
        </w:rPr>
        <w:t xml:space="preserve"> 传    真：</w:t>
      </w:r>
      <w:r>
        <w:rPr>
          <w:rFonts w:hint="eastAsia" w:ascii="宋体" w:hAnsi="宋体" w:cs="Arial"/>
          <w:szCs w:val="21"/>
          <w:u w:val="single"/>
        </w:rPr>
        <w:t xml:space="preserve">                 </w:t>
      </w:r>
    </w:p>
    <w:p>
      <w:pPr>
        <w:snapToGrid w:val="0"/>
        <w:spacing w:line="440" w:lineRule="exact"/>
        <w:jc w:val="left"/>
        <w:rPr>
          <w:rFonts w:ascii="宋体" w:hAnsi="宋体" w:cs="Arial"/>
          <w:szCs w:val="21"/>
        </w:rPr>
      </w:pPr>
      <w:r>
        <w:rPr>
          <w:rFonts w:hint="eastAsia" w:ascii="宋体" w:hAnsi="宋体" w:cs="Arial"/>
          <w:szCs w:val="21"/>
        </w:rPr>
        <w:t>开户银行：</w:t>
      </w:r>
      <w:r>
        <w:rPr>
          <w:rFonts w:hint="eastAsia" w:ascii="宋体" w:hAnsi="宋体" w:cs="Arial"/>
          <w:szCs w:val="21"/>
          <w:u w:val="single"/>
        </w:rPr>
        <w:t xml:space="preserve">                            </w:t>
      </w:r>
    </w:p>
    <w:p>
      <w:pPr>
        <w:snapToGrid w:val="0"/>
        <w:spacing w:line="440" w:lineRule="exact"/>
        <w:jc w:val="left"/>
        <w:rPr>
          <w:rFonts w:ascii="宋体" w:hAnsi="宋体" w:cs="Arial"/>
          <w:szCs w:val="21"/>
          <w:u w:val="single"/>
        </w:rPr>
      </w:pPr>
      <w:r>
        <w:rPr>
          <w:rFonts w:hint="eastAsia" w:ascii="宋体" w:hAnsi="宋体" w:cs="Arial"/>
          <w:szCs w:val="21"/>
        </w:rPr>
        <w:t>账号：</w:t>
      </w:r>
      <w:r>
        <w:rPr>
          <w:rFonts w:hint="eastAsia" w:ascii="宋体" w:hAnsi="宋体" w:cs="Arial"/>
          <w:szCs w:val="21"/>
          <w:u w:val="single"/>
        </w:rPr>
        <w:t xml:space="preserve">                                </w:t>
      </w:r>
    </w:p>
    <w:p>
      <w:pPr>
        <w:snapToGrid w:val="0"/>
        <w:spacing w:line="440" w:lineRule="exact"/>
        <w:jc w:val="left"/>
        <w:rPr>
          <w:rFonts w:ascii="宋体" w:hAnsi="宋体" w:cs="Arial"/>
          <w:szCs w:val="21"/>
        </w:rPr>
      </w:pPr>
      <w:r>
        <w:rPr>
          <w:rFonts w:hint="eastAsia" w:ascii="宋体" w:hAnsi="宋体" w:cs="Arial"/>
          <w:szCs w:val="21"/>
        </w:rPr>
        <w:t>税号：</w:t>
      </w:r>
      <w:r>
        <w:rPr>
          <w:rFonts w:hint="eastAsia" w:ascii="宋体" w:hAnsi="宋体" w:cs="Arial"/>
          <w:szCs w:val="21"/>
          <w:u w:val="single"/>
        </w:rPr>
        <w:t xml:space="preserve">                                </w:t>
      </w:r>
    </w:p>
    <w:p>
      <w:pPr>
        <w:snapToGrid w:val="0"/>
        <w:spacing w:line="440" w:lineRule="exact"/>
        <w:jc w:val="left"/>
        <w:rPr>
          <w:rFonts w:ascii="宋体" w:hAnsi="宋体" w:cs="Arial"/>
          <w:szCs w:val="21"/>
          <w:u w:val="single"/>
        </w:rPr>
      </w:pPr>
      <w:r>
        <w:rPr>
          <w:rFonts w:hint="eastAsia" w:ascii="宋体" w:hAnsi="宋体" w:cs="Arial"/>
          <w:szCs w:val="21"/>
        </w:rPr>
        <w:t>法定代表人：</w:t>
      </w:r>
      <w:r>
        <w:rPr>
          <w:rFonts w:hint="eastAsia" w:ascii="宋体" w:hAnsi="宋体" w:cs="Arial"/>
          <w:szCs w:val="21"/>
          <w:u w:val="single"/>
        </w:rPr>
        <w:t xml:space="preserve">                          </w:t>
      </w:r>
    </w:p>
    <w:p>
      <w:pPr>
        <w:snapToGrid w:val="0"/>
        <w:spacing w:line="440" w:lineRule="exact"/>
        <w:jc w:val="left"/>
        <w:rPr>
          <w:rFonts w:ascii="宋体" w:hAnsi="宋体" w:cs="Arial"/>
          <w:szCs w:val="21"/>
          <w:u w:val="single"/>
        </w:rPr>
      </w:pPr>
      <w:r>
        <w:rPr>
          <w:rFonts w:hint="eastAsia" w:ascii="宋体" w:hAnsi="宋体" w:cs="Arial"/>
          <w:szCs w:val="21"/>
        </w:rPr>
        <w:t>委托代理人：</w:t>
      </w:r>
      <w:r>
        <w:rPr>
          <w:rFonts w:hint="eastAsia" w:ascii="宋体" w:hAnsi="宋体" w:cs="Arial"/>
          <w:szCs w:val="21"/>
          <w:u w:val="single"/>
        </w:rPr>
        <w:t xml:space="preserve">                          </w:t>
      </w:r>
    </w:p>
    <w:p>
      <w:pPr>
        <w:snapToGrid w:val="0"/>
        <w:spacing w:line="440" w:lineRule="exact"/>
        <w:jc w:val="left"/>
        <w:rPr>
          <w:rFonts w:ascii="宋体" w:hAnsi="宋体" w:cs="Arial"/>
          <w:szCs w:val="21"/>
          <w:u w:val="single"/>
        </w:rPr>
      </w:pPr>
      <w:r>
        <w:rPr>
          <w:rFonts w:hint="eastAsia" w:ascii="宋体" w:hAnsi="宋体" w:cs="Arial"/>
          <w:szCs w:val="21"/>
        </w:rPr>
        <w:t>签约日期：</w:t>
      </w:r>
      <w:r>
        <w:rPr>
          <w:rFonts w:hint="eastAsia" w:ascii="宋体" w:hAnsi="宋体" w:cs="Arial"/>
          <w:szCs w:val="21"/>
          <w:u w:val="single"/>
        </w:rPr>
        <w:t xml:space="preserve">                            </w:t>
      </w:r>
    </w:p>
    <w:p>
      <w:pPr>
        <w:snapToGrid w:val="0"/>
        <w:spacing w:line="440" w:lineRule="exact"/>
        <w:jc w:val="left"/>
        <w:rPr>
          <w:rFonts w:ascii="宋体" w:hAnsi="宋体" w:cs="Arial"/>
          <w:szCs w:val="21"/>
        </w:rPr>
      </w:pPr>
    </w:p>
    <w:p>
      <w:pPr>
        <w:snapToGrid w:val="0"/>
        <w:spacing w:line="440" w:lineRule="exact"/>
        <w:jc w:val="left"/>
        <w:rPr>
          <w:rFonts w:ascii="宋体" w:hAnsi="宋体" w:cs="Arial"/>
          <w:szCs w:val="21"/>
        </w:rPr>
      </w:pPr>
      <w:r>
        <w:rPr>
          <w:rFonts w:hint="eastAsia" w:ascii="宋体" w:hAnsi="宋体" w:cs="Arial"/>
          <w:szCs w:val="21"/>
        </w:rPr>
        <w:t>乙方：</w:t>
      </w:r>
      <w:r>
        <w:rPr>
          <w:rFonts w:hint="eastAsia" w:ascii="宋体" w:hAnsi="宋体" w:cs="Arial"/>
          <w:szCs w:val="21"/>
          <w:u w:val="single"/>
        </w:rPr>
        <w:t xml:space="preserve">                   </w:t>
      </w:r>
      <w:r>
        <w:rPr>
          <w:rFonts w:hint="eastAsia" w:ascii="宋体" w:hAnsi="宋体" w:cs="Arial"/>
          <w:szCs w:val="21"/>
        </w:rPr>
        <w:t>（盖章）</w:t>
      </w:r>
    </w:p>
    <w:p>
      <w:pPr>
        <w:snapToGrid w:val="0"/>
        <w:spacing w:line="440" w:lineRule="exact"/>
        <w:jc w:val="left"/>
        <w:rPr>
          <w:rFonts w:ascii="宋体" w:hAnsi="宋体" w:cs="Arial"/>
          <w:szCs w:val="21"/>
        </w:rPr>
      </w:pPr>
      <w:r>
        <w:rPr>
          <w:rFonts w:hint="eastAsia" w:ascii="宋体" w:hAnsi="宋体" w:cs="Arial"/>
          <w:szCs w:val="21"/>
        </w:rPr>
        <w:t>住所地：</w:t>
      </w:r>
      <w:r>
        <w:rPr>
          <w:rFonts w:hint="eastAsia" w:ascii="宋体" w:hAnsi="宋体" w:cs="Arial"/>
          <w:szCs w:val="21"/>
          <w:u w:val="single"/>
        </w:rPr>
        <w:t xml:space="preserve">                            </w:t>
      </w:r>
    </w:p>
    <w:p>
      <w:pPr>
        <w:snapToGrid w:val="0"/>
        <w:spacing w:line="440" w:lineRule="exact"/>
        <w:jc w:val="left"/>
        <w:rPr>
          <w:rFonts w:ascii="宋体" w:hAnsi="宋体" w:cs="Arial"/>
          <w:szCs w:val="21"/>
        </w:rPr>
      </w:pPr>
      <w:r>
        <w:rPr>
          <w:rFonts w:hint="eastAsia" w:ascii="宋体" w:hAnsi="宋体" w:cs="Arial"/>
          <w:szCs w:val="21"/>
        </w:rPr>
        <w:t>电    话：</w:t>
      </w:r>
      <w:r>
        <w:rPr>
          <w:rFonts w:hint="eastAsia" w:ascii="宋体" w:hAnsi="宋体" w:cs="Arial"/>
          <w:szCs w:val="21"/>
          <w:u w:val="single"/>
        </w:rPr>
        <w:t xml:space="preserve">                  </w:t>
      </w:r>
      <w:r>
        <w:rPr>
          <w:rFonts w:hint="eastAsia" w:ascii="宋体" w:hAnsi="宋体" w:cs="Arial"/>
          <w:szCs w:val="21"/>
        </w:rPr>
        <w:t xml:space="preserve">   传    真：</w:t>
      </w:r>
      <w:r>
        <w:rPr>
          <w:rFonts w:hint="eastAsia" w:ascii="宋体" w:hAnsi="宋体" w:cs="Arial"/>
          <w:szCs w:val="21"/>
          <w:u w:val="single"/>
        </w:rPr>
        <w:t xml:space="preserve">                   </w:t>
      </w:r>
    </w:p>
    <w:p>
      <w:pPr>
        <w:snapToGrid w:val="0"/>
        <w:spacing w:line="440" w:lineRule="exact"/>
        <w:jc w:val="left"/>
        <w:rPr>
          <w:rFonts w:ascii="宋体" w:hAnsi="宋体" w:cs="Arial"/>
          <w:szCs w:val="21"/>
        </w:rPr>
      </w:pPr>
      <w:r>
        <w:rPr>
          <w:rFonts w:hint="eastAsia" w:ascii="宋体" w:hAnsi="宋体" w:cs="Arial"/>
          <w:szCs w:val="21"/>
        </w:rPr>
        <w:t>开户银行：</w:t>
      </w:r>
      <w:r>
        <w:rPr>
          <w:rFonts w:hint="eastAsia" w:ascii="宋体" w:hAnsi="宋体" w:cs="Arial"/>
          <w:szCs w:val="21"/>
          <w:u w:val="single"/>
        </w:rPr>
        <w:t xml:space="preserve">                           </w:t>
      </w:r>
    </w:p>
    <w:p>
      <w:pPr>
        <w:snapToGrid w:val="0"/>
        <w:spacing w:line="440" w:lineRule="exact"/>
        <w:jc w:val="left"/>
        <w:rPr>
          <w:rFonts w:ascii="宋体" w:hAnsi="宋体" w:cs="Arial"/>
          <w:szCs w:val="21"/>
        </w:rPr>
      </w:pPr>
      <w:r>
        <w:rPr>
          <w:rFonts w:hint="eastAsia" w:ascii="宋体" w:hAnsi="宋体" w:cs="Arial"/>
          <w:szCs w:val="21"/>
        </w:rPr>
        <w:t>账号：</w:t>
      </w:r>
      <w:r>
        <w:rPr>
          <w:rFonts w:hint="eastAsia" w:ascii="宋体" w:hAnsi="宋体" w:cs="Arial"/>
          <w:szCs w:val="21"/>
          <w:u w:val="single"/>
        </w:rPr>
        <w:t xml:space="preserve">                               </w:t>
      </w:r>
    </w:p>
    <w:p>
      <w:pPr>
        <w:snapToGrid w:val="0"/>
        <w:spacing w:line="440" w:lineRule="exact"/>
        <w:jc w:val="left"/>
        <w:rPr>
          <w:rFonts w:ascii="宋体" w:hAnsi="宋体" w:cs="Arial"/>
          <w:szCs w:val="21"/>
          <w:u w:val="single"/>
        </w:rPr>
      </w:pPr>
      <w:r>
        <w:rPr>
          <w:rFonts w:hint="eastAsia" w:ascii="宋体" w:hAnsi="宋体" w:cs="Arial"/>
          <w:szCs w:val="21"/>
        </w:rPr>
        <w:t>法定代表人：</w:t>
      </w:r>
      <w:r>
        <w:rPr>
          <w:rFonts w:hint="eastAsia" w:ascii="宋体" w:hAnsi="宋体" w:cs="Arial"/>
          <w:szCs w:val="21"/>
          <w:u w:val="single"/>
        </w:rPr>
        <w:t xml:space="preserve">                         </w:t>
      </w:r>
    </w:p>
    <w:p>
      <w:pPr>
        <w:snapToGrid w:val="0"/>
        <w:spacing w:line="440" w:lineRule="exact"/>
        <w:jc w:val="left"/>
        <w:rPr>
          <w:rFonts w:ascii="宋体" w:hAnsi="宋体" w:cs="Arial"/>
          <w:szCs w:val="21"/>
          <w:u w:val="single"/>
        </w:rPr>
      </w:pPr>
      <w:r>
        <w:rPr>
          <w:rFonts w:hint="eastAsia" w:ascii="宋体" w:hAnsi="宋体" w:cs="Arial"/>
          <w:szCs w:val="21"/>
        </w:rPr>
        <w:t>委托代理人：</w:t>
      </w:r>
      <w:r>
        <w:rPr>
          <w:rFonts w:hint="eastAsia" w:ascii="宋体" w:hAnsi="宋体" w:cs="Arial"/>
          <w:szCs w:val="21"/>
          <w:u w:val="single"/>
        </w:rPr>
        <w:t xml:space="preserve">                         </w:t>
      </w:r>
    </w:p>
    <w:p>
      <w:pPr>
        <w:pStyle w:val="33"/>
        <w:snapToGrid w:val="0"/>
        <w:spacing w:line="440" w:lineRule="exact"/>
        <w:rPr>
          <w:rFonts w:ascii="宋体" w:hAnsi="宋体" w:cs="Arial"/>
          <w:szCs w:val="21"/>
          <w:u w:val="single"/>
        </w:rPr>
      </w:pPr>
      <w:r>
        <w:rPr>
          <w:rFonts w:hint="eastAsia" w:ascii="宋体" w:hAnsi="宋体" w:cs="Arial"/>
          <w:szCs w:val="21"/>
        </w:rPr>
        <w:t>签约日期：</w:t>
      </w:r>
      <w:r>
        <w:rPr>
          <w:rFonts w:hint="eastAsia" w:ascii="宋体" w:hAnsi="宋体" w:cs="Arial"/>
          <w:szCs w:val="21"/>
          <w:u w:val="single"/>
        </w:rPr>
        <w:t xml:space="preserve">                           </w:t>
      </w:r>
    </w:p>
    <w:p>
      <w:pPr>
        <w:pStyle w:val="33"/>
        <w:spacing w:line="500" w:lineRule="exact"/>
        <w:ind w:left="0" w:firstLine="0"/>
        <w:jc w:val="center"/>
        <w:outlineLvl w:val="3"/>
        <w:rPr>
          <w:rFonts w:ascii="宋体" w:hAnsi="宋体"/>
          <w:b/>
          <w:bCs/>
          <w:sz w:val="24"/>
          <w:szCs w:val="24"/>
        </w:rPr>
      </w:pPr>
    </w:p>
    <w:p>
      <w:pPr>
        <w:pStyle w:val="33"/>
        <w:spacing w:line="500" w:lineRule="exact"/>
        <w:ind w:left="0" w:firstLine="0"/>
        <w:jc w:val="center"/>
        <w:outlineLvl w:val="3"/>
        <w:rPr>
          <w:rFonts w:ascii="宋体" w:hAnsi="宋体"/>
          <w:b/>
          <w:bCs/>
          <w:sz w:val="24"/>
          <w:szCs w:val="24"/>
        </w:rPr>
      </w:pPr>
    </w:p>
    <w:p>
      <w:pPr>
        <w:rPr>
          <w:rFonts w:hint="eastAsia"/>
          <w:b/>
          <w:bCs w:val="0"/>
          <w:sz w:val="24"/>
          <w:szCs w:val="24"/>
          <w:lang w:val="en-US" w:eastAsia="zh-CN"/>
        </w:rPr>
      </w:pPr>
      <w:r>
        <w:rPr>
          <w:rFonts w:hint="eastAsia"/>
          <w:b/>
          <w:bCs w:val="0"/>
          <w:sz w:val="24"/>
          <w:szCs w:val="24"/>
          <w:lang w:val="en-US" w:eastAsia="zh-CN"/>
        </w:rPr>
        <w:br w:type="page"/>
      </w:r>
    </w:p>
    <w:p>
      <w:pPr>
        <w:pStyle w:val="5"/>
        <w:bidi w:val="0"/>
        <w:jc w:val="center"/>
        <w:rPr>
          <w:rFonts w:hint="eastAsia"/>
          <w:b/>
          <w:bCs w:val="0"/>
          <w:sz w:val="24"/>
          <w:szCs w:val="24"/>
          <w:lang w:val="en-US" w:eastAsia="zh-CN"/>
        </w:rPr>
      </w:pPr>
      <w:bookmarkStart w:id="555" w:name="_Toc5750"/>
      <w:r>
        <w:rPr>
          <w:rFonts w:hint="eastAsia"/>
          <w:b/>
          <w:bCs w:val="0"/>
          <w:sz w:val="24"/>
          <w:szCs w:val="24"/>
          <w:lang w:val="en-US" w:eastAsia="zh-CN"/>
        </w:rPr>
        <w:t>4.造价咨询部分</w:t>
      </w:r>
      <w:bookmarkEnd w:id="555"/>
    </w:p>
    <w:p>
      <w:pPr>
        <w:spacing w:line="500" w:lineRule="exact"/>
        <w:ind w:firstLine="422" w:firstLineChars="200"/>
        <w:rPr>
          <w:rFonts w:hint="eastAsia" w:ascii="宋体" w:hAnsi="宋体" w:eastAsia="宋体" w:cs="Arial"/>
          <w:b/>
          <w:bCs/>
          <w:kern w:val="24"/>
          <w:sz w:val="21"/>
          <w:szCs w:val="21"/>
          <w:lang w:val="en-US" w:eastAsia="zh-CN" w:bidi="ar-SA"/>
        </w:rPr>
      </w:pPr>
      <w:bookmarkStart w:id="556" w:name="_Toc20520"/>
      <w:bookmarkStart w:id="557" w:name="_Toc5842"/>
      <w:bookmarkStart w:id="558" w:name="_Toc14363"/>
      <w:bookmarkStart w:id="559" w:name="_Toc419045099"/>
      <w:bookmarkStart w:id="560" w:name="_Toc12732"/>
      <w:bookmarkStart w:id="561" w:name="_Toc25207"/>
      <w:bookmarkStart w:id="562" w:name="_Toc422322522"/>
      <w:r>
        <w:rPr>
          <w:rFonts w:hint="eastAsia" w:ascii="宋体" w:hAnsi="宋体" w:eastAsia="宋体" w:cs="Arial"/>
          <w:b/>
          <w:bCs/>
          <w:kern w:val="24"/>
          <w:sz w:val="21"/>
          <w:szCs w:val="21"/>
          <w:lang w:val="en-US" w:eastAsia="zh-CN" w:bidi="ar-SA"/>
        </w:rPr>
        <w:t>1.词语定义、语言、解释顺序与适用法律</w:t>
      </w:r>
      <w:bookmarkEnd w:id="556"/>
      <w:bookmarkEnd w:id="557"/>
      <w:bookmarkEnd w:id="558"/>
      <w:bookmarkEnd w:id="559"/>
      <w:bookmarkEnd w:id="560"/>
      <w:bookmarkEnd w:id="561"/>
      <w:bookmarkEnd w:id="562"/>
    </w:p>
    <w:p>
      <w:pPr>
        <w:spacing w:line="500" w:lineRule="exact"/>
        <w:ind w:firstLine="420" w:firstLineChars="200"/>
        <w:rPr>
          <w:rFonts w:hint="eastAsia" w:eastAsiaTheme="minorEastAsia"/>
          <w:lang w:eastAsia="zh-CN"/>
        </w:rPr>
      </w:pPr>
      <w:bookmarkStart w:id="563" w:name="_Toc422322524"/>
      <w:bookmarkStart w:id="564" w:name="_Toc86667688"/>
      <w:bookmarkStart w:id="565" w:name="_Toc2971"/>
      <w:bookmarkStart w:id="566" w:name="_Toc86668246"/>
      <w:bookmarkStart w:id="567" w:name="_Toc18528"/>
      <w:bookmarkStart w:id="568" w:name="_Toc26637"/>
      <w:bookmarkStart w:id="569" w:name="_Toc419045101"/>
      <w:bookmarkStart w:id="570" w:name="_Toc6298"/>
      <w:bookmarkStart w:id="571" w:name="_Toc19237"/>
      <w:bookmarkStart w:id="572" w:name="_Toc27479"/>
      <w:bookmarkStart w:id="573" w:name="_Toc1418"/>
      <w:r>
        <w:rPr>
          <w:rFonts w:hint="eastAsia"/>
        </w:rPr>
        <w:t>1.2 语言</w:t>
      </w:r>
      <w:bookmarkEnd w:id="563"/>
      <w:bookmarkEnd w:id="564"/>
      <w:bookmarkEnd w:id="565"/>
      <w:bookmarkEnd w:id="566"/>
      <w:bookmarkEnd w:id="567"/>
      <w:bookmarkEnd w:id="568"/>
      <w:bookmarkEnd w:id="569"/>
      <w:bookmarkEnd w:id="570"/>
      <w:bookmarkEnd w:id="571"/>
      <w:bookmarkEnd w:id="572"/>
      <w:bookmarkEnd w:id="573"/>
    </w:p>
    <w:p>
      <w:pPr>
        <w:spacing w:line="500" w:lineRule="exact"/>
        <w:ind w:firstLine="420" w:firstLineChars="200"/>
        <w:rPr>
          <w:rStyle w:val="40"/>
          <w:rFonts w:ascii="宋体" w:hAnsi="宋体"/>
          <w:b w:val="0"/>
          <w:szCs w:val="21"/>
        </w:rPr>
      </w:pPr>
      <w:r>
        <w:rPr>
          <w:rFonts w:hint="eastAsia" w:ascii="宋体" w:hAnsi="宋体"/>
          <w:szCs w:val="21"/>
        </w:rPr>
        <w:t xml:space="preserve">    本合同文件除使用中文外，还可用 </w:t>
      </w:r>
      <w:r>
        <w:rPr>
          <w:rFonts w:hint="eastAsia" w:ascii="宋体" w:hAnsi="宋体"/>
          <w:szCs w:val="21"/>
          <w:u w:val="single"/>
        </w:rPr>
        <w:t xml:space="preserve">    /                            </w:t>
      </w:r>
      <w:r>
        <w:rPr>
          <w:rFonts w:hint="eastAsia" w:ascii="宋体" w:hAnsi="宋体"/>
          <w:szCs w:val="21"/>
        </w:rPr>
        <w:t>。</w:t>
      </w:r>
    </w:p>
    <w:p>
      <w:pPr>
        <w:spacing w:line="500" w:lineRule="exact"/>
        <w:ind w:firstLine="420" w:firstLineChars="200"/>
        <w:rPr>
          <w:rFonts w:hint="eastAsia"/>
          <w:lang w:val="en-US" w:eastAsia="zh-CN"/>
        </w:rPr>
      </w:pPr>
      <w:bookmarkStart w:id="574" w:name="_Toc17678"/>
      <w:bookmarkStart w:id="575" w:name="_Toc22410"/>
      <w:bookmarkStart w:id="576" w:name="_Toc422322525"/>
      <w:bookmarkStart w:id="577" w:name="_Toc544"/>
      <w:bookmarkStart w:id="578" w:name="_Toc9353"/>
      <w:bookmarkStart w:id="579" w:name="_Toc17976"/>
      <w:bookmarkStart w:id="580" w:name="_Toc18460"/>
      <w:bookmarkStart w:id="581" w:name="_Toc21738"/>
      <w:r>
        <w:rPr>
          <w:rFonts w:hint="eastAsia"/>
          <w:lang w:val="en-US" w:eastAsia="zh-CN"/>
        </w:rPr>
        <w:t>1.3合同文件的优先顺序</w:t>
      </w:r>
      <w:bookmarkEnd w:id="574"/>
      <w:bookmarkEnd w:id="575"/>
      <w:bookmarkEnd w:id="576"/>
      <w:bookmarkEnd w:id="577"/>
      <w:bookmarkEnd w:id="578"/>
      <w:bookmarkEnd w:id="579"/>
      <w:bookmarkEnd w:id="580"/>
      <w:bookmarkEnd w:id="581"/>
    </w:p>
    <w:p>
      <w:pPr>
        <w:spacing w:line="500" w:lineRule="exact"/>
        <w:ind w:firstLine="420" w:firstLineChars="200"/>
        <w:rPr>
          <w:rFonts w:ascii="宋体" w:hAnsi="宋体"/>
          <w:szCs w:val="21"/>
          <w:u w:val="single"/>
        </w:rPr>
      </w:pPr>
      <w:r>
        <w:rPr>
          <w:rFonts w:hint="eastAsia" w:ascii="宋体" w:hAnsi="宋体"/>
          <w:szCs w:val="21"/>
        </w:rPr>
        <w:t>本合同文件的解释顺序为：（1）</w:t>
      </w:r>
      <w:r>
        <w:rPr>
          <w:rFonts w:hint="eastAsia" w:ascii="宋体" w:hAnsi="宋体"/>
          <w:szCs w:val="21"/>
          <w:u w:val="single"/>
        </w:rPr>
        <w:t xml:space="preserve">  本合同协议书（2）本专用条款      </w:t>
      </w:r>
    </w:p>
    <w:p>
      <w:pPr>
        <w:spacing w:line="500" w:lineRule="exact"/>
        <w:ind w:firstLine="420" w:firstLineChars="200"/>
        <w:rPr>
          <w:rFonts w:ascii="宋体" w:hAnsi="宋体"/>
          <w:szCs w:val="21"/>
        </w:rPr>
      </w:pPr>
      <w:r>
        <w:rPr>
          <w:rFonts w:hint="eastAsia" w:ascii="宋体" w:hAnsi="宋体"/>
          <w:szCs w:val="21"/>
          <w:u w:val="single"/>
        </w:rPr>
        <w:t xml:space="preserve">（3）本通用条款                                                </w:t>
      </w:r>
      <w:r>
        <w:rPr>
          <w:rFonts w:hint="eastAsia" w:ascii="宋体" w:hAnsi="宋体"/>
          <w:szCs w:val="21"/>
        </w:rPr>
        <w:t>。</w:t>
      </w:r>
    </w:p>
    <w:p>
      <w:pPr>
        <w:spacing w:line="500" w:lineRule="exact"/>
        <w:ind w:firstLine="420" w:firstLineChars="200"/>
        <w:rPr>
          <w:rFonts w:hint="eastAsia"/>
          <w:lang w:val="en-US" w:eastAsia="zh-CN"/>
        </w:rPr>
      </w:pPr>
      <w:bookmarkStart w:id="582" w:name="_Toc422322526"/>
      <w:bookmarkStart w:id="583" w:name="_Toc86667689"/>
      <w:bookmarkStart w:id="584" w:name="_Toc86668247"/>
      <w:bookmarkStart w:id="585" w:name="_Toc419045102"/>
      <w:bookmarkStart w:id="586" w:name="_Toc7109"/>
      <w:bookmarkStart w:id="587" w:name="_Toc165"/>
      <w:bookmarkStart w:id="588" w:name="_Toc24188"/>
      <w:bookmarkStart w:id="589" w:name="_Toc9376"/>
      <w:bookmarkStart w:id="590" w:name="_Toc11067"/>
      <w:bookmarkStart w:id="591" w:name="_Toc21092"/>
      <w:bookmarkStart w:id="592" w:name="_Toc27935"/>
      <w:r>
        <w:rPr>
          <w:rFonts w:hint="eastAsia"/>
          <w:lang w:val="en-US" w:eastAsia="zh-CN"/>
        </w:rPr>
        <w:t>1.4适用法律</w:t>
      </w:r>
      <w:bookmarkEnd w:id="582"/>
      <w:bookmarkEnd w:id="583"/>
      <w:bookmarkEnd w:id="584"/>
      <w:bookmarkEnd w:id="585"/>
    </w:p>
    <w:bookmarkEnd w:id="586"/>
    <w:bookmarkEnd w:id="587"/>
    <w:bookmarkEnd w:id="588"/>
    <w:bookmarkEnd w:id="589"/>
    <w:bookmarkEnd w:id="590"/>
    <w:bookmarkEnd w:id="591"/>
    <w:bookmarkEnd w:id="592"/>
    <w:p>
      <w:pPr>
        <w:spacing w:line="500" w:lineRule="exact"/>
        <w:ind w:left="210" w:leftChars="100" w:firstLine="420" w:firstLineChars="200"/>
        <w:rPr>
          <w:rFonts w:ascii="宋体" w:hAnsi="宋体"/>
          <w:szCs w:val="21"/>
        </w:rPr>
      </w:pPr>
      <w:r>
        <w:rPr>
          <w:rFonts w:hint="eastAsia" w:ascii="宋体" w:hAnsi="宋体"/>
          <w:szCs w:val="21"/>
        </w:rPr>
        <w:t>本合同适用的其他规范性文件包括：</w:t>
      </w:r>
      <w:r>
        <w:rPr>
          <w:rFonts w:hint="eastAsia" w:ascii="宋体" w:hAnsi="宋体"/>
          <w:szCs w:val="21"/>
          <w:u w:val="single"/>
        </w:rPr>
        <w:t xml:space="preserve">                              </w:t>
      </w:r>
      <w:r>
        <w:rPr>
          <w:rFonts w:hint="eastAsia" w:ascii="宋体" w:hAnsi="宋体"/>
          <w:szCs w:val="21"/>
        </w:rPr>
        <w:t>。</w:t>
      </w:r>
    </w:p>
    <w:p>
      <w:pPr>
        <w:spacing w:line="500" w:lineRule="exact"/>
        <w:ind w:firstLine="422" w:firstLineChars="200"/>
        <w:rPr>
          <w:rFonts w:hint="eastAsia" w:ascii="宋体" w:hAnsi="宋体" w:eastAsia="宋体" w:cs="Arial"/>
          <w:b/>
          <w:bCs/>
          <w:kern w:val="24"/>
          <w:sz w:val="21"/>
          <w:szCs w:val="21"/>
          <w:lang w:val="en-US" w:eastAsia="zh-CN" w:bidi="ar-SA"/>
        </w:rPr>
      </w:pPr>
      <w:bookmarkStart w:id="593" w:name="_Toc6305"/>
      <w:bookmarkStart w:id="594" w:name="_Toc7995"/>
      <w:bookmarkStart w:id="595" w:name="_Toc19691"/>
      <w:bookmarkStart w:id="596" w:name="_Toc7873"/>
      <w:bookmarkStart w:id="597" w:name="_Toc21408"/>
      <w:bookmarkStart w:id="598" w:name="_Toc8007"/>
      <w:bookmarkStart w:id="599" w:name="_Toc419045103"/>
      <w:bookmarkStart w:id="600" w:name="_Toc2163"/>
      <w:bookmarkStart w:id="601" w:name="_Toc422322527"/>
      <w:r>
        <w:rPr>
          <w:rFonts w:hint="eastAsia" w:ascii="宋体" w:hAnsi="宋体" w:eastAsia="宋体" w:cs="Arial"/>
          <w:b/>
          <w:bCs/>
          <w:kern w:val="24"/>
          <w:sz w:val="21"/>
          <w:szCs w:val="21"/>
          <w:lang w:val="en-US" w:eastAsia="zh-CN" w:bidi="ar-SA"/>
        </w:rPr>
        <w:t>2.委托人（甲方）的义务</w:t>
      </w:r>
      <w:bookmarkEnd w:id="593"/>
      <w:bookmarkEnd w:id="594"/>
      <w:bookmarkEnd w:id="595"/>
      <w:bookmarkEnd w:id="596"/>
      <w:bookmarkEnd w:id="597"/>
      <w:bookmarkEnd w:id="598"/>
      <w:bookmarkEnd w:id="599"/>
      <w:bookmarkEnd w:id="600"/>
      <w:bookmarkEnd w:id="601"/>
    </w:p>
    <w:p>
      <w:pPr>
        <w:spacing w:line="500" w:lineRule="exact"/>
        <w:ind w:firstLine="420" w:firstLineChars="200"/>
        <w:rPr>
          <w:rFonts w:hint="eastAsia"/>
          <w:lang w:val="en-US" w:eastAsia="zh-CN"/>
        </w:rPr>
      </w:pPr>
      <w:bookmarkStart w:id="602" w:name="_Toc422322528"/>
      <w:bookmarkStart w:id="603" w:name="_Toc86667690"/>
      <w:bookmarkStart w:id="604" w:name="_Toc419045104"/>
      <w:bookmarkStart w:id="605" w:name="_Toc86668248"/>
      <w:bookmarkStart w:id="606" w:name="_Toc14266"/>
      <w:bookmarkStart w:id="607" w:name="_Toc8019"/>
      <w:bookmarkStart w:id="608" w:name="_Toc26519"/>
      <w:bookmarkStart w:id="609" w:name="_Toc18527"/>
      <w:bookmarkStart w:id="610" w:name="_Toc10712"/>
      <w:bookmarkStart w:id="611" w:name="_Toc2015"/>
      <w:bookmarkStart w:id="612" w:name="_Toc6405"/>
      <w:r>
        <w:rPr>
          <w:rFonts w:hint="eastAsia"/>
          <w:lang w:val="en-US" w:eastAsia="zh-CN"/>
        </w:rPr>
        <w:t>2.1提供资料</w:t>
      </w:r>
      <w:bookmarkEnd w:id="602"/>
      <w:bookmarkEnd w:id="603"/>
      <w:bookmarkEnd w:id="604"/>
      <w:bookmarkEnd w:id="605"/>
    </w:p>
    <w:bookmarkEnd w:id="606"/>
    <w:bookmarkEnd w:id="607"/>
    <w:bookmarkEnd w:id="608"/>
    <w:bookmarkEnd w:id="609"/>
    <w:bookmarkEnd w:id="610"/>
    <w:bookmarkEnd w:id="611"/>
    <w:bookmarkEnd w:id="612"/>
    <w:p>
      <w:pPr>
        <w:spacing w:line="500" w:lineRule="exact"/>
        <w:ind w:firstLine="420" w:firstLineChars="200"/>
        <w:rPr>
          <w:rFonts w:ascii="宋体" w:hAnsi="宋体"/>
          <w:szCs w:val="21"/>
        </w:rPr>
      </w:pPr>
      <w:r>
        <w:rPr>
          <w:rFonts w:hint="eastAsia" w:ascii="宋体" w:hAnsi="宋体"/>
          <w:szCs w:val="21"/>
        </w:rPr>
        <w:t>委托人按照附录C约定无偿向咨询人提供与本合同咨询业务有关资料的时间为：</w:t>
      </w:r>
      <w:r>
        <w:rPr>
          <w:rFonts w:hint="eastAsia" w:ascii="宋体" w:hAnsi="宋体"/>
          <w:szCs w:val="21"/>
          <w:u w:val="single"/>
        </w:rPr>
        <w:t xml:space="preserve"> 签订合同后5个工作日内  </w:t>
      </w:r>
      <w:r>
        <w:rPr>
          <w:rFonts w:hint="eastAsia" w:ascii="宋体" w:hAnsi="宋体"/>
          <w:szCs w:val="21"/>
        </w:rPr>
        <w:t>。</w:t>
      </w:r>
    </w:p>
    <w:p>
      <w:pPr>
        <w:spacing w:line="500" w:lineRule="exact"/>
        <w:ind w:firstLine="420" w:firstLineChars="200"/>
        <w:rPr>
          <w:rFonts w:hint="eastAsia"/>
          <w:lang w:val="en-US" w:eastAsia="zh-CN"/>
        </w:rPr>
      </w:pPr>
      <w:bookmarkStart w:id="613" w:name="_Toc86667691"/>
      <w:bookmarkStart w:id="614" w:name="_Toc86668249"/>
      <w:bookmarkStart w:id="615" w:name="_Toc422322529"/>
      <w:bookmarkStart w:id="616" w:name="_Toc419045105"/>
      <w:bookmarkStart w:id="617" w:name="_Toc4731"/>
      <w:bookmarkStart w:id="618" w:name="_Toc17816"/>
      <w:bookmarkStart w:id="619" w:name="_Toc13158"/>
      <w:bookmarkStart w:id="620" w:name="_Toc17650"/>
      <w:bookmarkStart w:id="621" w:name="_Toc28940"/>
      <w:bookmarkStart w:id="622" w:name="_Toc12999"/>
      <w:bookmarkStart w:id="623" w:name="_Toc8468"/>
      <w:r>
        <w:rPr>
          <w:rFonts w:hint="eastAsia"/>
          <w:lang w:val="en-US" w:eastAsia="zh-CN"/>
        </w:rPr>
        <w:t>2.2提供工作条件</w:t>
      </w:r>
      <w:bookmarkEnd w:id="613"/>
      <w:bookmarkEnd w:id="614"/>
      <w:bookmarkEnd w:id="615"/>
      <w:bookmarkEnd w:id="616"/>
    </w:p>
    <w:bookmarkEnd w:id="617"/>
    <w:bookmarkEnd w:id="618"/>
    <w:bookmarkEnd w:id="619"/>
    <w:bookmarkEnd w:id="620"/>
    <w:bookmarkEnd w:id="621"/>
    <w:bookmarkEnd w:id="622"/>
    <w:bookmarkEnd w:id="623"/>
    <w:p>
      <w:pPr>
        <w:spacing w:line="500" w:lineRule="exact"/>
        <w:ind w:firstLine="420" w:firstLineChars="200"/>
        <w:rPr>
          <w:rFonts w:ascii="宋体" w:hAnsi="宋体"/>
          <w:szCs w:val="21"/>
        </w:rPr>
      </w:pPr>
      <w:r>
        <w:rPr>
          <w:rFonts w:hint="eastAsia" w:ascii="宋体" w:hAnsi="宋体"/>
          <w:szCs w:val="21"/>
        </w:rPr>
        <w:t>2.2.1项目咨询人员使用附录D中由委托人提供的房屋及设备，支付使用费的标准为：</w:t>
      </w:r>
      <w:r>
        <w:rPr>
          <w:rFonts w:hint="eastAsia" w:ascii="宋体" w:hAnsi="宋体"/>
          <w:szCs w:val="21"/>
          <w:u w:val="single"/>
        </w:rPr>
        <w:t xml:space="preserve">     /                        </w:t>
      </w:r>
      <w:r>
        <w:rPr>
          <w:rFonts w:hint="eastAsia" w:ascii="宋体" w:hAnsi="宋体"/>
          <w:szCs w:val="21"/>
        </w:rPr>
        <w:t>。</w:t>
      </w:r>
    </w:p>
    <w:p>
      <w:pPr>
        <w:spacing w:line="500" w:lineRule="exact"/>
        <w:ind w:firstLine="420" w:firstLineChars="200"/>
        <w:rPr>
          <w:rFonts w:hint="eastAsia" w:eastAsiaTheme="minorEastAsia"/>
          <w:lang w:val="en-US" w:eastAsia="zh-CN"/>
        </w:rPr>
      </w:pPr>
      <w:bookmarkStart w:id="624" w:name="_Toc422322530"/>
      <w:bookmarkStart w:id="625" w:name="_Toc9817"/>
      <w:bookmarkStart w:id="626" w:name="_Toc28678"/>
      <w:bookmarkStart w:id="627" w:name="_Toc19751"/>
      <w:bookmarkStart w:id="628" w:name="_Toc30591"/>
      <w:bookmarkStart w:id="629" w:name="_Toc112"/>
      <w:bookmarkStart w:id="630" w:name="_Toc86667692"/>
      <w:bookmarkStart w:id="631" w:name="_Toc23972"/>
      <w:bookmarkStart w:id="632" w:name="_Toc419045106"/>
      <w:bookmarkStart w:id="633" w:name="_Toc12820"/>
      <w:bookmarkStart w:id="634" w:name="_Toc86668250"/>
      <w:r>
        <w:rPr>
          <w:rFonts w:hint="eastAsia"/>
          <w:lang w:val="en-US" w:eastAsia="zh-CN"/>
        </w:rPr>
        <w:t>2.4委托人代表</w:t>
      </w:r>
      <w:bookmarkEnd w:id="624"/>
      <w:bookmarkEnd w:id="625"/>
      <w:bookmarkEnd w:id="626"/>
      <w:bookmarkEnd w:id="627"/>
      <w:bookmarkEnd w:id="628"/>
      <w:bookmarkEnd w:id="629"/>
      <w:bookmarkEnd w:id="630"/>
      <w:bookmarkEnd w:id="631"/>
      <w:bookmarkEnd w:id="632"/>
      <w:bookmarkEnd w:id="633"/>
      <w:bookmarkEnd w:id="634"/>
    </w:p>
    <w:p>
      <w:pPr>
        <w:spacing w:line="500" w:lineRule="exact"/>
        <w:ind w:firstLine="420" w:firstLineChars="200"/>
        <w:rPr>
          <w:rStyle w:val="40"/>
          <w:rFonts w:ascii="宋体" w:hAnsi="宋体"/>
          <w:b w:val="0"/>
          <w:szCs w:val="21"/>
          <w:u w:val="single"/>
        </w:rPr>
      </w:pPr>
      <w:r>
        <w:rPr>
          <w:rFonts w:hint="eastAsia" w:ascii="宋体" w:hAnsi="宋体"/>
          <w:szCs w:val="21"/>
        </w:rPr>
        <w:t xml:space="preserve">    委托人代表为：</w:t>
      </w:r>
      <w:r>
        <w:rPr>
          <w:rFonts w:hint="eastAsia" w:ascii="宋体" w:hAnsi="宋体"/>
          <w:szCs w:val="21"/>
          <w:u w:val="single"/>
        </w:rPr>
        <w:t xml:space="preserve">                  </w:t>
      </w:r>
      <w:r>
        <w:rPr>
          <w:rFonts w:hint="eastAsia" w:ascii="宋体" w:hAnsi="宋体"/>
          <w:szCs w:val="21"/>
        </w:rPr>
        <w:t>，其权限范围：</w:t>
      </w:r>
      <w:r>
        <w:rPr>
          <w:rFonts w:hint="eastAsia" w:ascii="宋体" w:hAnsi="宋体"/>
          <w:szCs w:val="21"/>
          <w:u w:val="single"/>
        </w:rPr>
        <w:t>执行本合同通用条件第2条、第4.1条 。</w:t>
      </w:r>
    </w:p>
    <w:p>
      <w:pPr>
        <w:spacing w:line="500" w:lineRule="exact"/>
        <w:ind w:firstLine="420" w:firstLineChars="200"/>
        <w:rPr>
          <w:rFonts w:hint="eastAsia"/>
          <w:lang w:val="en-US" w:eastAsia="zh-CN"/>
        </w:rPr>
      </w:pPr>
      <w:bookmarkStart w:id="635" w:name="_Toc25342"/>
      <w:bookmarkStart w:id="636" w:name="_Toc3291"/>
      <w:bookmarkStart w:id="637" w:name="_Toc12278"/>
      <w:bookmarkStart w:id="638" w:name="_Toc18161"/>
      <w:bookmarkStart w:id="639" w:name="_Toc15822"/>
      <w:bookmarkStart w:id="640" w:name="_Toc2835"/>
      <w:bookmarkStart w:id="641" w:name="_Toc30994"/>
      <w:bookmarkStart w:id="642" w:name="_Toc422322531"/>
      <w:r>
        <w:rPr>
          <w:rFonts w:hint="eastAsia"/>
          <w:lang w:val="en-US" w:eastAsia="zh-CN"/>
        </w:rPr>
        <w:t>2.5答复</w:t>
      </w:r>
      <w:bookmarkEnd w:id="635"/>
      <w:bookmarkEnd w:id="636"/>
      <w:bookmarkEnd w:id="637"/>
      <w:bookmarkEnd w:id="638"/>
      <w:bookmarkEnd w:id="639"/>
      <w:bookmarkEnd w:id="640"/>
      <w:bookmarkEnd w:id="641"/>
      <w:bookmarkEnd w:id="642"/>
    </w:p>
    <w:p>
      <w:pPr>
        <w:spacing w:line="500" w:lineRule="exact"/>
        <w:ind w:firstLine="420" w:firstLineChars="200"/>
        <w:rPr>
          <w:rFonts w:ascii="宋体" w:hAnsi="宋体"/>
          <w:szCs w:val="21"/>
        </w:rPr>
      </w:pPr>
      <w:r>
        <w:rPr>
          <w:rFonts w:hint="eastAsia"/>
          <w:lang w:val="en-US" w:eastAsia="zh-CN"/>
        </w:rPr>
        <w:t xml:space="preserve">    委</w:t>
      </w:r>
      <w:r>
        <w:rPr>
          <w:rFonts w:hint="eastAsia" w:ascii="宋体" w:hAnsi="宋体"/>
          <w:szCs w:val="21"/>
        </w:rPr>
        <w:t>托人同意在</w:t>
      </w:r>
      <w:r>
        <w:rPr>
          <w:rFonts w:hint="eastAsia" w:ascii="宋体" w:hAnsi="宋体"/>
          <w:szCs w:val="21"/>
          <w:u w:val="single"/>
        </w:rPr>
        <w:t xml:space="preserve">   三   </w:t>
      </w:r>
      <w:r>
        <w:rPr>
          <w:rFonts w:hint="eastAsia" w:ascii="宋体" w:hAnsi="宋体"/>
          <w:szCs w:val="21"/>
        </w:rPr>
        <w:t>日内，对咨询人书面提交并要求做出决定的事宜给予书面答复。逾期未答复的，视为委托人认可。</w:t>
      </w:r>
    </w:p>
    <w:p>
      <w:pPr>
        <w:spacing w:line="500" w:lineRule="exact"/>
        <w:ind w:firstLine="422" w:firstLineChars="200"/>
        <w:rPr>
          <w:rFonts w:hint="eastAsia" w:ascii="宋体" w:hAnsi="宋体" w:eastAsia="宋体" w:cs="Arial"/>
          <w:b/>
          <w:bCs/>
          <w:kern w:val="24"/>
          <w:sz w:val="21"/>
          <w:szCs w:val="21"/>
          <w:lang w:val="en-US" w:eastAsia="zh-CN" w:bidi="ar-SA"/>
        </w:rPr>
      </w:pPr>
      <w:bookmarkStart w:id="643" w:name="_Toc25768"/>
      <w:bookmarkStart w:id="644" w:name="_Toc20376"/>
      <w:bookmarkStart w:id="645" w:name="_Toc31605"/>
      <w:bookmarkStart w:id="646" w:name="_Toc18550"/>
      <w:bookmarkStart w:id="647" w:name="_Toc7341"/>
      <w:bookmarkStart w:id="648" w:name="_Toc27854"/>
      <w:bookmarkStart w:id="649" w:name="_Toc422322532"/>
      <w:bookmarkStart w:id="650" w:name="_Toc419045107"/>
      <w:bookmarkStart w:id="651" w:name="_Toc9552"/>
      <w:r>
        <w:rPr>
          <w:rFonts w:hint="eastAsia" w:ascii="宋体" w:hAnsi="宋体" w:eastAsia="宋体" w:cs="Arial"/>
          <w:b/>
          <w:bCs/>
          <w:kern w:val="24"/>
          <w:sz w:val="21"/>
          <w:szCs w:val="21"/>
          <w:lang w:val="en-US" w:eastAsia="zh-CN" w:bidi="ar-SA"/>
        </w:rPr>
        <w:t>3.咨询人（乙方）的义务</w:t>
      </w:r>
      <w:bookmarkEnd w:id="643"/>
      <w:bookmarkEnd w:id="644"/>
      <w:bookmarkEnd w:id="645"/>
      <w:bookmarkEnd w:id="646"/>
      <w:bookmarkEnd w:id="647"/>
      <w:bookmarkEnd w:id="648"/>
      <w:bookmarkEnd w:id="649"/>
      <w:bookmarkEnd w:id="650"/>
      <w:bookmarkEnd w:id="651"/>
    </w:p>
    <w:p>
      <w:pPr>
        <w:spacing w:line="500" w:lineRule="exact"/>
        <w:ind w:firstLine="420" w:firstLineChars="200"/>
        <w:rPr>
          <w:rFonts w:hint="eastAsia"/>
          <w:lang w:val="en-US" w:eastAsia="zh-CN"/>
        </w:rPr>
      </w:pPr>
      <w:bookmarkStart w:id="652" w:name="_Toc26805"/>
      <w:bookmarkStart w:id="653" w:name="_Toc4486"/>
      <w:bookmarkStart w:id="654" w:name="_Toc3080"/>
      <w:bookmarkStart w:id="655" w:name="_Toc419045109"/>
      <w:bookmarkStart w:id="656" w:name="_Toc31665"/>
      <w:bookmarkStart w:id="657" w:name="_Toc422322533"/>
      <w:bookmarkStart w:id="658" w:name="_Toc20362"/>
      <w:bookmarkStart w:id="659" w:name="_Toc32552"/>
      <w:bookmarkStart w:id="660" w:name="_Toc4391"/>
      <w:r>
        <w:rPr>
          <w:rFonts w:hint="eastAsia"/>
          <w:lang w:val="en-US" w:eastAsia="zh-CN"/>
        </w:rPr>
        <w:t>3.1项目咨询团队及人员</w:t>
      </w:r>
      <w:bookmarkEnd w:id="652"/>
      <w:bookmarkEnd w:id="653"/>
      <w:bookmarkEnd w:id="654"/>
      <w:bookmarkEnd w:id="655"/>
      <w:bookmarkEnd w:id="656"/>
      <w:bookmarkEnd w:id="657"/>
      <w:bookmarkEnd w:id="658"/>
      <w:bookmarkEnd w:id="659"/>
      <w:bookmarkEnd w:id="660"/>
    </w:p>
    <w:p>
      <w:pPr>
        <w:spacing w:line="500" w:lineRule="exact"/>
        <w:ind w:firstLine="420" w:firstLineChars="200"/>
        <w:rPr>
          <w:rFonts w:ascii="宋体" w:hAnsi="宋体"/>
          <w:szCs w:val="21"/>
        </w:rPr>
      </w:pPr>
      <w:r>
        <w:rPr>
          <w:rFonts w:hint="eastAsia" w:ascii="宋体" w:hAnsi="宋体"/>
          <w:szCs w:val="21"/>
        </w:rPr>
        <w:t>3.1.1项目咨询团队的主要人员应具有</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资格条件，团队人员的数量为</w:t>
      </w:r>
      <w:r>
        <w:rPr>
          <w:rFonts w:hint="eastAsia" w:ascii="宋体" w:hAnsi="宋体"/>
          <w:szCs w:val="21"/>
          <w:u w:val="single"/>
        </w:rPr>
        <w:t xml:space="preserve">    </w:t>
      </w:r>
      <w:r>
        <w:rPr>
          <w:rFonts w:hint="eastAsia" w:ascii="宋体" w:hAnsi="宋体"/>
          <w:szCs w:val="21"/>
        </w:rPr>
        <w:t>人。</w:t>
      </w:r>
    </w:p>
    <w:p>
      <w:pPr>
        <w:spacing w:line="500" w:lineRule="exact"/>
        <w:ind w:firstLine="420" w:firstLineChars="200"/>
        <w:rPr>
          <w:rFonts w:ascii="宋体" w:hAnsi="宋体"/>
          <w:szCs w:val="21"/>
        </w:rPr>
      </w:pPr>
      <w:r>
        <w:rPr>
          <w:rFonts w:hint="eastAsia" w:ascii="宋体" w:hAnsi="宋体"/>
          <w:szCs w:val="21"/>
        </w:rPr>
        <w:t>3.1.2造价咨询专业负责人</w:t>
      </w:r>
    </w:p>
    <w:p>
      <w:pPr>
        <w:spacing w:line="500" w:lineRule="exact"/>
        <w:ind w:firstLine="420" w:firstLineChars="200"/>
        <w:rPr>
          <w:rFonts w:ascii="宋体" w:hAnsi="宋体"/>
          <w:szCs w:val="21"/>
          <w:u w:val="single"/>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资格证书：</w:t>
      </w:r>
      <w:r>
        <w:rPr>
          <w:rFonts w:hint="eastAsia" w:ascii="宋体" w:hAnsi="宋体"/>
          <w:szCs w:val="21"/>
          <w:u w:val="single"/>
        </w:rPr>
        <w:t xml:space="preserve">               </w:t>
      </w:r>
      <w:r>
        <w:rPr>
          <w:rFonts w:hint="eastAsia" w:ascii="宋体" w:hAnsi="宋体"/>
          <w:szCs w:val="21"/>
        </w:rPr>
        <w:t>证书编号：</w:t>
      </w:r>
      <w:r>
        <w:rPr>
          <w:rFonts w:hint="eastAsia" w:ascii="宋体" w:hAnsi="宋体"/>
          <w:szCs w:val="21"/>
          <w:u w:val="single"/>
        </w:rPr>
        <w:t xml:space="preserve">                 </w:t>
      </w:r>
    </w:p>
    <w:p>
      <w:pPr>
        <w:spacing w:line="500" w:lineRule="exact"/>
        <w:ind w:firstLine="420" w:firstLineChars="200"/>
        <w:jc w:val="left"/>
        <w:rPr>
          <w:rFonts w:ascii="宋体" w:hAnsi="宋体"/>
          <w:szCs w:val="21"/>
        </w:rPr>
      </w:pPr>
      <w:r>
        <w:rPr>
          <w:rFonts w:hint="eastAsia" w:ascii="宋体" w:hAnsi="宋体"/>
          <w:szCs w:val="21"/>
        </w:rPr>
        <w:t>专业负责人为履行本合同的权限为</w:t>
      </w:r>
      <w:r>
        <w:rPr>
          <w:rFonts w:hint="eastAsia" w:ascii="宋体" w:hAnsi="宋体"/>
          <w:szCs w:val="21"/>
          <w:u w:val="single"/>
        </w:rPr>
        <w:t xml:space="preserve">                                            </w:t>
      </w:r>
      <w:r>
        <w:rPr>
          <w:rFonts w:hint="eastAsia" w:ascii="宋体" w:hAnsi="宋体"/>
          <w:szCs w:val="21"/>
        </w:rPr>
        <w:t>。</w:t>
      </w:r>
    </w:p>
    <w:p>
      <w:pPr>
        <w:pStyle w:val="37"/>
        <w:spacing w:line="500" w:lineRule="exact"/>
        <w:ind w:firstLine="420" w:firstLineChars="200"/>
        <w:rPr>
          <w:rFonts w:ascii="宋体" w:hAnsi="宋体"/>
          <w:u w:val="single"/>
        </w:rPr>
      </w:pPr>
      <w:r>
        <w:rPr>
          <w:rFonts w:hint="eastAsia" w:ascii="宋体" w:hAnsi="宋体"/>
        </w:rPr>
        <w:t>3.1.3咨询人更换项目咨询团队其他咨询人员的约定：</w:t>
      </w:r>
      <w:r>
        <w:rPr>
          <w:rFonts w:hint="eastAsia" w:ascii="宋体" w:hAnsi="宋体"/>
          <w:u w:val="single"/>
        </w:rPr>
        <w:t xml:space="preserve">                                    </w:t>
      </w:r>
    </w:p>
    <w:p>
      <w:pPr>
        <w:pStyle w:val="37"/>
        <w:spacing w:line="500" w:lineRule="exact"/>
        <w:ind w:firstLine="420" w:firstLineChars="200"/>
        <w:rPr>
          <w:rFonts w:ascii="宋体" w:hAnsi="宋体"/>
        </w:rPr>
      </w:pPr>
      <w:r>
        <w:rPr>
          <w:rFonts w:hint="eastAsia" w:ascii="宋体" w:hAnsi="宋体"/>
          <w:u w:val="single"/>
        </w:rPr>
        <w:t xml:space="preserve">                                                                          </w:t>
      </w:r>
      <w:r>
        <w:rPr>
          <w:rFonts w:hint="eastAsia" w:ascii="宋体" w:hAnsi="宋体"/>
        </w:rPr>
        <w:t>。</w:t>
      </w:r>
    </w:p>
    <w:p>
      <w:pPr>
        <w:spacing w:line="500" w:lineRule="exact"/>
        <w:ind w:firstLine="420" w:firstLineChars="200"/>
        <w:rPr>
          <w:rFonts w:ascii="宋体" w:hAnsi="宋体"/>
          <w:szCs w:val="21"/>
        </w:rPr>
      </w:pPr>
      <w:r>
        <w:rPr>
          <w:rFonts w:hint="eastAsia" w:ascii="宋体" w:hAnsi="宋体"/>
          <w:szCs w:val="21"/>
        </w:rPr>
        <w:t>3.1.4委托人要求更换咨询人员的情形还包括：</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hint="eastAsia"/>
          <w:lang w:val="en-US" w:eastAsia="zh-CN"/>
        </w:rPr>
      </w:pPr>
      <w:bookmarkStart w:id="661" w:name="_Toc8929"/>
      <w:bookmarkStart w:id="662" w:name="_Toc15719"/>
      <w:bookmarkStart w:id="663" w:name="_Toc24567"/>
      <w:bookmarkStart w:id="664" w:name="_Toc25935"/>
      <w:bookmarkStart w:id="665" w:name="_Toc419045110"/>
      <w:bookmarkStart w:id="666" w:name="_Toc22399"/>
      <w:bookmarkStart w:id="667" w:name="_Toc27279"/>
      <w:bookmarkStart w:id="668" w:name="_Toc20144"/>
      <w:bookmarkStart w:id="669" w:name="_Toc422322534"/>
      <w:r>
        <w:rPr>
          <w:rFonts w:hint="eastAsia"/>
          <w:lang w:val="en-US" w:eastAsia="zh-CN"/>
        </w:rPr>
        <w:t>3.2咨询人的工作要求</w:t>
      </w:r>
      <w:bookmarkEnd w:id="661"/>
      <w:bookmarkEnd w:id="662"/>
      <w:bookmarkEnd w:id="663"/>
      <w:bookmarkEnd w:id="664"/>
      <w:bookmarkEnd w:id="665"/>
      <w:bookmarkEnd w:id="666"/>
      <w:bookmarkEnd w:id="667"/>
      <w:bookmarkEnd w:id="668"/>
      <w:bookmarkEnd w:id="669"/>
    </w:p>
    <w:p>
      <w:pPr>
        <w:spacing w:line="500" w:lineRule="exact"/>
        <w:ind w:firstLine="420" w:firstLineChars="200"/>
        <w:rPr>
          <w:rFonts w:ascii="宋体" w:hAnsi="宋体"/>
          <w:szCs w:val="21"/>
        </w:rPr>
      </w:pPr>
      <w:r>
        <w:rPr>
          <w:rFonts w:hint="eastAsia" w:ascii="宋体" w:hAnsi="宋体"/>
          <w:szCs w:val="21"/>
        </w:rPr>
        <w:t>3.2.1咨询人向委托人提供有关资料的时间：</w:t>
      </w:r>
      <w:r>
        <w:rPr>
          <w:rFonts w:hint="eastAsia" w:ascii="宋体" w:hAnsi="宋体"/>
          <w:szCs w:val="21"/>
          <w:u w:val="single"/>
        </w:rPr>
        <w:t xml:space="preserve">                      </w:t>
      </w:r>
      <w:r>
        <w:rPr>
          <w:rFonts w:hint="eastAsia" w:ascii="宋体" w:hAnsi="宋体"/>
          <w:szCs w:val="21"/>
        </w:rPr>
        <w:t>。咨询人向委托人提供的资料还包括：</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ascii="宋体" w:hAnsi="宋体"/>
          <w:szCs w:val="21"/>
        </w:rPr>
      </w:pPr>
      <w:r>
        <w:rPr>
          <w:rFonts w:hint="eastAsia" w:ascii="宋体" w:hAnsi="宋体"/>
          <w:szCs w:val="21"/>
        </w:rPr>
        <w:t>3.2.2咨询人向委托人提供咨询成果文件的名称、组成、时间、份数及质量标准：</w:t>
      </w:r>
      <w:r>
        <w:rPr>
          <w:rFonts w:hint="eastAsia" w:ascii="宋体" w:hAnsi="宋体"/>
          <w:szCs w:val="21"/>
          <w:u w:val="single"/>
        </w:rPr>
        <w:t xml:space="preserve">                                               </w:t>
      </w:r>
      <w:r>
        <w:rPr>
          <w:rFonts w:hint="eastAsia" w:ascii="宋体" w:hAnsi="宋体"/>
          <w:szCs w:val="21"/>
        </w:rPr>
        <w:t>。详见附录B。</w:t>
      </w:r>
    </w:p>
    <w:p>
      <w:pPr>
        <w:spacing w:line="500" w:lineRule="exact"/>
        <w:ind w:firstLine="420" w:firstLineChars="200"/>
        <w:rPr>
          <w:rFonts w:ascii="宋体" w:hAnsi="宋体"/>
          <w:szCs w:val="21"/>
        </w:rPr>
      </w:pPr>
      <w:r>
        <w:rPr>
          <w:rFonts w:hint="eastAsia" w:ascii="宋体" w:hAnsi="宋体"/>
          <w:szCs w:val="21"/>
        </w:rPr>
        <w:t>3.2.4咨询人应在收到委托人以书面形式提出的建议或者异议后</w:t>
      </w:r>
      <w:r>
        <w:rPr>
          <w:rFonts w:hint="eastAsia" w:ascii="宋体" w:hAnsi="宋体"/>
          <w:szCs w:val="21"/>
          <w:u w:val="single"/>
        </w:rPr>
        <w:t xml:space="preserve">      </w:t>
      </w:r>
      <w:r>
        <w:rPr>
          <w:rFonts w:hint="eastAsia" w:ascii="宋体" w:hAnsi="宋体"/>
          <w:szCs w:val="21"/>
        </w:rPr>
        <w:t>日内给予书面答复。</w:t>
      </w:r>
    </w:p>
    <w:p>
      <w:pPr>
        <w:spacing w:line="500" w:lineRule="exact"/>
        <w:ind w:firstLine="420" w:firstLineChars="200"/>
      </w:pPr>
      <w:bookmarkStart w:id="670" w:name="_Toc15593"/>
      <w:bookmarkStart w:id="671" w:name="_Toc2153"/>
      <w:bookmarkStart w:id="672" w:name="_Toc4320"/>
      <w:bookmarkStart w:id="673" w:name="_Toc9984"/>
      <w:bookmarkStart w:id="674" w:name="_Toc31041"/>
      <w:bookmarkStart w:id="675" w:name="_Toc625"/>
      <w:bookmarkStart w:id="676" w:name="_Toc419045111"/>
      <w:bookmarkStart w:id="677" w:name="_Toc422322535"/>
      <w:bookmarkStart w:id="678" w:name="_Toc15865"/>
      <w:r>
        <w:rPr>
          <w:rFonts w:hint="eastAsia"/>
          <w:lang w:val="en-US" w:eastAsia="zh-CN"/>
        </w:rPr>
        <w:t>3.3咨询人的工作依据</w:t>
      </w:r>
      <w:bookmarkEnd w:id="670"/>
      <w:bookmarkEnd w:id="671"/>
      <w:bookmarkEnd w:id="672"/>
      <w:bookmarkEnd w:id="673"/>
      <w:bookmarkEnd w:id="674"/>
      <w:bookmarkEnd w:id="675"/>
      <w:bookmarkEnd w:id="676"/>
      <w:bookmarkEnd w:id="677"/>
      <w:bookmarkEnd w:id="678"/>
      <w:r>
        <w:rPr>
          <w:rFonts w:hint="eastAsia"/>
          <w:lang w:val="en-US" w:eastAsia="zh-CN"/>
        </w:rPr>
        <w:t>经双方协商，本合同约定的造价咨询服务适用的技术标准、规范、定额等工作依据为</w:t>
      </w:r>
      <w:r>
        <w:rPr>
          <w:rFonts w:hint="eastAsia" w:ascii="宋体" w:hAnsi="宋体"/>
          <w:szCs w:val="21"/>
          <w:lang w:val="en-US" w:eastAsia="zh-CN"/>
        </w:rPr>
        <w:t>：</w:t>
      </w:r>
      <w:bookmarkStart w:id="679" w:name="_Toc27435"/>
      <w:bookmarkStart w:id="680" w:name="_Toc8821"/>
      <w:bookmarkStart w:id="681" w:name="_Toc422322536"/>
      <w:bookmarkStart w:id="682" w:name="_Toc28441"/>
      <w:bookmarkStart w:id="683" w:name="_Toc2773"/>
      <w:bookmarkStart w:id="684" w:name="_Toc20502"/>
      <w:bookmarkStart w:id="685" w:name="_Toc1400"/>
      <w:bookmarkStart w:id="686" w:name="_Toc419045112"/>
      <w:bookmarkStart w:id="687" w:name="_Toc30380"/>
      <w:r>
        <w:rPr>
          <w:rFonts w:hint="eastAsia"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ascii="宋体" w:hAnsi="宋体"/>
          <w:szCs w:val="21"/>
        </w:rPr>
      </w:pPr>
      <w:r>
        <w:rPr>
          <w:rFonts w:ascii="宋体" w:hAnsi="宋体"/>
          <w:szCs w:val="21"/>
        </w:rPr>
        <w:t>3.4</w:t>
      </w:r>
      <w:r>
        <w:rPr>
          <w:rFonts w:hint="eastAsia" w:ascii="宋体" w:hAnsi="宋体"/>
          <w:szCs w:val="21"/>
        </w:rPr>
        <w:t>使用委托人房屋及设备的返还</w:t>
      </w:r>
      <w:bookmarkEnd w:id="679"/>
      <w:bookmarkEnd w:id="680"/>
      <w:bookmarkEnd w:id="681"/>
      <w:bookmarkEnd w:id="682"/>
      <w:bookmarkEnd w:id="683"/>
      <w:bookmarkEnd w:id="684"/>
      <w:bookmarkEnd w:id="685"/>
      <w:bookmarkEnd w:id="686"/>
      <w:bookmarkEnd w:id="687"/>
      <w:r>
        <w:rPr>
          <w:rFonts w:hint="eastAsia" w:ascii="宋体" w:hAnsi="宋体"/>
          <w:szCs w:val="21"/>
        </w:rPr>
        <w:t>咨询人应在本合同终止后</w:t>
      </w:r>
      <w:r>
        <w:rPr>
          <w:rFonts w:ascii="宋体" w:hAnsi="宋体"/>
          <w:szCs w:val="21"/>
          <w:u w:val="single"/>
        </w:rPr>
        <w:t xml:space="preserve">     </w:t>
      </w:r>
      <w:r>
        <w:rPr>
          <w:rFonts w:hint="eastAsia" w:ascii="宋体" w:hAnsi="宋体"/>
          <w:szCs w:val="21"/>
        </w:rPr>
        <w:t>日内移交委托人提供的房屋及设备，移交的方式为：</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500" w:lineRule="exact"/>
        <w:ind w:firstLine="422" w:firstLineChars="200"/>
        <w:rPr>
          <w:rFonts w:hint="eastAsia" w:ascii="宋体" w:hAnsi="宋体" w:eastAsia="宋体" w:cs="Arial"/>
          <w:b/>
          <w:bCs/>
          <w:kern w:val="24"/>
          <w:sz w:val="21"/>
          <w:szCs w:val="21"/>
          <w:lang w:val="en-US" w:eastAsia="zh-CN" w:bidi="ar-SA"/>
        </w:rPr>
      </w:pPr>
      <w:bookmarkStart w:id="688" w:name="_Toc1929"/>
      <w:bookmarkStart w:id="689" w:name="_Toc422322537"/>
      <w:bookmarkStart w:id="690" w:name="_Toc13211"/>
      <w:bookmarkStart w:id="691" w:name="_Toc28180"/>
      <w:bookmarkStart w:id="692" w:name="_Toc5344"/>
      <w:bookmarkStart w:id="693" w:name="_Toc419045113"/>
      <w:bookmarkStart w:id="694" w:name="_Toc7241"/>
      <w:bookmarkStart w:id="695" w:name="_Toc29678"/>
      <w:bookmarkStart w:id="696" w:name="_Toc18540"/>
      <w:r>
        <w:rPr>
          <w:rFonts w:hint="eastAsia" w:ascii="宋体" w:hAnsi="宋体" w:eastAsia="宋体" w:cs="Arial"/>
          <w:b/>
          <w:bCs/>
          <w:kern w:val="24"/>
          <w:sz w:val="21"/>
          <w:szCs w:val="21"/>
          <w:lang w:val="en-US" w:eastAsia="zh-CN" w:bidi="ar-SA"/>
        </w:rPr>
        <w:t>4. 违约责任</w:t>
      </w:r>
      <w:bookmarkEnd w:id="688"/>
      <w:bookmarkEnd w:id="689"/>
      <w:bookmarkEnd w:id="690"/>
      <w:bookmarkEnd w:id="691"/>
      <w:bookmarkEnd w:id="692"/>
      <w:bookmarkEnd w:id="693"/>
      <w:bookmarkEnd w:id="694"/>
      <w:bookmarkEnd w:id="695"/>
      <w:bookmarkEnd w:id="696"/>
    </w:p>
    <w:p>
      <w:pPr>
        <w:spacing w:line="500" w:lineRule="exact"/>
        <w:ind w:firstLine="420" w:firstLineChars="200"/>
        <w:rPr>
          <w:rFonts w:hint="eastAsia"/>
          <w:lang w:val="en-US" w:eastAsia="zh-CN"/>
        </w:rPr>
      </w:pPr>
      <w:bookmarkStart w:id="697" w:name="_Toc1421"/>
      <w:bookmarkStart w:id="698" w:name="_Toc27534"/>
      <w:bookmarkStart w:id="699" w:name="_Toc29714"/>
      <w:bookmarkStart w:id="700" w:name="_Toc10353"/>
      <w:bookmarkStart w:id="701" w:name="_Toc86668251"/>
      <w:bookmarkStart w:id="702" w:name="_Toc5576"/>
      <w:bookmarkStart w:id="703" w:name="_Toc422322538"/>
      <w:bookmarkStart w:id="704" w:name="_Toc86667693"/>
      <w:bookmarkStart w:id="705" w:name="_Toc15006"/>
      <w:bookmarkStart w:id="706" w:name="_Toc542"/>
      <w:r>
        <w:rPr>
          <w:rFonts w:hint="eastAsia"/>
          <w:lang w:val="en-US" w:eastAsia="zh-CN"/>
        </w:rPr>
        <w:t>4.1委托人的违约责任</w:t>
      </w:r>
      <w:bookmarkEnd w:id="697"/>
      <w:bookmarkEnd w:id="698"/>
      <w:bookmarkEnd w:id="699"/>
      <w:bookmarkEnd w:id="700"/>
      <w:bookmarkEnd w:id="701"/>
      <w:bookmarkEnd w:id="702"/>
      <w:bookmarkEnd w:id="703"/>
      <w:bookmarkEnd w:id="704"/>
      <w:bookmarkEnd w:id="705"/>
      <w:bookmarkEnd w:id="706"/>
    </w:p>
    <w:p>
      <w:pPr>
        <w:spacing w:line="500" w:lineRule="exact"/>
        <w:ind w:firstLine="420" w:firstLineChars="200"/>
        <w:rPr>
          <w:rFonts w:ascii="宋体" w:hAnsi="宋体"/>
          <w:szCs w:val="21"/>
        </w:rPr>
      </w:pPr>
      <w:r>
        <w:rPr>
          <w:rFonts w:hint="eastAsia" w:ascii="宋体" w:hAnsi="宋体"/>
          <w:szCs w:val="21"/>
        </w:rPr>
        <w:t>4.1.1委托人违约金的计算及支付方法：</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ascii="宋体" w:hAnsi="宋体"/>
          <w:szCs w:val="21"/>
        </w:rPr>
      </w:pPr>
      <w:r>
        <w:rPr>
          <w:rFonts w:hint="eastAsia" w:ascii="宋体" w:hAnsi="宋体"/>
          <w:szCs w:val="21"/>
        </w:rPr>
        <w:t>4.1.2委托人赔偿金额按下列方法确定并支付：</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ascii="宋体" w:hAnsi="宋体"/>
          <w:szCs w:val="21"/>
        </w:rPr>
      </w:pPr>
      <w:r>
        <w:rPr>
          <w:rFonts w:hint="eastAsia" w:ascii="宋体" w:hAnsi="宋体"/>
          <w:szCs w:val="21"/>
        </w:rPr>
        <w:t>4.1.3 委托人逾期付款利息按下列方法计算并支付：</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hint="eastAsia"/>
          <w:lang w:val="en-US" w:eastAsia="zh-CN"/>
        </w:rPr>
      </w:pPr>
      <w:bookmarkStart w:id="707" w:name="_Toc14085"/>
      <w:bookmarkStart w:id="708" w:name="_Toc18901"/>
      <w:bookmarkStart w:id="709" w:name="_Toc422322539"/>
      <w:bookmarkStart w:id="710" w:name="_Toc30257"/>
      <w:bookmarkStart w:id="711" w:name="_Toc4541"/>
      <w:bookmarkStart w:id="712" w:name="_Toc24925"/>
      <w:bookmarkStart w:id="713" w:name="_Toc12373"/>
      <w:bookmarkStart w:id="714" w:name="_Toc21695"/>
      <w:bookmarkStart w:id="715" w:name="_Toc419045114"/>
      <w:r>
        <w:rPr>
          <w:rFonts w:hint="eastAsia"/>
          <w:lang w:val="en-US" w:eastAsia="zh-CN"/>
        </w:rPr>
        <w:t>4.2咨询人的违约责任</w:t>
      </w:r>
      <w:bookmarkEnd w:id="707"/>
      <w:bookmarkEnd w:id="708"/>
      <w:bookmarkEnd w:id="709"/>
      <w:bookmarkEnd w:id="710"/>
      <w:bookmarkEnd w:id="711"/>
      <w:bookmarkEnd w:id="712"/>
      <w:bookmarkEnd w:id="713"/>
      <w:bookmarkEnd w:id="714"/>
    </w:p>
    <w:bookmarkEnd w:id="715"/>
    <w:p>
      <w:pPr>
        <w:spacing w:line="500" w:lineRule="exact"/>
        <w:ind w:firstLine="420" w:firstLineChars="200"/>
        <w:rPr>
          <w:rFonts w:ascii="宋体" w:hAnsi="宋体"/>
          <w:szCs w:val="21"/>
        </w:rPr>
      </w:pPr>
      <w:r>
        <w:rPr>
          <w:rFonts w:hint="eastAsia" w:ascii="宋体" w:hAnsi="宋体"/>
          <w:szCs w:val="21"/>
        </w:rPr>
        <w:t>4.2.1咨询人违约金的计算及支付方法：</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ascii="宋体" w:hAnsi="宋体"/>
          <w:szCs w:val="21"/>
        </w:rPr>
      </w:pPr>
      <w:r>
        <w:rPr>
          <w:rFonts w:hint="eastAsia" w:ascii="宋体" w:hAnsi="宋体"/>
          <w:szCs w:val="21"/>
        </w:rPr>
        <w:t>4.2.2 咨询人赔偿金额按下列方法确定并支付：</w:t>
      </w:r>
      <w:r>
        <w:rPr>
          <w:rFonts w:hint="eastAsia" w:ascii="宋体" w:hAnsi="宋体"/>
          <w:szCs w:val="21"/>
          <w:u w:val="single"/>
        </w:rPr>
        <w:t xml:space="preserve">                                </w:t>
      </w:r>
      <w:r>
        <w:rPr>
          <w:rFonts w:hint="eastAsia" w:ascii="宋体" w:hAnsi="宋体"/>
          <w:szCs w:val="21"/>
        </w:rPr>
        <w:t>。</w:t>
      </w:r>
    </w:p>
    <w:p>
      <w:pPr>
        <w:spacing w:line="500" w:lineRule="exact"/>
        <w:ind w:firstLine="422" w:firstLineChars="200"/>
        <w:rPr>
          <w:rFonts w:hint="eastAsia" w:ascii="宋体" w:hAnsi="宋体" w:eastAsia="宋体" w:cs="Arial"/>
          <w:b/>
          <w:bCs/>
          <w:kern w:val="24"/>
          <w:sz w:val="21"/>
          <w:szCs w:val="21"/>
          <w:lang w:val="en-US" w:eastAsia="zh-CN" w:bidi="ar-SA"/>
        </w:rPr>
      </w:pPr>
      <w:bookmarkStart w:id="716" w:name="_Toc11950"/>
      <w:bookmarkStart w:id="717" w:name="_Toc419045115"/>
      <w:bookmarkStart w:id="718" w:name="_Toc27802"/>
      <w:bookmarkStart w:id="719" w:name="_Toc5713"/>
      <w:bookmarkStart w:id="720" w:name="_Toc8108"/>
      <w:bookmarkStart w:id="721" w:name="_Toc9882"/>
      <w:bookmarkStart w:id="722" w:name="_Toc14181"/>
      <w:bookmarkStart w:id="723" w:name="_Toc10906"/>
      <w:bookmarkStart w:id="724" w:name="_Toc422322540"/>
      <w:r>
        <w:rPr>
          <w:rFonts w:hint="eastAsia" w:ascii="宋体" w:hAnsi="宋体" w:eastAsia="宋体" w:cs="Arial"/>
          <w:b/>
          <w:bCs/>
          <w:kern w:val="24"/>
          <w:sz w:val="21"/>
          <w:szCs w:val="21"/>
          <w:lang w:val="en-US" w:eastAsia="zh-CN" w:bidi="ar-SA"/>
        </w:rPr>
        <w:t>5. 支付</w:t>
      </w:r>
      <w:bookmarkEnd w:id="716"/>
      <w:bookmarkEnd w:id="717"/>
      <w:bookmarkEnd w:id="718"/>
      <w:bookmarkEnd w:id="719"/>
      <w:bookmarkEnd w:id="720"/>
      <w:bookmarkEnd w:id="721"/>
      <w:bookmarkEnd w:id="722"/>
      <w:bookmarkEnd w:id="723"/>
      <w:bookmarkEnd w:id="724"/>
    </w:p>
    <w:p>
      <w:pPr>
        <w:spacing w:line="500" w:lineRule="exact"/>
        <w:ind w:firstLine="420" w:firstLineChars="200"/>
        <w:rPr>
          <w:rFonts w:hint="eastAsia"/>
          <w:lang w:val="en-US" w:eastAsia="zh-CN"/>
        </w:rPr>
      </w:pPr>
      <w:bookmarkStart w:id="725" w:name="_Toc86668252"/>
      <w:bookmarkStart w:id="726" w:name="_Toc86667694"/>
      <w:bookmarkStart w:id="727" w:name="_Toc422322541"/>
      <w:bookmarkStart w:id="728" w:name="_Toc419045116"/>
      <w:bookmarkStart w:id="729" w:name="_Toc13611"/>
      <w:bookmarkStart w:id="730" w:name="_Toc13350"/>
      <w:bookmarkStart w:id="731" w:name="_Toc22612"/>
      <w:bookmarkStart w:id="732" w:name="_Toc19861"/>
      <w:bookmarkStart w:id="733" w:name="_Toc24081"/>
      <w:bookmarkStart w:id="734" w:name="_Toc19854"/>
      <w:bookmarkStart w:id="735" w:name="_Toc23089"/>
      <w:r>
        <w:rPr>
          <w:rFonts w:hint="eastAsia"/>
          <w:lang w:val="en-US" w:eastAsia="zh-CN"/>
        </w:rPr>
        <w:t>5.1支付货币</w:t>
      </w:r>
      <w:bookmarkEnd w:id="725"/>
      <w:bookmarkEnd w:id="726"/>
      <w:bookmarkEnd w:id="727"/>
      <w:bookmarkEnd w:id="728"/>
    </w:p>
    <w:bookmarkEnd w:id="729"/>
    <w:bookmarkEnd w:id="730"/>
    <w:bookmarkEnd w:id="731"/>
    <w:bookmarkEnd w:id="732"/>
    <w:bookmarkEnd w:id="733"/>
    <w:bookmarkEnd w:id="734"/>
    <w:bookmarkEnd w:id="735"/>
    <w:p>
      <w:pPr>
        <w:spacing w:line="500" w:lineRule="exact"/>
        <w:ind w:firstLine="420" w:firstLineChars="200"/>
        <w:rPr>
          <w:rFonts w:ascii="宋体" w:hAnsi="宋体"/>
          <w:szCs w:val="21"/>
        </w:rPr>
      </w:pPr>
      <w:r>
        <w:rPr>
          <w:rFonts w:hint="eastAsia" w:ascii="宋体" w:hAnsi="宋体"/>
          <w:szCs w:val="21"/>
        </w:rPr>
        <w:t>币种为：</w:t>
      </w:r>
      <w:r>
        <w:rPr>
          <w:rFonts w:hint="eastAsia" w:ascii="宋体" w:hAnsi="宋体"/>
          <w:szCs w:val="21"/>
          <w:u w:val="single"/>
        </w:rPr>
        <w:t xml:space="preserve">  人民币  </w:t>
      </w:r>
      <w:r>
        <w:rPr>
          <w:rFonts w:hint="eastAsia" w:ascii="宋体" w:hAnsi="宋体"/>
          <w:szCs w:val="21"/>
        </w:rPr>
        <w:t>，汇率为：</w:t>
      </w:r>
      <w:r>
        <w:rPr>
          <w:rFonts w:hint="eastAsia" w:ascii="宋体" w:hAnsi="宋体"/>
          <w:szCs w:val="21"/>
          <w:u w:val="single"/>
        </w:rPr>
        <w:t xml:space="preserve">     /      </w:t>
      </w:r>
      <w:r>
        <w:rPr>
          <w:rFonts w:hint="eastAsia" w:ascii="宋体" w:hAnsi="宋体"/>
          <w:szCs w:val="21"/>
        </w:rPr>
        <w:t>，其他约定：</w:t>
      </w:r>
      <w:r>
        <w:rPr>
          <w:rFonts w:hint="eastAsia" w:ascii="宋体" w:hAnsi="宋体"/>
          <w:szCs w:val="21"/>
          <w:u w:val="single"/>
        </w:rPr>
        <w:t xml:space="preserve">    /      </w:t>
      </w:r>
      <w:r>
        <w:rPr>
          <w:rFonts w:hint="eastAsia" w:ascii="宋体" w:hAnsi="宋体"/>
          <w:szCs w:val="21"/>
        </w:rPr>
        <w:t>。</w:t>
      </w:r>
    </w:p>
    <w:p>
      <w:pPr>
        <w:spacing w:line="500" w:lineRule="exact"/>
        <w:ind w:firstLine="420" w:firstLineChars="200"/>
        <w:rPr>
          <w:rFonts w:hint="eastAsia"/>
          <w:lang w:val="en-US" w:eastAsia="zh-CN"/>
        </w:rPr>
      </w:pPr>
      <w:bookmarkStart w:id="736" w:name="_Toc86667695"/>
      <w:bookmarkStart w:id="737" w:name="_Toc419045117"/>
      <w:bookmarkStart w:id="738" w:name="_Toc422322542"/>
      <w:bookmarkStart w:id="739" w:name="_Toc86668253"/>
      <w:bookmarkStart w:id="740" w:name="_Toc5271"/>
      <w:bookmarkStart w:id="741" w:name="_Toc21878"/>
      <w:bookmarkStart w:id="742" w:name="_Toc28309"/>
      <w:bookmarkStart w:id="743" w:name="_Toc17975"/>
      <w:bookmarkStart w:id="744" w:name="_Toc25678"/>
      <w:bookmarkStart w:id="745" w:name="_Toc6984"/>
      <w:bookmarkStart w:id="746" w:name="_Toc25365"/>
      <w:r>
        <w:rPr>
          <w:rFonts w:hint="eastAsia"/>
          <w:lang w:val="en-US" w:eastAsia="zh-CN"/>
        </w:rPr>
        <w:t>5.2 支付申请</w:t>
      </w:r>
      <w:bookmarkEnd w:id="736"/>
      <w:bookmarkEnd w:id="737"/>
      <w:bookmarkEnd w:id="738"/>
      <w:bookmarkEnd w:id="739"/>
    </w:p>
    <w:bookmarkEnd w:id="740"/>
    <w:bookmarkEnd w:id="741"/>
    <w:bookmarkEnd w:id="742"/>
    <w:bookmarkEnd w:id="743"/>
    <w:bookmarkEnd w:id="744"/>
    <w:bookmarkEnd w:id="745"/>
    <w:bookmarkEnd w:id="746"/>
    <w:p>
      <w:pPr>
        <w:spacing w:line="500" w:lineRule="exact"/>
        <w:ind w:firstLine="420" w:firstLineChars="200"/>
        <w:rPr>
          <w:rFonts w:ascii="宋体" w:hAnsi="宋体"/>
          <w:szCs w:val="21"/>
        </w:rPr>
      </w:pPr>
      <w:r>
        <w:rPr>
          <w:rFonts w:hint="eastAsia" w:ascii="宋体" w:hAnsi="宋体"/>
          <w:szCs w:val="21"/>
        </w:rPr>
        <w:t>咨询</w:t>
      </w:r>
      <w:r>
        <w:rPr>
          <w:rFonts w:ascii="宋体" w:hAnsi="宋体"/>
          <w:szCs w:val="21"/>
        </w:rPr>
        <w:t>人应在本合同约定的每次应付款</w:t>
      </w:r>
      <w:r>
        <w:rPr>
          <w:rFonts w:hint="eastAsia" w:ascii="宋体" w:hAnsi="宋体"/>
          <w:szCs w:val="21"/>
        </w:rPr>
        <w:t>日期_____日前</w:t>
      </w:r>
      <w:r>
        <w:rPr>
          <w:rFonts w:ascii="宋体" w:hAnsi="宋体"/>
          <w:szCs w:val="21"/>
        </w:rPr>
        <w:t>，向委托人提交支付申请书。</w:t>
      </w:r>
    </w:p>
    <w:p>
      <w:pPr>
        <w:spacing w:line="500" w:lineRule="exact"/>
        <w:ind w:firstLine="420" w:firstLineChars="200"/>
        <w:rPr>
          <w:rFonts w:hint="eastAsia"/>
          <w:lang w:val="en-US" w:eastAsia="zh-CN"/>
        </w:rPr>
      </w:pPr>
      <w:bookmarkStart w:id="747" w:name="_Toc422322543"/>
      <w:bookmarkStart w:id="748" w:name="_Toc419045118"/>
      <w:bookmarkStart w:id="749" w:name="_Toc86667696"/>
      <w:bookmarkStart w:id="750" w:name="_Toc86668254"/>
      <w:bookmarkStart w:id="751" w:name="_Toc17694"/>
      <w:bookmarkStart w:id="752" w:name="_Toc21447"/>
      <w:bookmarkStart w:id="753" w:name="_Toc18643"/>
      <w:bookmarkStart w:id="754" w:name="_Toc17144"/>
      <w:bookmarkStart w:id="755" w:name="_Toc8391"/>
      <w:bookmarkStart w:id="756" w:name="_Toc22470"/>
      <w:bookmarkStart w:id="757" w:name="_Toc2651"/>
      <w:r>
        <w:rPr>
          <w:rFonts w:hint="eastAsia"/>
          <w:lang w:val="en-US" w:eastAsia="zh-CN"/>
        </w:rPr>
        <w:t>5.3支付酬金</w:t>
      </w:r>
      <w:bookmarkEnd w:id="747"/>
      <w:bookmarkEnd w:id="748"/>
      <w:bookmarkEnd w:id="749"/>
      <w:bookmarkEnd w:id="750"/>
    </w:p>
    <w:bookmarkEnd w:id="751"/>
    <w:bookmarkEnd w:id="752"/>
    <w:bookmarkEnd w:id="753"/>
    <w:bookmarkEnd w:id="754"/>
    <w:bookmarkEnd w:id="755"/>
    <w:bookmarkEnd w:id="756"/>
    <w:bookmarkEnd w:id="757"/>
    <w:p>
      <w:pPr>
        <w:spacing w:line="500" w:lineRule="exact"/>
        <w:ind w:firstLine="420" w:firstLineChars="200"/>
        <w:rPr>
          <w:rFonts w:ascii="宋体" w:hAnsi="宋体"/>
          <w:szCs w:val="21"/>
        </w:rPr>
      </w:pPr>
      <w:r>
        <w:rPr>
          <w:rFonts w:hint="eastAsia" w:ascii="宋体" w:hAnsi="宋体"/>
          <w:szCs w:val="21"/>
        </w:rPr>
        <w:t>正常工作酬金的支付：</w:t>
      </w:r>
      <w:r>
        <w:rPr>
          <w:rFonts w:hint="eastAsia" w:ascii="宋体" w:hAnsi="宋体" w:cs="宋体"/>
          <w:szCs w:val="21"/>
        </w:rPr>
        <w:t>由甲乙双方按实际项目进度情况约定支付，不得超过初步设计批复文件中造价咨询概算金额×中标下浮率。</w:t>
      </w:r>
    </w:p>
    <w:tbl>
      <w:tblPr>
        <w:tblStyle w:val="22"/>
        <w:tblW w:w="0" w:type="auto"/>
        <w:jc w:val="center"/>
        <w:tblLayout w:type="fixed"/>
        <w:tblCellMar>
          <w:top w:w="0" w:type="dxa"/>
          <w:left w:w="0" w:type="dxa"/>
          <w:bottom w:w="0" w:type="dxa"/>
          <w:right w:w="0" w:type="dxa"/>
        </w:tblCellMar>
      </w:tblPr>
      <w:tblGrid>
        <w:gridCol w:w="1846"/>
        <w:gridCol w:w="1742"/>
        <w:gridCol w:w="2112"/>
        <w:gridCol w:w="2455"/>
      </w:tblGrid>
      <w:tr>
        <w:tblPrEx>
          <w:tblCellMar>
            <w:top w:w="0" w:type="dxa"/>
            <w:left w:w="0" w:type="dxa"/>
            <w:bottom w:w="0" w:type="dxa"/>
            <w:right w:w="0" w:type="dxa"/>
          </w:tblCellMar>
        </w:tblPrEx>
        <w:trPr>
          <w:jc w:val="center"/>
        </w:trPr>
        <w:tc>
          <w:tcPr>
            <w:tcW w:w="1846" w:type="dxa"/>
            <w:tcBorders>
              <w:top w:val="inset" w:color="000000" w:sz="6" w:space="0"/>
              <w:left w:val="inset" w:color="000000" w:sz="6" w:space="0"/>
              <w:bottom w:val="inset" w:color="000000" w:sz="6" w:space="0"/>
              <w:right w:val="inset" w:color="000000" w:sz="6" w:space="0"/>
            </w:tcBorders>
            <w:vAlign w:val="center"/>
          </w:tcPr>
          <w:p>
            <w:pPr>
              <w:spacing w:line="500" w:lineRule="exact"/>
              <w:ind w:left="368" w:hanging="367" w:hangingChars="175"/>
              <w:rPr>
                <w:rFonts w:ascii="宋体" w:hAnsi="宋体"/>
                <w:szCs w:val="21"/>
              </w:rPr>
            </w:pPr>
            <w:r>
              <w:rPr>
                <w:rFonts w:hint="eastAsia" w:ascii="宋体" w:hAnsi="宋体"/>
                <w:szCs w:val="21"/>
              </w:rPr>
              <w:t>支付次数</w:t>
            </w:r>
          </w:p>
        </w:tc>
        <w:tc>
          <w:tcPr>
            <w:tcW w:w="1742"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r>
              <w:rPr>
                <w:rFonts w:hint="eastAsia" w:ascii="宋体" w:hAnsi="宋体"/>
                <w:szCs w:val="21"/>
              </w:rPr>
              <w:t>支付时间</w:t>
            </w:r>
          </w:p>
        </w:tc>
        <w:tc>
          <w:tcPr>
            <w:tcW w:w="2112"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r>
              <w:rPr>
                <w:rFonts w:hint="eastAsia" w:ascii="宋体" w:hAnsi="宋体"/>
                <w:szCs w:val="21"/>
              </w:rPr>
              <w:t>支付比例</w:t>
            </w:r>
          </w:p>
        </w:tc>
        <w:tc>
          <w:tcPr>
            <w:tcW w:w="2455"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r>
              <w:rPr>
                <w:rFonts w:hint="eastAsia" w:ascii="宋体" w:hAnsi="宋体"/>
                <w:szCs w:val="21"/>
              </w:rPr>
              <w:t>支付金额（万元）</w:t>
            </w:r>
          </w:p>
        </w:tc>
      </w:tr>
      <w:tr>
        <w:tblPrEx>
          <w:tblCellMar>
            <w:top w:w="0" w:type="dxa"/>
            <w:left w:w="0" w:type="dxa"/>
            <w:bottom w:w="0" w:type="dxa"/>
            <w:right w:w="0" w:type="dxa"/>
          </w:tblCellMar>
        </w:tblPrEx>
        <w:trPr>
          <w:jc w:val="center"/>
        </w:trPr>
        <w:tc>
          <w:tcPr>
            <w:tcW w:w="1846" w:type="dxa"/>
            <w:tcBorders>
              <w:top w:val="inset" w:color="000000" w:sz="6" w:space="0"/>
              <w:left w:val="inset" w:color="000000" w:sz="6"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c>
          <w:tcPr>
            <w:tcW w:w="1742"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c>
          <w:tcPr>
            <w:tcW w:w="2112"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c>
          <w:tcPr>
            <w:tcW w:w="2455"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r>
      <w:tr>
        <w:tblPrEx>
          <w:tblCellMar>
            <w:top w:w="0" w:type="dxa"/>
            <w:left w:w="0" w:type="dxa"/>
            <w:bottom w:w="0" w:type="dxa"/>
            <w:right w:w="0" w:type="dxa"/>
          </w:tblCellMar>
        </w:tblPrEx>
        <w:trPr>
          <w:jc w:val="center"/>
        </w:trPr>
        <w:tc>
          <w:tcPr>
            <w:tcW w:w="1846" w:type="dxa"/>
            <w:tcBorders>
              <w:top w:val="inset" w:color="000000" w:sz="6" w:space="0"/>
              <w:left w:val="inset" w:color="000000" w:sz="6"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c>
          <w:tcPr>
            <w:tcW w:w="1742"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c>
          <w:tcPr>
            <w:tcW w:w="2112"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c>
          <w:tcPr>
            <w:tcW w:w="2455"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r>
      <w:tr>
        <w:tblPrEx>
          <w:tblCellMar>
            <w:top w:w="0" w:type="dxa"/>
            <w:left w:w="0" w:type="dxa"/>
            <w:bottom w:w="0" w:type="dxa"/>
            <w:right w:w="0" w:type="dxa"/>
          </w:tblCellMar>
        </w:tblPrEx>
        <w:trPr>
          <w:jc w:val="center"/>
        </w:trPr>
        <w:tc>
          <w:tcPr>
            <w:tcW w:w="1846" w:type="dxa"/>
            <w:tcBorders>
              <w:top w:val="inset" w:color="000000" w:sz="6" w:space="0"/>
              <w:left w:val="inset" w:color="000000" w:sz="6"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c>
          <w:tcPr>
            <w:tcW w:w="1742"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c>
          <w:tcPr>
            <w:tcW w:w="2112"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c>
          <w:tcPr>
            <w:tcW w:w="2455"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r>
    </w:tbl>
    <w:p>
      <w:pPr>
        <w:spacing w:line="500" w:lineRule="exact"/>
        <w:ind w:firstLine="422" w:firstLineChars="200"/>
        <w:rPr>
          <w:rFonts w:hint="eastAsia" w:ascii="宋体" w:hAnsi="宋体" w:eastAsia="宋体" w:cs="Arial"/>
          <w:b/>
          <w:bCs/>
          <w:kern w:val="24"/>
          <w:sz w:val="21"/>
          <w:szCs w:val="21"/>
          <w:lang w:val="en-US" w:eastAsia="zh-CN" w:bidi="ar-SA"/>
        </w:rPr>
      </w:pPr>
      <w:bookmarkStart w:id="758" w:name="_Toc17020"/>
      <w:bookmarkStart w:id="759" w:name="_Toc422322544"/>
      <w:bookmarkStart w:id="760" w:name="_Toc5715"/>
      <w:bookmarkStart w:id="761" w:name="_Toc3198"/>
      <w:bookmarkStart w:id="762" w:name="_Toc25966"/>
      <w:bookmarkStart w:id="763" w:name="_Toc13289"/>
      <w:bookmarkStart w:id="764" w:name="_Toc26513"/>
      <w:bookmarkStart w:id="765" w:name="_Toc24747"/>
      <w:bookmarkStart w:id="766" w:name="_Toc419045119"/>
      <w:r>
        <w:rPr>
          <w:rFonts w:hint="eastAsia" w:ascii="宋体" w:hAnsi="宋体" w:eastAsia="宋体" w:cs="Arial"/>
          <w:b/>
          <w:bCs/>
          <w:kern w:val="24"/>
          <w:sz w:val="21"/>
          <w:szCs w:val="21"/>
          <w:lang w:val="en-US" w:eastAsia="zh-CN" w:bidi="ar-SA"/>
        </w:rPr>
        <w:t>6. 合同变更、解除与终止</w:t>
      </w:r>
      <w:bookmarkEnd w:id="758"/>
      <w:bookmarkEnd w:id="759"/>
      <w:bookmarkEnd w:id="760"/>
      <w:bookmarkEnd w:id="761"/>
      <w:bookmarkEnd w:id="762"/>
      <w:bookmarkEnd w:id="763"/>
      <w:bookmarkEnd w:id="764"/>
      <w:bookmarkEnd w:id="765"/>
      <w:bookmarkEnd w:id="766"/>
    </w:p>
    <w:p>
      <w:pPr>
        <w:spacing w:line="500" w:lineRule="exact"/>
        <w:ind w:firstLine="420" w:firstLineChars="200"/>
        <w:rPr>
          <w:rFonts w:hint="eastAsia" w:eastAsiaTheme="minorEastAsia"/>
          <w:lang w:val="en-US" w:eastAsia="zh-CN"/>
        </w:rPr>
      </w:pPr>
      <w:bookmarkStart w:id="767" w:name="_Toc10817"/>
      <w:bookmarkStart w:id="768" w:name="_Toc22281"/>
      <w:bookmarkStart w:id="769" w:name="_Toc24566"/>
      <w:bookmarkStart w:id="770" w:name="_Toc86667697"/>
      <w:bookmarkStart w:id="771" w:name="_Toc30742"/>
      <w:bookmarkStart w:id="772" w:name="_Toc25476"/>
      <w:bookmarkStart w:id="773" w:name="_Toc29919"/>
      <w:bookmarkStart w:id="774" w:name="_Toc419045120"/>
      <w:bookmarkStart w:id="775" w:name="_Toc86668255"/>
      <w:bookmarkStart w:id="776" w:name="_Toc18079"/>
      <w:bookmarkStart w:id="777" w:name="_Toc422322545"/>
      <w:r>
        <w:rPr>
          <w:rFonts w:hint="eastAsia"/>
          <w:lang w:val="en-US" w:eastAsia="zh-CN"/>
        </w:rPr>
        <w:t>6.1合同变更</w:t>
      </w:r>
      <w:bookmarkEnd w:id="767"/>
      <w:bookmarkEnd w:id="768"/>
      <w:bookmarkEnd w:id="769"/>
      <w:bookmarkEnd w:id="770"/>
      <w:bookmarkEnd w:id="771"/>
      <w:bookmarkEnd w:id="772"/>
      <w:bookmarkEnd w:id="773"/>
      <w:bookmarkEnd w:id="774"/>
      <w:bookmarkEnd w:id="775"/>
      <w:bookmarkEnd w:id="776"/>
      <w:bookmarkEnd w:id="777"/>
    </w:p>
    <w:p>
      <w:pPr>
        <w:spacing w:line="500" w:lineRule="exact"/>
        <w:ind w:firstLine="420" w:firstLineChars="200"/>
        <w:rPr>
          <w:rFonts w:hint="eastAsia" w:ascii="宋体" w:hAnsi="宋体" w:eastAsiaTheme="minorEastAsia"/>
          <w:szCs w:val="21"/>
          <w:lang w:eastAsia="zh-CN"/>
        </w:rPr>
      </w:pPr>
      <w:r>
        <w:rPr>
          <w:rFonts w:hint="eastAsia" w:ascii="宋体" w:hAnsi="宋体"/>
          <w:szCs w:val="21"/>
        </w:rPr>
        <w:t xml:space="preserve">    6.1.2 除不可抗力外，因非咨询人原因导致本合同履行期限延长、内容增加时，附加工作酬金按下列方法确定：</w:t>
      </w:r>
      <w:r>
        <w:rPr>
          <w:rFonts w:hint="eastAsia" w:ascii="宋体" w:hAnsi="宋体"/>
          <w:szCs w:val="21"/>
          <w:u w:val="single"/>
        </w:rPr>
        <w:t xml:space="preserve">                                                        </w:t>
      </w:r>
      <w:r>
        <w:rPr>
          <w:rFonts w:hint="eastAsia" w:ascii="宋体" w:hAnsi="宋体"/>
          <w:szCs w:val="21"/>
        </w:rPr>
        <w:t xml:space="preserve">。 </w:t>
      </w:r>
    </w:p>
    <w:p>
      <w:pPr>
        <w:spacing w:line="500" w:lineRule="exact"/>
        <w:ind w:firstLine="420" w:firstLineChars="200"/>
        <w:rPr>
          <w:rStyle w:val="40"/>
          <w:rFonts w:ascii="宋体" w:hAnsi="宋体"/>
          <w:b w:val="0"/>
          <w:szCs w:val="21"/>
        </w:rPr>
      </w:pPr>
      <w:r>
        <w:rPr>
          <w:rFonts w:hint="eastAsia" w:ascii="宋体" w:hAnsi="宋体"/>
          <w:szCs w:val="21"/>
        </w:rPr>
        <w:t xml:space="preserve">    6.1.4因工程规模、服务范围及内容的变化等导致咨询人的工作量增减时，服务酬金的调整方法：</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hint="eastAsia"/>
          <w:lang w:val="en-US" w:eastAsia="zh-CN"/>
        </w:rPr>
      </w:pPr>
      <w:bookmarkStart w:id="778" w:name="_Toc28628"/>
      <w:bookmarkStart w:id="779" w:name="_Toc8629"/>
      <w:bookmarkStart w:id="780" w:name="_Toc422322546"/>
      <w:bookmarkStart w:id="781" w:name="_Toc1381"/>
      <w:bookmarkStart w:id="782" w:name="_Toc13853"/>
      <w:bookmarkStart w:id="783" w:name="_Toc1604"/>
      <w:bookmarkStart w:id="784" w:name="_Toc18932"/>
      <w:bookmarkStart w:id="785" w:name="_Toc3394"/>
      <w:r>
        <w:rPr>
          <w:rFonts w:hint="eastAsia"/>
          <w:lang w:val="en-US" w:eastAsia="zh-CN"/>
        </w:rPr>
        <w:t>6.2合同解除</w:t>
      </w:r>
      <w:bookmarkEnd w:id="778"/>
      <w:bookmarkEnd w:id="779"/>
      <w:bookmarkEnd w:id="780"/>
      <w:bookmarkEnd w:id="781"/>
      <w:bookmarkEnd w:id="782"/>
      <w:bookmarkEnd w:id="783"/>
      <w:bookmarkEnd w:id="784"/>
      <w:bookmarkEnd w:id="785"/>
    </w:p>
    <w:p>
      <w:pPr>
        <w:spacing w:line="500" w:lineRule="exact"/>
        <w:ind w:firstLine="420" w:firstLineChars="200"/>
        <w:rPr>
          <w:rFonts w:ascii="宋体" w:hAnsi="宋体"/>
          <w:szCs w:val="21"/>
        </w:rPr>
      </w:pPr>
      <w:r>
        <w:rPr>
          <w:rFonts w:hint="eastAsia" w:ascii="宋体" w:hAnsi="宋体"/>
          <w:szCs w:val="21"/>
        </w:rPr>
        <w:t>6.2.2双方约定解除合同的条件还包括：</w:t>
      </w:r>
      <w:r>
        <w:rPr>
          <w:rFonts w:hint="eastAsia" w:ascii="宋体" w:hAnsi="宋体"/>
          <w:szCs w:val="21"/>
          <w:u w:val="single"/>
        </w:rPr>
        <w:t xml:space="preserve">                                       </w:t>
      </w:r>
      <w:r>
        <w:rPr>
          <w:rFonts w:hint="eastAsia" w:ascii="宋体" w:hAnsi="宋体"/>
          <w:szCs w:val="21"/>
        </w:rPr>
        <w:t xml:space="preserve">。 </w:t>
      </w:r>
    </w:p>
    <w:p>
      <w:pPr>
        <w:spacing w:line="500" w:lineRule="exact"/>
        <w:ind w:firstLine="420" w:firstLineChars="200"/>
        <w:rPr>
          <w:rFonts w:ascii="宋体" w:hAnsi="宋体"/>
          <w:szCs w:val="21"/>
        </w:rPr>
      </w:pPr>
      <w:r>
        <w:rPr>
          <w:rFonts w:hint="eastAsia" w:ascii="宋体" w:hAnsi="宋体"/>
          <w:szCs w:val="21"/>
        </w:rPr>
        <w:t>6.2.4因不可抗力导致的合同解除，双方约定损失的分担如下：</w:t>
      </w:r>
      <w:r>
        <w:rPr>
          <w:rFonts w:hint="eastAsia" w:ascii="宋体" w:hAnsi="宋体"/>
          <w:szCs w:val="21"/>
          <w:u w:val="single"/>
        </w:rPr>
        <w:t xml:space="preserve">                    </w:t>
      </w:r>
      <w:r>
        <w:rPr>
          <w:rFonts w:hint="eastAsia" w:ascii="宋体" w:hAnsi="宋体"/>
          <w:szCs w:val="21"/>
        </w:rPr>
        <w:t>。</w:t>
      </w:r>
    </w:p>
    <w:p>
      <w:pPr>
        <w:spacing w:line="500" w:lineRule="exact"/>
        <w:ind w:firstLine="422" w:firstLineChars="200"/>
        <w:rPr>
          <w:rFonts w:hint="eastAsia" w:ascii="宋体" w:hAnsi="宋体" w:eastAsia="宋体" w:cs="Arial"/>
          <w:b/>
          <w:bCs/>
          <w:kern w:val="24"/>
          <w:sz w:val="21"/>
          <w:szCs w:val="21"/>
          <w:lang w:val="en-US" w:eastAsia="zh-CN" w:bidi="ar-SA"/>
        </w:rPr>
      </w:pPr>
      <w:bookmarkStart w:id="786" w:name="_Toc29262"/>
      <w:bookmarkStart w:id="787" w:name="_Toc419045121"/>
      <w:bookmarkStart w:id="788" w:name="_Toc8522"/>
      <w:bookmarkStart w:id="789" w:name="_Toc15666"/>
      <w:bookmarkStart w:id="790" w:name="_Toc2693"/>
      <w:bookmarkStart w:id="791" w:name="_Toc10087"/>
      <w:bookmarkStart w:id="792" w:name="_Toc22627"/>
      <w:bookmarkStart w:id="793" w:name="_Toc18295"/>
      <w:bookmarkStart w:id="794" w:name="_Toc422322547"/>
      <w:r>
        <w:rPr>
          <w:rFonts w:hint="eastAsia" w:ascii="宋体" w:hAnsi="宋体" w:eastAsia="宋体" w:cs="Arial"/>
          <w:b/>
          <w:bCs/>
          <w:kern w:val="24"/>
          <w:sz w:val="21"/>
          <w:szCs w:val="21"/>
          <w:lang w:val="en-US" w:eastAsia="zh-CN" w:bidi="ar-SA"/>
        </w:rPr>
        <w:t>7. 争议解决</w:t>
      </w:r>
      <w:bookmarkEnd w:id="786"/>
      <w:bookmarkEnd w:id="787"/>
      <w:bookmarkEnd w:id="788"/>
      <w:bookmarkEnd w:id="789"/>
      <w:bookmarkEnd w:id="790"/>
      <w:bookmarkEnd w:id="791"/>
      <w:bookmarkEnd w:id="792"/>
      <w:bookmarkEnd w:id="793"/>
      <w:bookmarkEnd w:id="794"/>
    </w:p>
    <w:p>
      <w:pPr>
        <w:spacing w:line="500" w:lineRule="exact"/>
        <w:ind w:firstLine="420" w:firstLineChars="200"/>
        <w:rPr>
          <w:rFonts w:hint="eastAsia" w:eastAsiaTheme="minorEastAsia"/>
          <w:lang w:val="en-US" w:eastAsia="zh-CN"/>
        </w:rPr>
      </w:pPr>
      <w:bookmarkStart w:id="795" w:name="_Toc86667698"/>
      <w:bookmarkStart w:id="796" w:name="_Toc422322548"/>
      <w:bookmarkStart w:id="797" w:name="_Toc24814"/>
      <w:bookmarkStart w:id="798" w:name="_Toc419045122"/>
      <w:bookmarkStart w:id="799" w:name="_Toc21119"/>
      <w:bookmarkStart w:id="800" w:name="_Toc86668256"/>
      <w:bookmarkStart w:id="801" w:name="_Toc3617"/>
      <w:bookmarkStart w:id="802" w:name="_Toc1058"/>
      <w:bookmarkStart w:id="803" w:name="_Toc3883"/>
      <w:bookmarkStart w:id="804" w:name="_Toc23512"/>
      <w:bookmarkStart w:id="805" w:name="_Toc30480"/>
      <w:r>
        <w:rPr>
          <w:rFonts w:hint="eastAsia"/>
          <w:lang w:val="en-US" w:eastAsia="zh-CN"/>
        </w:rPr>
        <w:t>7.2调解</w:t>
      </w:r>
      <w:bookmarkEnd w:id="795"/>
      <w:bookmarkEnd w:id="796"/>
      <w:bookmarkEnd w:id="797"/>
      <w:bookmarkEnd w:id="798"/>
      <w:bookmarkEnd w:id="799"/>
      <w:bookmarkEnd w:id="800"/>
      <w:bookmarkEnd w:id="801"/>
      <w:bookmarkEnd w:id="802"/>
      <w:bookmarkEnd w:id="803"/>
      <w:bookmarkEnd w:id="804"/>
      <w:bookmarkEnd w:id="805"/>
    </w:p>
    <w:p>
      <w:pPr>
        <w:spacing w:line="500" w:lineRule="exact"/>
        <w:ind w:firstLine="420" w:firstLineChars="200"/>
        <w:rPr>
          <w:rFonts w:ascii="宋体" w:hAnsi="宋体"/>
          <w:szCs w:val="21"/>
        </w:rPr>
      </w:pPr>
      <w:r>
        <w:rPr>
          <w:rFonts w:hint="eastAsia" w:ascii="宋体" w:hAnsi="宋体"/>
          <w:szCs w:val="21"/>
        </w:rPr>
        <w:t xml:space="preserve">    如果双方不能在</w:t>
      </w:r>
      <w:r>
        <w:rPr>
          <w:rFonts w:hint="eastAsia" w:ascii="宋体" w:hAnsi="宋体"/>
          <w:szCs w:val="21"/>
          <w:u w:val="single"/>
        </w:rPr>
        <w:t xml:space="preserve">     </w:t>
      </w:r>
      <w:r>
        <w:rPr>
          <w:rFonts w:ascii="宋体" w:hAnsi="宋体"/>
          <w:szCs w:val="21"/>
        </w:rPr>
        <w:t>日内解决本合同争议，可以将其提交</w:t>
      </w:r>
      <w:r>
        <w:rPr>
          <w:rFonts w:hint="eastAsia" w:ascii="宋体" w:hAnsi="宋体"/>
          <w:szCs w:val="21"/>
          <w:u w:val="single"/>
        </w:rPr>
        <w:t xml:space="preserve">                        </w:t>
      </w:r>
    </w:p>
    <w:p>
      <w:pPr>
        <w:spacing w:line="500" w:lineRule="exact"/>
        <w:ind w:firstLine="420" w:firstLineChars="200"/>
        <w:rPr>
          <w:rStyle w:val="40"/>
          <w:rFonts w:ascii="宋体" w:hAnsi="宋体"/>
          <w:b w:val="0"/>
          <w:szCs w:val="21"/>
        </w:rPr>
      </w:pPr>
      <w:r>
        <w:rPr>
          <w:rFonts w:hint="eastAsia" w:ascii="宋体" w:hAnsi="宋体"/>
          <w:szCs w:val="21"/>
          <w:u w:val="single"/>
        </w:rPr>
        <w:t xml:space="preserve">                                                       </w:t>
      </w:r>
      <w:r>
        <w:rPr>
          <w:rFonts w:hint="eastAsia" w:ascii="宋体" w:hAnsi="宋体"/>
          <w:szCs w:val="21"/>
        </w:rPr>
        <w:t>进行调解。</w:t>
      </w:r>
    </w:p>
    <w:p>
      <w:pPr>
        <w:spacing w:line="500" w:lineRule="exact"/>
        <w:ind w:firstLine="420" w:firstLineChars="200"/>
        <w:rPr>
          <w:rFonts w:hint="eastAsia"/>
          <w:lang w:val="en-US" w:eastAsia="zh-CN"/>
        </w:rPr>
      </w:pPr>
      <w:bookmarkStart w:id="806" w:name="_Toc30309"/>
      <w:bookmarkStart w:id="807" w:name="_Toc18715"/>
      <w:bookmarkStart w:id="808" w:name="_Toc23945"/>
      <w:bookmarkStart w:id="809" w:name="_Toc32127"/>
      <w:bookmarkStart w:id="810" w:name="_Toc28226"/>
      <w:bookmarkStart w:id="811" w:name="_Toc19559"/>
      <w:bookmarkStart w:id="812" w:name="_Toc28615"/>
      <w:bookmarkStart w:id="813" w:name="_Toc422322549"/>
      <w:r>
        <w:rPr>
          <w:rFonts w:hint="eastAsia"/>
          <w:lang w:val="en-US" w:eastAsia="zh-CN"/>
        </w:rPr>
        <w:t>7.3仲裁或诉讼</w:t>
      </w:r>
      <w:bookmarkEnd w:id="806"/>
      <w:bookmarkEnd w:id="807"/>
      <w:bookmarkEnd w:id="808"/>
      <w:bookmarkEnd w:id="809"/>
      <w:bookmarkEnd w:id="810"/>
      <w:bookmarkEnd w:id="811"/>
      <w:bookmarkEnd w:id="812"/>
      <w:bookmarkEnd w:id="813"/>
    </w:p>
    <w:p>
      <w:pPr>
        <w:spacing w:line="500" w:lineRule="exact"/>
        <w:ind w:firstLine="420" w:firstLineChars="200"/>
        <w:rPr>
          <w:rFonts w:hint="eastAsia" w:ascii="宋体" w:hAnsi="宋体" w:eastAsiaTheme="minorEastAsia"/>
          <w:szCs w:val="21"/>
          <w:lang w:eastAsia="zh-CN"/>
        </w:rPr>
      </w:pPr>
      <w:r>
        <w:rPr>
          <w:rFonts w:hint="eastAsia" w:ascii="宋体" w:hAnsi="宋体"/>
          <w:szCs w:val="21"/>
        </w:rPr>
        <w:t>合同争议的最终解决方式为下列第</w:t>
      </w:r>
      <w:r>
        <w:rPr>
          <w:rFonts w:hint="eastAsia" w:ascii="宋体" w:hAnsi="宋体"/>
          <w:szCs w:val="21"/>
          <w:u w:val="single"/>
        </w:rPr>
        <w:t xml:space="preserve">        </w:t>
      </w:r>
      <w:r>
        <w:rPr>
          <w:rFonts w:hint="eastAsia" w:ascii="宋体" w:hAnsi="宋体"/>
          <w:szCs w:val="21"/>
        </w:rPr>
        <w:t>种方式：</w:t>
      </w:r>
    </w:p>
    <w:p>
      <w:pPr>
        <w:spacing w:line="500" w:lineRule="exact"/>
        <w:ind w:firstLine="420" w:firstLineChars="200"/>
        <w:rPr>
          <w:rFonts w:hint="eastAsia" w:ascii="宋体" w:hAnsi="宋体" w:eastAsiaTheme="minorEastAsia"/>
          <w:szCs w:val="21"/>
          <w:lang w:eastAsia="zh-CN"/>
        </w:rPr>
      </w:pPr>
      <w:r>
        <w:rPr>
          <w:rFonts w:hint="eastAsia" w:ascii="宋体" w:hAnsi="宋体"/>
          <w:szCs w:val="21"/>
        </w:rPr>
        <w:t xml:space="preserve">   （</w:t>
      </w:r>
      <w:r>
        <w:rPr>
          <w:rFonts w:ascii="宋体" w:hAnsi="宋体"/>
          <w:szCs w:val="21"/>
        </w:rPr>
        <w:t>1）提请</w:t>
      </w:r>
      <w:r>
        <w:rPr>
          <w:rFonts w:ascii="宋体" w:hAnsi="宋体"/>
          <w:szCs w:val="21"/>
          <w:u w:val="single"/>
        </w:rPr>
        <w:t xml:space="preserve">             </w:t>
      </w:r>
      <w:r>
        <w:rPr>
          <w:rFonts w:hint="eastAsia" w:ascii="宋体" w:hAnsi="宋体"/>
          <w:szCs w:val="21"/>
        </w:rPr>
        <w:t>仲裁委员会进行仲裁。</w:t>
      </w:r>
    </w:p>
    <w:p>
      <w:pPr>
        <w:spacing w:line="500" w:lineRule="exact"/>
        <w:ind w:firstLine="420" w:firstLineChars="200"/>
        <w:rPr>
          <w:rFonts w:ascii="宋体" w:hAnsi="宋体"/>
          <w:szCs w:val="21"/>
        </w:rPr>
      </w:pPr>
      <w:r>
        <w:rPr>
          <w:rFonts w:ascii="宋体" w:hAnsi="宋体"/>
          <w:szCs w:val="21"/>
        </w:rPr>
        <w:t xml:space="preserve">   （2）向</w:t>
      </w:r>
      <w:r>
        <w:rPr>
          <w:rFonts w:ascii="宋体" w:hAnsi="宋体"/>
          <w:szCs w:val="21"/>
          <w:u w:val="single"/>
        </w:rPr>
        <w:t xml:space="preserve">           </w:t>
      </w:r>
      <w:r>
        <w:rPr>
          <w:rFonts w:hint="eastAsia" w:ascii="宋体" w:hAnsi="宋体"/>
          <w:szCs w:val="21"/>
        </w:rPr>
        <w:t>人民法院提起诉讼。</w:t>
      </w:r>
    </w:p>
    <w:p>
      <w:pPr>
        <w:spacing w:line="500" w:lineRule="exact"/>
        <w:ind w:firstLine="422" w:firstLineChars="200"/>
        <w:rPr>
          <w:rFonts w:hint="eastAsia" w:ascii="宋体" w:hAnsi="宋体" w:eastAsia="宋体" w:cs="Arial"/>
          <w:b/>
          <w:bCs/>
          <w:kern w:val="24"/>
          <w:sz w:val="21"/>
          <w:szCs w:val="21"/>
          <w:lang w:val="en-US" w:eastAsia="zh-CN" w:bidi="ar-SA"/>
        </w:rPr>
      </w:pPr>
      <w:bookmarkStart w:id="814" w:name="_Toc28970"/>
      <w:bookmarkStart w:id="815" w:name="_Toc419045123"/>
      <w:bookmarkStart w:id="816" w:name="_Toc5431"/>
      <w:bookmarkStart w:id="817" w:name="_Toc422322550"/>
      <w:bookmarkStart w:id="818" w:name="_Toc86667699"/>
      <w:bookmarkStart w:id="819" w:name="_Toc86668257"/>
      <w:bookmarkStart w:id="820" w:name="_Toc27816"/>
      <w:bookmarkStart w:id="821" w:name="_Toc10662"/>
      <w:bookmarkStart w:id="822" w:name="_Toc10711"/>
      <w:bookmarkStart w:id="823" w:name="_Toc24362"/>
      <w:bookmarkStart w:id="824" w:name="_Toc8918"/>
      <w:r>
        <w:rPr>
          <w:rFonts w:hint="eastAsia" w:ascii="宋体" w:hAnsi="宋体" w:eastAsia="宋体" w:cs="Arial"/>
          <w:b/>
          <w:bCs/>
          <w:kern w:val="24"/>
          <w:sz w:val="21"/>
          <w:szCs w:val="21"/>
          <w:lang w:val="en-US" w:eastAsia="zh-CN" w:bidi="ar-SA"/>
        </w:rPr>
        <w:t>8. 其他</w:t>
      </w:r>
      <w:bookmarkEnd w:id="814"/>
      <w:bookmarkEnd w:id="815"/>
      <w:bookmarkEnd w:id="816"/>
      <w:bookmarkEnd w:id="817"/>
      <w:bookmarkEnd w:id="818"/>
      <w:bookmarkEnd w:id="819"/>
      <w:bookmarkEnd w:id="820"/>
      <w:bookmarkEnd w:id="821"/>
      <w:bookmarkEnd w:id="822"/>
      <w:bookmarkEnd w:id="823"/>
      <w:bookmarkEnd w:id="824"/>
    </w:p>
    <w:p>
      <w:pPr>
        <w:spacing w:line="500" w:lineRule="exact"/>
        <w:ind w:firstLine="420" w:firstLineChars="200"/>
        <w:rPr>
          <w:rFonts w:hint="eastAsia"/>
          <w:lang w:val="en-US" w:eastAsia="zh-CN"/>
        </w:rPr>
      </w:pPr>
      <w:bookmarkStart w:id="825" w:name="_Toc3319"/>
      <w:bookmarkStart w:id="826" w:name="_Toc27375"/>
      <w:bookmarkStart w:id="827" w:name="_Toc422322551"/>
      <w:bookmarkStart w:id="828" w:name="_Toc3934"/>
      <w:bookmarkStart w:id="829" w:name="_Toc14229"/>
      <w:bookmarkStart w:id="830" w:name="_Toc29247"/>
      <w:bookmarkStart w:id="831" w:name="_Toc24700"/>
      <w:bookmarkStart w:id="832" w:name="_Toc13838"/>
      <w:r>
        <w:rPr>
          <w:rFonts w:hint="eastAsia"/>
          <w:lang w:val="en-US" w:eastAsia="zh-CN"/>
        </w:rPr>
        <w:t>8.1考察及相关费用</w:t>
      </w:r>
      <w:bookmarkEnd w:id="825"/>
      <w:bookmarkEnd w:id="826"/>
      <w:bookmarkEnd w:id="827"/>
      <w:bookmarkEnd w:id="828"/>
      <w:bookmarkEnd w:id="829"/>
      <w:bookmarkEnd w:id="830"/>
      <w:bookmarkEnd w:id="831"/>
      <w:bookmarkEnd w:id="832"/>
    </w:p>
    <w:p>
      <w:pPr>
        <w:spacing w:line="500" w:lineRule="exact"/>
        <w:ind w:firstLine="420" w:firstLineChars="200"/>
        <w:rPr>
          <w:rFonts w:ascii="宋体" w:hAnsi="宋体"/>
          <w:szCs w:val="21"/>
        </w:rPr>
      </w:pPr>
      <w:r>
        <w:rPr>
          <w:rFonts w:hint="eastAsia" w:ascii="宋体" w:hAnsi="宋体"/>
          <w:szCs w:val="21"/>
        </w:rPr>
        <w:t>咨询人经委托人同意进行考察发生的费用由</w:t>
      </w:r>
      <w:r>
        <w:rPr>
          <w:rFonts w:hint="eastAsia" w:ascii="宋体" w:hAnsi="宋体"/>
          <w:szCs w:val="21"/>
          <w:u w:val="single"/>
        </w:rPr>
        <w:t xml:space="preserve">         </w:t>
      </w:r>
      <w:r>
        <w:rPr>
          <w:rFonts w:hint="eastAsia" w:ascii="宋体" w:hAnsi="宋体"/>
          <w:szCs w:val="21"/>
        </w:rPr>
        <w:t>支付。</w:t>
      </w:r>
    </w:p>
    <w:p>
      <w:pPr>
        <w:spacing w:line="500" w:lineRule="exact"/>
        <w:ind w:firstLine="420" w:firstLineChars="200"/>
        <w:rPr>
          <w:rStyle w:val="40"/>
          <w:rFonts w:ascii="宋体" w:hAnsi="宋体"/>
          <w:b w:val="0"/>
          <w:szCs w:val="21"/>
        </w:rPr>
      </w:pPr>
      <w:r>
        <w:rPr>
          <w:rFonts w:hint="eastAsia" w:ascii="宋体" w:hAnsi="宋体"/>
          <w:szCs w:val="21"/>
        </w:rPr>
        <w:t>差旅费及相关费用的支付：</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hint="eastAsia"/>
          <w:lang w:val="en-US" w:eastAsia="zh-CN"/>
        </w:rPr>
      </w:pPr>
      <w:bookmarkStart w:id="833" w:name="_Toc12770"/>
      <w:bookmarkStart w:id="834" w:name="_Toc31439"/>
      <w:bookmarkStart w:id="835" w:name="_Toc2441"/>
      <w:bookmarkStart w:id="836" w:name="_Toc14556"/>
      <w:bookmarkStart w:id="837" w:name="_Toc422322552"/>
      <w:bookmarkStart w:id="838" w:name="_Toc955"/>
      <w:bookmarkStart w:id="839" w:name="_Toc21436"/>
      <w:bookmarkStart w:id="840" w:name="_Toc21637"/>
      <w:r>
        <w:rPr>
          <w:rFonts w:hint="eastAsia"/>
          <w:lang w:val="en-US" w:eastAsia="zh-CN"/>
        </w:rPr>
        <w:t>8.2奖励</w:t>
      </w:r>
      <w:bookmarkEnd w:id="833"/>
      <w:bookmarkEnd w:id="834"/>
      <w:bookmarkEnd w:id="835"/>
      <w:bookmarkEnd w:id="836"/>
      <w:bookmarkEnd w:id="837"/>
      <w:bookmarkEnd w:id="838"/>
      <w:bookmarkEnd w:id="839"/>
      <w:bookmarkEnd w:id="840"/>
    </w:p>
    <w:p>
      <w:pPr>
        <w:spacing w:line="500" w:lineRule="exact"/>
        <w:ind w:firstLine="420" w:firstLineChars="200"/>
        <w:rPr>
          <w:rStyle w:val="40"/>
          <w:rFonts w:ascii="宋体" w:hAnsi="宋体"/>
          <w:b w:val="0"/>
          <w:szCs w:val="21"/>
        </w:rPr>
      </w:pPr>
      <w:r>
        <w:rPr>
          <w:rFonts w:hint="eastAsia" w:ascii="宋体" w:hAnsi="宋体"/>
          <w:szCs w:val="21"/>
        </w:rPr>
        <w:t>合理化建议的奖励金额按下列方法确定：</w:t>
      </w:r>
      <w:r>
        <w:rPr>
          <w:rFonts w:hint="eastAsia" w:ascii="宋体" w:hAnsi="宋体"/>
          <w:szCs w:val="21"/>
          <w:u w:val="single"/>
        </w:rPr>
        <w:t xml:space="preserve">                                      </w:t>
      </w:r>
      <w:r>
        <w:rPr>
          <w:rFonts w:hint="eastAsia" w:ascii="宋体" w:hAnsi="宋体"/>
          <w:szCs w:val="21"/>
        </w:rPr>
        <w:t xml:space="preserve">。 </w:t>
      </w:r>
    </w:p>
    <w:p>
      <w:pPr>
        <w:spacing w:line="500" w:lineRule="exact"/>
        <w:ind w:firstLine="420" w:firstLineChars="200"/>
        <w:rPr>
          <w:rFonts w:hint="eastAsia"/>
          <w:lang w:val="en-US" w:eastAsia="zh-CN"/>
        </w:rPr>
      </w:pPr>
      <w:bookmarkStart w:id="841" w:name="_Toc4491"/>
      <w:bookmarkStart w:id="842" w:name="_Toc19729"/>
      <w:bookmarkStart w:id="843" w:name="_Toc32320"/>
      <w:bookmarkStart w:id="844" w:name="_Toc20950"/>
      <w:bookmarkStart w:id="845" w:name="_Toc9421"/>
      <w:bookmarkStart w:id="846" w:name="_Toc13409"/>
      <w:bookmarkStart w:id="847" w:name="_Toc422322553"/>
      <w:bookmarkStart w:id="848" w:name="_Toc7272"/>
      <w:r>
        <w:rPr>
          <w:rFonts w:hint="eastAsia"/>
          <w:lang w:val="en-US" w:eastAsia="zh-CN"/>
        </w:rPr>
        <w:t>8.3保密</w:t>
      </w:r>
      <w:bookmarkEnd w:id="841"/>
      <w:bookmarkEnd w:id="842"/>
      <w:bookmarkEnd w:id="843"/>
      <w:bookmarkEnd w:id="844"/>
      <w:bookmarkEnd w:id="845"/>
      <w:bookmarkEnd w:id="846"/>
      <w:bookmarkEnd w:id="847"/>
      <w:bookmarkEnd w:id="848"/>
    </w:p>
    <w:p>
      <w:pPr>
        <w:spacing w:line="500" w:lineRule="exact"/>
        <w:ind w:firstLine="420" w:firstLineChars="200"/>
        <w:rPr>
          <w:rFonts w:hint="eastAsia" w:ascii="宋体" w:hAnsi="宋体" w:eastAsiaTheme="minorEastAsia"/>
          <w:szCs w:val="21"/>
          <w:lang w:eastAsia="zh-CN"/>
        </w:rPr>
      </w:pPr>
      <w:r>
        <w:rPr>
          <w:rFonts w:hint="eastAsia" w:ascii="宋体" w:hAnsi="宋体"/>
          <w:szCs w:val="21"/>
        </w:rPr>
        <w:t>申明的保密事项和期限：</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500" w:lineRule="exact"/>
        <w:ind w:firstLine="420" w:firstLineChars="200"/>
        <w:rPr>
          <w:rFonts w:hint="eastAsia" w:ascii="宋体" w:hAnsi="宋体" w:eastAsiaTheme="minorEastAsia"/>
          <w:szCs w:val="21"/>
          <w:lang w:eastAsia="zh-CN"/>
        </w:rPr>
      </w:pPr>
      <w:r>
        <w:rPr>
          <w:rFonts w:ascii="宋体" w:hAnsi="宋体"/>
          <w:szCs w:val="21"/>
        </w:rPr>
        <w:t xml:space="preserve">    </w:t>
      </w:r>
      <w:r>
        <w:rPr>
          <w:rFonts w:hint="eastAsia" w:ascii="宋体" w:hAnsi="宋体"/>
          <w:szCs w:val="21"/>
        </w:rPr>
        <w:t>咨询人申明的保密事项和期限：</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500" w:lineRule="exact"/>
        <w:ind w:firstLine="420" w:firstLineChars="200"/>
        <w:rPr>
          <w:rFonts w:ascii="宋体" w:hAnsi="宋体"/>
          <w:szCs w:val="21"/>
        </w:rPr>
      </w:pPr>
      <w:r>
        <w:rPr>
          <w:rFonts w:hint="eastAsia" w:ascii="宋体" w:hAnsi="宋体"/>
          <w:szCs w:val="21"/>
        </w:rPr>
        <w:t xml:space="preserve">    第三人申明的保密事项和期限：</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hint="eastAsia"/>
          <w:lang w:val="en-US" w:eastAsia="zh-CN"/>
        </w:rPr>
      </w:pPr>
      <w:bookmarkStart w:id="849" w:name="_Toc5404"/>
      <w:bookmarkStart w:id="850" w:name="_Toc8965"/>
      <w:bookmarkStart w:id="851" w:name="_Toc86667700"/>
      <w:bookmarkStart w:id="852" w:name="_Toc9787"/>
      <w:bookmarkStart w:id="853" w:name="_Toc86668258"/>
      <w:bookmarkStart w:id="854" w:name="_Toc21117"/>
      <w:bookmarkStart w:id="855" w:name="_Toc5320"/>
      <w:bookmarkStart w:id="856" w:name="_Toc22575"/>
      <w:bookmarkStart w:id="857" w:name="_Toc15754"/>
      <w:bookmarkStart w:id="858" w:name="_Toc422322554"/>
      <w:r>
        <w:rPr>
          <w:rFonts w:hint="eastAsia"/>
          <w:lang w:val="en-US" w:eastAsia="zh-CN"/>
        </w:rPr>
        <w:t>8.4联络</w:t>
      </w:r>
      <w:bookmarkEnd w:id="849"/>
      <w:bookmarkEnd w:id="850"/>
      <w:bookmarkEnd w:id="851"/>
      <w:bookmarkEnd w:id="852"/>
      <w:bookmarkEnd w:id="853"/>
      <w:bookmarkEnd w:id="854"/>
      <w:bookmarkEnd w:id="855"/>
      <w:bookmarkEnd w:id="856"/>
      <w:bookmarkEnd w:id="857"/>
      <w:bookmarkEnd w:id="858"/>
    </w:p>
    <w:p>
      <w:pPr>
        <w:spacing w:line="500" w:lineRule="exact"/>
        <w:ind w:firstLine="420" w:firstLineChars="200"/>
        <w:rPr>
          <w:rFonts w:ascii="宋体" w:hAnsi="宋体"/>
          <w:szCs w:val="21"/>
        </w:rPr>
      </w:pPr>
      <w:r>
        <w:rPr>
          <w:rFonts w:hint="eastAsia" w:ascii="宋体" w:hAnsi="宋体"/>
          <w:szCs w:val="21"/>
        </w:rPr>
        <w:t>8.4.1任何一方与合同有关的通知、指示、要求、决定等，均应在</w:t>
      </w:r>
      <w:r>
        <w:rPr>
          <w:rFonts w:hint="eastAsia" w:ascii="宋体" w:hAnsi="宋体"/>
          <w:szCs w:val="21"/>
          <w:u w:val="single"/>
        </w:rPr>
        <w:t xml:space="preserve"> / </w:t>
      </w:r>
      <w:r>
        <w:rPr>
          <w:rFonts w:hint="eastAsia" w:ascii="宋体" w:hAnsi="宋体"/>
          <w:szCs w:val="21"/>
        </w:rPr>
        <w:t>日内送达对方指定的接收人和送达地点。</w:t>
      </w:r>
    </w:p>
    <w:p>
      <w:pPr>
        <w:spacing w:line="500" w:lineRule="exact"/>
        <w:ind w:firstLine="420" w:firstLineChars="200"/>
        <w:rPr>
          <w:rFonts w:ascii="宋体" w:hAnsi="宋体"/>
          <w:szCs w:val="21"/>
        </w:rPr>
      </w:pPr>
      <w:r>
        <w:rPr>
          <w:rFonts w:hint="eastAsia" w:ascii="宋体" w:hAnsi="宋体"/>
          <w:szCs w:val="21"/>
        </w:rPr>
        <w:t>8.4.2委托人指定的送达接收人：</w:t>
      </w:r>
      <w:r>
        <w:rPr>
          <w:rFonts w:hint="eastAsia" w:ascii="宋体" w:hAnsi="宋体"/>
          <w:szCs w:val="21"/>
          <w:u w:val="single"/>
        </w:rPr>
        <w:t xml:space="preserve">    /   </w:t>
      </w:r>
      <w:r>
        <w:rPr>
          <w:rFonts w:hint="eastAsia" w:ascii="宋体" w:hAnsi="宋体"/>
          <w:szCs w:val="21"/>
        </w:rPr>
        <w:t>，送达地点：</w:t>
      </w:r>
      <w:r>
        <w:rPr>
          <w:rFonts w:hint="eastAsia" w:ascii="宋体" w:hAnsi="宋体"/>
          <w:szCs w:val="21"/>
          <w:u w:val="single"/>
        </w:rPr>
        <w:t xml:space="preserve">   /    </w:t>
      </w:r>
      <w:r>
        <w:rPr>
          <w:rFonts w:hint="eastAsia" w:ascii="宋体" w:hAnsi="宋体"/>
          <w:szCs w:val="21"/>
        </w:rPr>
        <w:t>，电子邮箱：</w:t>
      </w:r>
      <w:r>
        <w:rPr>
          <w:rFonts w:hint="eastAsia" w:ascii="宋体" w:hAnsi="宋体"/>
          <w:szCs w:val="21"/>
          <w:u w:val="single"/>
        </w:rPr>
        <w:t xml:space="preserve">   /   </w:t>
      </w:r>
      <w:r>
        <w:rPr>
          <w:rFonts w:hint="eastAsia" w:ascii="宋体" w:hAnsi="宋体"/>
          <w:szCs w:val="21"/>
        </w:rPr>
        <w:t>。</w:t>
      </w:r>
    </w:p>
    <w:p>
      <w:pPr>
        <w:spacing w:line="500" w:lineRule="exact"/>
        <w:ind w:firstLine="420" w:firstLineChars="200"/>
        <w:rPr>
          <w:rFonts w:ascii="宋体" w:hAnsi="宋体"/>
          <w:szCs w:val="21"/>
        </w:rPr>
      </w:pPr>
      <w:r>
        <w:rPr>
          <w:rFonts w:hint="eastAsia" w:ascii="宋体" w:hAnsi="宋体"/>
          <w:szCs w:val="21"/>
        </w:rPr>
        <w:t>咨询人指定的送达接收人：</w:t>
      </w:r>
      <w:r>
        <w:rPr>
          <w:rFonts w:hint="eastAsia" w:ascii="宋体" w:hAnsi="宋体"/>
          <w:szCs w:val="21"/>
          <w:u w:val="single"/>
        </w:rPr>
        <w:t xml:space="preserve">    /    </w:t>
      </w:r>
      <w:r>
        <w:rPr>
          <w:rFonts w:hint="eastAsia" w:ascii="宋体" w:hAnsi="宋体"/>
          <w:szCs w:val="21"/>
        </w:rPr>
        <w:t>，送达地点：</w:t>
      </w:r>
      <w:r>
        <w:rPr>
          <w:rFonts w:hint="eastAsia" w:ascii="宋体" w:hAnsi="宋体"/>
          <w:szCs w:val="21"/>
          <w:u w:val="single"/>
        </w:rPr>
        <w:t xml:space="preserve">    /     </w:t>
      </w:r>
      <w:r>
        <w:rPr>
          <w:rFonts w:hint="eastAsia" w:ascii="宋体" w:hAnsi="宋体"/>
          <w:szCs w:val="21"/>
        </w:rPr>
        <w:t>，电子邮箱：</w:t>
      </w:r>
      <w:r>
        <w:rPr>
          <w:rFonts w:hint="eastAsia" w:ascii="宋体" w:hAnsi="宋体"/>
          <w:szCs w:val="21"/>
          <w:u w:val="single"/>
        </w:rPr>
        <w:t xml:space="preserve">   /   </w:t>
      </w:r>
      <w:r>
        <w:rPr>
          <w:rFonts w:hint="eastAsia" w:ascii="宋体" w:hAnsi="宋体"/>
          <w:szCs w:val="21"/>
        </w:rPr>
        <w:t>。</w:t>
      </w:r>
    </w:p>
    <w:p>
      <w:pPr>
        <w:spacing w:line="500" w:lineRule="exact"/>
        <w:ind w:firstLine="420" w:firstLineChars="200"/>
        <w:rPr>
          <w:rFonts w:hint="eastAsia"/>
          <w:lang w:val="en-US" w:eastAsia="zh-CN"/>
        </w:rPr>
      </w:pPr>
      <w:bookmarkStart w:id="859" w:name="_Toc419045124"/>
      <w:bookmarkStart w:id="860" w:name="_Toc86668259"/>
      <w:bookmarkStart w:id="861" w:name="_Toc86667701"/>
      <w:bookmarkStart w:id="862" w:name="_Toc422322555"/>
      <w:bookmarkStart w:id="863" w:name="_Toc23785"/>
      <w:bookmarkStart w:id="864" w:name="_Toc18289"/>
      <w:bookmarkStart w:id="865" w:name="_Toc2895"/>
      <w:bookmarkStart w:id="866" w:name="_Toc2536"/>
      <w:bookmarkStart w:id="867" w:name="_Toc25519"/>
      <w:bookmarkStart w:id="868" w:name="_Toc23630"/>
      <w:bookmarkStart w:id="869" w:name="_Toc17938"/>
      <w:r>
        <w:rPr>
          <w:rFonts w:hint="eastAsia"/>
          <w:lang w:val="en-US" w:eastAsia="zh-CN"/>
        </w:rPr>
        <w:t>8.5知识产权</w:t>
      </w:r>
      <w:bookmarkEnd w:id="859"/>
      <w:bookmarkEnd w:id="860"/>
      <w:bookmarkEnd w:id="861"/>
      <w:bookmarkEnd w:id="862"/>
    </w:p>
    <w:bookmarkEnd w:id="863"/>
    <w:bookmarkEnd w:id="864"/>
    <w:bookmarkEnd w:id="865"/>
    <w:bookmarkEnd w:id="866"/>
    <w:bookmarkEnd w:id="867"/>
    <w:bookmarkEnd w:id="868"/>
    <w:bookmarkEnd w:id="869"/>
    <w:p>
      <w:pPr>
        <w:spacing w:line="500" w:lineRule="exact"/>
        <w:ind w:firstLine="420" w:firstLineChars="200"/>
        <w:rPr>
          <w:rFonts w:ascii="宋体" w:hAnsi="宋体"/>
          <w:szCs w:val="21"/>
        </w:rPr>
      </w:pPr>
      <w:r>
        <w:rPr>
          <w:rFonts w:hint="eastAsia" w:ascii="宋体" w:hAnsi="宋体"/>
          <w:szCs w:val="21"/>
        </w:rPr>
        <w:t>委托人提供给咨询人的图纸、委托人为实施工程自行编制或委托编制的技术规范以及反映委托人要求的或其他类似性质文件的著作权属于</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ascii="宋体" w:hAnsi="宋体"/>
          <w:szCs w:val="21"/>
        </w:rPr>
      </w:pPr>
      <w:r>
        <w:rPr>
          <w:rFonts w:ascii="宋体" w:hAnsi="宋体"/>
          <w:szCs w:val="21"/>
        </w:rPr>
        <w:t>咨询人为履行本合同约定而编制的</w:t>
      </w:r>
      <w:r>
        <w:rPr>
          <w:rFonts w:hint="eastAsia" w:ascii="宋体" w:hAnsi="宋体"/>
          <w:szCs w:val="21"/>
        </w:rPr>
        <w:t>成果</w:t>
      </w:r>
      <w:r>
        <w:rPr>
          <w:rFonts w:ascii="宋体" w:hAnsi="宋体"/>
          <w:szCs w:val="21"/>
        </w:rPr>
        <w:t>文件</w:t>
      </w:r>
      <w:r>
        <w:rPr>
          <w:rFonts w:hint="eastAsia" w:ascii="宋体" w:hAnsi="宋体"/>
          <w:szCs w:val="21"/>
        </w:rPr>
        <w:t>，其</w:t>
      </w:r>
      <w:r>
        <w:rPr>
          <w:rFonts w:ascii="宋体" w:hAnsi="宋体"/>
          <w:szCs w:val="21"/>
        </w:rPr>
        <w:t>著作权属于</w:t>
      </w:r>
      <w:r>
        <w:rPr>
          <w:rFonts w:hint="eastAsia" w:ascii="宋体" w:hAnsi="宋体"/>
          <w:szCs w:val="21"/>
          <w:u w:val="single"/>
        </w:rPr>
        <w:t xml:space="preserve">                       </w:t>
      </w:r>
      <w:r>
        <w:rPr>
          <w:rFonts w:ascii="宋体" w:hAnsi="宋体"/>
          <w:szCs w:val="21"/>
        </w:rPr>
        <w:t>。</w:t>
      </w:r>
    </w:p>
    <w:p>
      <w:pPr>
        <w:spacing w:line="500" w:lineRule="exact"/>
        <w:ind w:firstLine="420" w:firstLineChars="200"/>
        <w:rPr>
          <w:rFonts w:ascii="宋体" w:hAnsi="宋体"/>
          <w:b/>
          <w:szCs w:val="21"/>
        </w:rPr>
      </w:pPr>
      <w:r>
        <w:rPr>
          <w:rFonts w:hint="eastAsia" w:ascii="宋体" w:hAnsi="宋体"/>
          <w:szCs w:val="21"/>
        </w:rPr>
        <w:t>双方将履行本合同形成的有关成果文件用于企业宣传、申报奖项以及接受上级主管部门的检查须遵守以下约定：</w:t>
      </w:r>
      <w:bookmarkStart w:id="870" w:name="_Toc422322556"/>
      <w:bookmarkStart w:id="871" w:name="_Toc419045125"/>
      <w:r>
        <w:rPr>
          <w:rFonts w:hint="eastAsia" w:ascii="宋体" w:hAnsi="宋体"/>
          <w:szCs w:val="21"/>
          <w:u w:val="single"/>
        </w:rPr>
        <w:t xml:space="preserve">                                                        </w:t>
      </w:r>
      <w:r>
        <w:rPr>
          <w:rFonts w:hint="eastAsia" w:ascii="宋体" w:hAnsi="宋体"/>
          <w:szCs w:val="21"/>
        </w:rPr>
        <w:t>。</w:t>
      </w:r>
    </w:p>
    <w:p>
      <w:pPr>
        <w:spacing w:line="500" w:lineRule="exact"/>
        <w:ind w:firstLine="422" w:firstLineChars="200"/>
        <w:rPr>
          <w:rFonts w:ascii="宋体" w:hAnsi="宋体"/>
          <w:szCs w:val="21"/>
        </w:rPr>
      </w:pPr>
      <w:bookmarkStart w:id="872" w:name="_Toc4219"/>
      <w:bookmarkStart w:id="873" w:name="_Toc3422"/>
      <w:bookmarkStart w:id="874" w:name="_Toc86668260"/>
      <w:bookmarkStart w:id="875" w:name="_Toc6724"/>
      <w:bookmarkStart w:id="876" w:name="_Toc29400"/>
      <w:bookmarkStart w:id="877" w:name="_Toc86667702"/>
      <w:bookmarkStart w:id="878" w:name="_Toc28327"/>
      <w:bookmarkStart w:id="879" w:name="_Toc5195"/>
      <w:bookmarkStart w:id="880" w:name="_Toc6771"/>
      <w:r>
        <w:rPr>
          <w:rFonts w:hint="eastAsia" w:ascii="宋体" w:hAnsi="宋体" w:eastAsia="宋体" w:cs="Arial"/>
          <w:b/>
          <w:bCs/>
          <w:kern w:val="24"/>
          <w:sz w:val="21"/>
          <w:szCs w:val="21"/>
          <w:lang w:val="en-US" w:eastAsia="zh-CN" w:bidi="ar-SA"/>
        </w:rPr>
        <w:t>9.补充条款</w:t>
      </w:r>
      <w:bookmarkEnd w:id="870"/>
      <w:bookmarkEnd w:id="871"/>
      <w:bookmarkEnd w:id="872"/>
      <w:bookmarkEnd w:id="873"/>
      <w:bookmarkEnd w:id="874"/>
      <w:bookmarkEnd w:id="875"/>
      <w:bookmarkEnd w:id="876"/>
      <w:bookmarkEnd w:id="877"/>
      <w:bookmarkEnd w:id="878"/>
      <w:bookmarkEnd w:id="879"/>
      <w:bookmarkEnd w:id="880"/>
      <w:r>
        <w:rPr>
          <w:rStyle w:val="41"/>
          <w:rFonts w:hint="eastAsia" w:ascii="宋体" w:hAnsi="宋体"/>
          <w:szCs w:val="21"/>
        </w:rPr>
        <w:t xml:space="preserve">   </w:t>
      </w:r>
    </w:p>
    <w:p>
      <w:pPr>
        <w:autoSpaceDE w:val="0"/>
        <w:autoSpaceDN w:val="0"/>
        <w:adjustRightInd w:val="0"/>
        <w:snapToGrid w:val="0"/>
        <w:spacing w:line="420" w:lineRule="exact"/>
        <w:ind w:firstLine="420" w:firstLineChars="200"/>
        <w:rPr>
          <w:rFonts w:ascii="宋体" w:hAnsi="宋体" w:cs="宋体"/>
          <w:szCs w:val="21"/>
          <w:u w:val="single"/>
        </w:rPr>
      </w:pPr>
      <w:r>
        <w:rPr>
          <w:rFonts w:hint="eastAsia" w:ascii="宋体" w:hAnsi="宋体"/>
          <w:szCs w:val="21"/>
        </w:rPr>
        <w:t>9.1</w:t>
      </w:r>
      <w:r>
        <w:rPr>
          <w:rFonts w:hint="eastAsia" w:cs="宋体"/>
          <w:szCs w:val="21"/>
        </w:rPr>
        <w:t>其他</w:t>
      </w:r>
      <w:r>
        <w:rPr>
          <w:rFonts w:hint="eastAsia" w:ascii="宋体" w:hAnsi="宋体" w:cs="宋体"/>
          <w:szCs w:val="21"/>
        </w:rPr>
        <w:t>补充约定：</w:t>
      </w:r>
      <w:r>
        <w:rPr>
          <w:rFonts w:hint="eastAsia" w:ascii="宋体" w:hAnsi="宋体" w:cs="宋体"/>
          <w:szCs w:val="21"/>
          <w:u w:val="single"/>
        </w:rPr>
        <w:t xml:space="preserve">                                                            </w:t>
      </w:r>
    </w:p>
    <w:p>
      <w:pPr>
        <w:pStyle w:val="37"/>
        <w:spacing w:line="500" w:lineRule="exact"/>
        <w:ind w:firstLine="420" w:firstLineChars="200"/>
        <w:rPr>
          <w:rFonts w:ascii="宋体" w:hAnsi="宋体"/>
        </w:rPr>
      </w:pPr>
      <w:r>
        <w:rPr>
          <w:rFonts w:hint="eastAsia" w:ascii="宋体" w:hAnsi="宋体"/>
        </w:rPr>
        <w:t>9.2本合同一式</w:t>
      </w:r>
      <w:r>
        <w:rPr>
          <w:rFonts w:hint="eastAsia" w:ascii="宋体" w:hAnsi="宋体"/>
          <w:u w:val="single"/>
        </w:rPr>
        <w:t xml:space="preserve">    </w:t>
      </w:r>
      <w:r>
        <w:rPr>
          <w:rFonts w:hint="eastAsia" w:ascii="宋体" w:hAnsi="宋体"/>
        </w:rPr>
        <w:t>份，其中正本</w:t>
      </w:r>
      <w:r>
        <w:rPr>
          <w:rFonts w:hint="eastAsia" w:ascii="宋体" w:hAnsi="宋体"/>
          <w:u w:val="single"/>
        </w:rPr>
        <w:t xml:space="preserve">    </w:t>
      </w:r>
      <w:r>
        <w:rPr>
          <w:rFonts w:hint="eastAsia" w:ascii="宋体" w:hAnsi="宋体"/>
        </w:rPr>
        <w:t>份，副本</w:t>
      </w:r>
      <w:r>
        <w:rPr>
          <w:rFonts w:hint="eastAsia" w:ascii="宋体" w:hAnsi="宋体"/>
          <w:u w:val="single"/>
        </w:rPr>
        <w:t xml:space="preserve">    </w:t>
      </w:r>
      <w:r>
        <w:rPr>
          <w:rFonts w:hint="eastAsia" w:ascii="宋体" w:hAnsi="宋体"/>
        </w:rPr>
        <w:t>份，具有同等法律效力。甲乙双方各执正本</w:t>
      </w:r>
      <w:r>
        <w:rPr>
          <w:rFonts w:hint="eastAsia" w:ascii="宋体" w:hAnsi="宋体"/>
          <w:u w:val="single"/>
        </w:rPr>
        <w:t xml:space="preserve">   </w:t>
      </w:r>
      <w:r>
        <w:rPr>
          <w:rFonts w:hint="eastAsia" w:ascii="宋体" w:hAnsi="宋体"/>
        </w:rPr>
        <w:t>份，甲方执副本</w:t>
      </w:r>
      <w:r>
        <w:rPr>
          <w:rFonts w:hint="eastAsia" w:ascii="宋体" w:hAnsi="宋体"/>
          <w:u w:val="single"/>
        </w:rPr>
        <w:t xml:space="preserve">   </w:t>
      </w:r>
      <w:r>
        <w:rPr>
          <w:rFonts w:hint="eastAsia" w:ascii="宋体" w:hAnsi="宋体"/>
        </w:rPr>
        <w:t>份，乙方执副本</w:t>
      </w:r>
      <w:r>
        <w:rPr>
          <w:rFonts w:hint="eastAsia" w:ascii="宋体" w:hAnsi="宋体"/>
          <w:u w:val="single"/>
        </w:rPr>
        <w:t xml:space="preserve">   </w:t>
      </w:r>
      <w:r>
        <w:rPr>
          <w:rFonts w:hint="eastAsia" w:ascii="宋体" w:hAnsi="宋体"/>
        </w:rPr>
        <w:t>份。</w:t>
      </w:r>
    </w:p>
    <w:p>
      <w:pPr>
        <w:spacing w:line="500" w:lineRule="exact"/>
        <w:ind w:firstLine="420" w:firstLineChars="200"/>
        <w:rPr>
          <w:rFonts w:ascii="宋体" w:hAnsi="宋体"/>
          <w:szCs w:val="21"/>
        </w:rPr>
        <w:sectPr>
          <w:pgSz w:w="11906" w:h="16838"/>
          <w:pgMar w:top="1440" w:right="1800" w:bottom="1440" w:left="1800" w:header="851" w:footer="992" w:gutter="0"/>
          <w:pgNumType w:fmt="numberInDash"/>
          <w:cols w:space="720" w:num="1"/>
          <w:docGrid w:linePitch="312" w:charSpace="0"/>
        </w:sectPr>
      </w:pPr>
    </w:p>
    <w:p>
      <w:pPr>
        <w:spacing w:line="360" w:lineRule="auto"/>
        <w:jc w:val="center"/>
        <w:rPr>
          <w:b/>
          <w:bCs/>
          <w:sz w:val="24"/>
        </w:rPr>
      </w:pPr>
      <w:bookmarkStart w:id="881" w:name="_Toc422322557"/>
      <w:bookmarkStart w:id="882" w:name="_Toc419045126"/>
      <w:r>
        <w:rPr>
          <w:rFonts w:hint="eastAsia"/>
          <w:b/>
          <w:bCs/>
          <w:sz w:val="24"/>
        </w:rPr>
        <w:t>附录A 服务范围及工作内容、酬金一览表</w:t>
      </w:r>
      <w:bookmarkEnd w:id="881"/>
      <w:bookmarkEnd w:id="882"/>
    </w:p>
    <w:tbl>
      <w:tblPr>
        <w:tblStyle w:val="22"/>
        <w:tblW w:w="13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2425"/>
        <w:gridCol w:w="2577"/>
        <w:gridCol w:w="1269"/>
        <w:gridCol w:w="2041"/>
        <w:gridCol w:w="2500"/>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restart"/>
            <w:vAlign w:val="center"/>
          </w:tcPr>
          <w:p>
            <w:pPr>
              <w:pStyle w:val="19"/>
              <w:widowControl w:val="0"/>
              <w:spacing w:line="240" w:lineRule="auto"/>
              <w:jc w:val="both"/>
              <w:rPr>
                <w:sz w:val="21"/>
                <w:szCs w:val="21"/>
              </w:rPr>
            </w:pPr>
            <w:r>
              <w:rPr>
                <w:rFonts w:hint="eastAsia"/>
                <w:sz w:val="21"/>
                <w:szCs w:val="21"/>
              </w:rPr>
              <w:t>服务阶段</w:t>
            </w:r>
          </w:p>
        </w:tc>
        <w:tc>
          <w:tcPr>
            <w:tcW w:w="5002" w:type="dxa"/>
            <w:gridSpan w:val="2"/>
            <w:vAlign w:val="center"/>
          </w:tcPr>
          <w:p>
            <w:pPr>
              <w:pStyle w:val="19"/>
              <w:widowControl w:val="0"/>
              <w:spacing w:line="240" w:lineRule="auto"/>
              <w:jc w:val="both"/>
              <w:rPr>
                <w:sz w:val="21"/>
                <w:szCs w:val="21"/>
              </w:rPr>
            </w:pPr>
            <w:r>
              <w:rPr>
                <w:rFonts w:hint="eastAsia"/>
                <w:sz w:val="21"/>
                <w:szCs w:val="21"/>
              </w:rPr>
              <w:t>服务范围及工作内容</w:t>
            </w:r>
          </w:p>
        </w:tc>
        <w:tc>
          <w:tcPr>
            <w:tcW w:w="5810" w:type="dxa"/>
            <w:gridSpan w:val="3"/>
            <w:vAlign w:val="center"/>
          </w:tcPr>
          <w:p>
            <w:pPr>
              <w:pStyle w:val="19"/>
              <w:widowControl w:val="0"/>
              <w:spacing w:line="240" w:lineRule="auto"/>
              <w:jc w:val="both"/>
              <w:rPr>
                <w:sz w:val="21"/>
                <w:szCs w:val="21"/>
              </w:rPr>
            </w:pPr>
            <w:r>
              <w:rPr>
                <w:rFonts w:hint="eastAsia"/>
                <w:sz w:val="21"/>
                <w:szCs w:val="21"/>
              </w:rPr>
              <w:t>酬金</w:t>
            </w:r>
          </w:p>
        </w:tc>
        <w:tc>
          <w:tcPr>
            <w:tcW w:w="1042" w:type="dxa"/>
            <w:vAlign w:val="center"/>
          </w:tcPr>
          <w:p>
            <w:pPr>
              <w:pStyle w:val="19"/>
              <w:widowControl w:val="0"/>
              <w:spacing w:line="240" w:lineRule="auto"/>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pStyle w:val="19"/>
              <w:widowControl w:val="0"/>
              <w:spacing w:line="240" w:lineRule="auto"/>
              <w:jc w:val="both"/>
              <w:rPr>
                <w:sz w:val="21"/>
                <w:szCs w:val="21"/>
              </w:rPr>
            </w:pPr>
          </w:p>
        </w:tc>
        <w:tc>
          <w:tcPr>
            <w:tcW w:w="2425" w:type="dxa"/>
            <w:vAlign w:val="center"/>
          </w:tcPr>
          <w:p>
            <w:pPr>
              <w:pStyle w:val="19"/>
              <w:widowControl w:val="0"/>
              <w:spacing w:line="240" w:lineRule="auto"/>
              <w:jc w:val="both"/>
              <w:rPr>
                <w:sz w:val="21"/>
                <w:szCs w:val="21"/>
              </w:rPr>
            </w:pPr>
            <w:r>
              <w:rPr>
                <w:rFonts w:hint="eastAsia"/>
                <w:sz w:val="21"/>
                <w:szCs w:val="21"/>
              </w:rPr>
              <w:t>服务范围</w:t>
            </w:r>
          </w:p>
        </w:tc>
        <w:tc>
          <w:tcPr>
            <w:tcW w:w="2577" w:type="dxa"/>
            <w:vAlign w:val="center"/>
          </w:tcPr>
          <w:p>
            <w:pPr>
              <w:pStyle w:val="19"/>
              <w:widowControl w:val="0"/>
              <w:spacing w:line="240" w:lineRule="auto"/>
              <w:jc w:val="both"/>
              <w:rPr>
                <w:sz w:val="21"/>
                <w:szCs w:val="21"/>
              </w:rPr>
            </w:pPr>
            <w:r>
              <w:rPr>
                <w:rFonts w:hint="eastAsia"/>
                <w:sz w:val="21"/>
                <w:szCs w:val="21"/>
              </w:rPr>
              <w:t>工作内容</w:t>
            </w:r>
          </w:p>
        </w:tc>
        <w:tc>
          <w:tcPr>
            <w:tcW w:w="1269" w:type="dxa"/>
            <w:vAlign w:val="center"/>
          </w:tcPr>
          <w:p>
            <w:pPr>
              <w:pStyle w:val="19"/>
              <w:widowControl w:val="0"/>
              <w:spacing w:line="240" w:lineRule="auto"/>
              <w:jc w:val="both"/>
              <w:rPr>
                <w:sz w:val="21"/>
                <w:szCs w:val="21"/>
              </w:rPr>
            </w:pPr>
            <w:r>
              <w:rPr>
                <w:rFonts w:hint="eastAsia"/>
                <w:sz w:val="21"/>
                <w:szCs w:val="21"/>
              </w:rPr>
              <w:t>收费基数</w:t>
            </w:r>
          </w:p>
        </w:tc>
        <w:tc>
          <w:tcPr>
            <w:tcW w:w="2041" w:type="dxa"/>
            <w:vAlign w:val="center"/>
          </w:tcPr>
          <w:p>
            <w:pPr>
              <w:pStyle w:val="19"/>
              <w:widowControl w:val="0"/>
              <w:spacing w:line="240" w:lineRule="auto"/>
              <w:jc w:val="both"/>
              <w:rPr>
                <w:sz w:val="21"/>
                <w:szCs w:val="21"/>
              </w:rPr>
            </w:pPr>
            <w:r>
              <w:rPr>
                <w:rFonts w:hint="eastAsia"/>
                <w:sz w:val="21"/>
                <w:szCs w:val="21"/>
              </w:rPr>
              <w:t>收费标准（比例）</w:t>
            </w:r>
          </w:p>
        </w:tc>
        <w:tc>
          <w:tcPr>
            <w:tcW w:w="2500" w:type="dxa"/>
            <w:vAlign w:val="center"/>
          </w:tcPr>
          <w:p>
            <w:pPr>
              <w:pStyle w:val="19"/>
              <w:widowControl w:val="0"/>
              <w:spacing w:line="240" w:lineRule="auto"/>
              <w:jc w:val="both"/>
              <w:rPr>
                <w:sz w:val="21"/>
                <w:szCs w:val="21"/>
              </w:rPr>
            </w:pPr>
            <w:r>
              <w:rPr>
                <w:rFonts w:hint="eastAsia"/>
                <w:sz w:val="21"/>
                <w:szCs w:val="21"/>
              </w:rPr>
              <w:t>酬金数额（单位：万元）</w:t>
            </w:r>
          </w:p>
        </w:tc>
        <w:tc>
          <w:tcPr>
            <w:tcW w:w="1042" w:type="dxa"/>
            <w:vAlign w:val="center"/>
          </w:tcPr>
          <w:p>
            <w:pPr>
              <w:pStyle w:val="19"/>
              <w:widowControl w:val="0"/>
              <w:spacing w:line="240" w:lineRule="auto"/>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restart"/>
            <w:vAlign w:val="center"/>
          </w:tcPr>
          <w:p>
            <w:pPr>
              <w:pStyle w:val="19"/>
              <w:widowControl w:val="0"/>
              <w:spacing w:line="240" w:lineRule="auto"/>
              <w:jc w:val="both"/>
              <w:rPr>
                <w:sz w:val="21"/>
                <w:szCs w:val="21"/>
              </w:rPr>
            </w:pPr>
            <w:r>
              <w:rPr>
                <w:rFonts w:hint="eastAsia"/>
                <w:sz w:val="21"/>
                <w:szCs w:val="21"/>
              </w:rPr>
              <w:t>决策阶段</w:t>
            </w:r>
          </w:p>
        </w:tc>
        <w:tc>
          <w:tcPr>
            <w:tcW w:w="2425" w:type="dxa"/>
            <w:vAlign w:val="center"/>
          </w:tcPr>
          <w:p>
            <w:pPr>
              <w:spacing w:line="240" w:lineRule="auto"/>
              <w:jc w:val="left"/>
              <w:rPr>
                <w:szCs w:val="21"/>
              </w:rPr>
            </w:pPr>
            <w:r>
              <w:rPr>
                <w:rFonts w:hint="eastAsia"/>
                <w:szCs w:val="21"/>
              </w:rPr>
              <w:t>投资估算</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pStyle w:val="19"/>
              <w:widowControl w:val="0"/>
              <w:spacing w:line="240" w:lineRule="auto"/>
              <w:jc w:val="both"/>
              <w:rPr>
                <w:sz w:val="21"/>
                <w:szCs w:val="21"/>
              </w:rPr>
            </w:pPr>
          </w:p>
        </w:tc>
        <w:tc>
          <w:tcPr>
            <w:tcW w:w="2425" w:type="dxa"/>
            <w:vAlign w:val="center"/>
          </w:tcPr>
          <w:p>
            <w:pPr>
              <w:spacing w:line="240" w:lineRule="auto"/>
              <w:jc w:val="both"/>
              <w:rPr>
                <w:szCs w:val="21"/>
              </w:rPr>
            </w:pPr>
            <w:r>
              <w:rPr>
                <w:rFonts w:hint="eastAsia"/>
                <w:szCs w:val="21"/>
              </w:rPr>
              <w:t>经济评价</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pStyle w:val="19"/>
              <w:widowControl w:val="0"/>
              <w:spacing w:line="240" w:lineRule="auto"/>
              <w:jc w:val="both"/>
              <w:rPr>
                <w:sz w:val="21"/>
                <w:szCs w:val="21"/>
              </w:rPr>
            </w:pPr>
          </w:p>
        </w:tc>
        <w:tc>
          <w:tcPr>
            <w:tcW w:w="2425" w:type="dxa"/>
            <w:vAlign w:val="center"/>
          </w:tcPr>
          <w:p>
            <w:pPr>
              <w:spacing w:line="240" w:lineRule="auto"/>
              <w:jc w:val="both"/>
              <w:rPr>
                <w:szCs w:val="21"/>
              </w:rPr>
            </w:pPr>
            <w:r>
              <w:rPr>
                <w:rFonts w:hint="eastAsia"/>
                <w:szCs w:val="21"/>
              </w:rPr>
              <w:t>其他：</w:t>
            </w:r>
          </w:p>
        </w:tc>
        <w:tc>
          <w:tcPr>
            <w:tcW w:w="2577" w:type="dxa"/>
            <w:vAlign w:val="center"/>
          </w:tcPr>
          <w:p>
            <w:pPr>
              <w:spacing w:line="240" w:lineRule="auto"/>
              <w:jc w:val="both"/>
              <w:rPr>
                <w:szCs w:val="21"/>
              </w:rPr>
            </w:pP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restart"/>
            <w:vAlign w:val="center"/>
          </w:tcPr>
          <w:p>
            <w:pPr>
              <w:pStyle w:val="19"/>
              <w:widowControl w:val="0"/>
              <w:spacing w:line="240" w:lineRule="auto"/>
              <w:jc w:val="both"/>
              <w:rPr>
                <w:sz w:val="21"/>
                <w:szCs w:val="21"/>
              </w:rPr>
            </w:pPr>
            <w:r>
              <w:rPr>
                <w:rFonts w:hint="eastAsia"/>
                <w:sz w:val="21"/>
                <w:szCs w:val="21"/>
              </w:rPr>
              <w:t>设计阶段</w:t>
            </w:r>
          </w:p>
        </w:tc>
        <w:tc>
          <w:tcPr>
            <w:tcW w:w="2425" w:type="dxa"/>
            <w:vAlign w:val="center"/>
          </w:tcPr>
          <w:p>
            <w:pPr>
              <w:spacing w:line="240" w:lineRule="auto"/>
              <w:jc w:val="both"/>
              <w:rPr>
                <w:szCs w:val="21"/>
              </w:rPr>
            </w:pPr>
            <w:r>
              <w:rPr>
                <w:rFonts w:hint="eastAsia"/>
                <w:szCs w:val="21"/>
              </w:rPr>
              <w:t>设计概算</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pStyle w:val="19"/>
              <w:widowControl w:val="0"/>
              <w:spacing w:line="240" w:lineRule="auto"/>
              <w:jc w:val="both"/>
              <w:rPr>
                <w:sz w:val="21"/>
                <w:szCs w:val="21"/>
              </w:rPr>
            </w:pPr>
          </w:p>
        </w:tc>
        <w:tc>
          <w:tcPr>
            <w:tcW w:w="2425" w:type="dxa"/>
            <w:vAlign w:val="center"/>
          </w:tcPr>
          <w:p>
            <w:pPr>
              <w:spacing w:line="240" w:lineRule="auto"/>
              <w:jc w:val="both"/>
              <w:rPr>
                <w:szCs w:val="21"/>
              </w:rPr>
            </w:pPr>
            <w:r>
              <w:rPr>
                <w:rFonts w:hint="eastAsia"/>
                <w:szCs w:val="21"/>
              </w:rPr>
              <w:t>施工图预算</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pStyle w:val="19"/>
              <w:widowControl w:val="0"/>
              <w:spacing w:line="240" w:lineRule="auto"/>
              <w:jc w:val="both"/>
              <w:rPr>
                <w:sz w:val="21"/>
                <w:szCs w:val="21"/>
              </w:rPr>
            </w:pPr>
          </w:p>
        </w:tc>
        <w:tc>
          <w:tcPr>
            <w:tcW w:w="2425" w:type="dxa"/>
            <w:vAlign w:val="center"/>
          </w:tcPr>
          <w:p>
            <w:pPr>
              <w:spacing w:line="240" w:lineRule="auto"/>
              <w:jc w:val="both"/>
              <w:rPr>
                <w:szCs w:val="21"/>
              </w:rPr>
            </w:pPr>
            <w:r>
              <w:rPr>
                <w:rFonts w:hint="eastAsia"/>
                <w:szCs w:val="21"/>
              </w:rPr>
              <w:t>其他：</w:t>
            </w:r>
          </w:p>
        </w:tc>
        <w:tc>
          <w:tcPr>
            <w:tcW w:w="2577" w:type="dxa"/>
            <w:vAlign w:val="center"/>
          </w:tcPr>
          <w:p>
            <w:pPr>
              <w:spacing w:line="240" w:lineRule="auto"/>
              <w:jc w:val="both"/>
              <w:rPr>
                <w:szCs w:val="21"/>
              </w:rPr>
            </w:pP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restart"/>
            <w:vAlign w:val="center"/>
          </w:tcPr>
          <w:p>
            <w:pPr>
              <w:spacing w:line="240" w:lineRule="auto"/>
              <w:jc w:val="both"/>
              <w:rPr>
                <w:szCs w:val="21"/>
              </w:rPr>
            </w:pPr>
            <w:r>
              <w:rPr>
                <w:rFonts w:hint="eastAsia"/>
                <w:szCs w:val="21"/>
              </w:rPr>
              <w:t>发承包阶段</w:t>
            </w:r>
          </w:p>
        </w:tc>
        <w:tc>
          <w:tcPr>
            <w:tcW w:w="2425" w:type="dxa"/>
            <w:vAlign w:val="center"/>
          </w:tcPr>
          <w:p>
            <w:pPr>
              <w:spacing w:line="240" w:lineRule="auto"/>
              <w:jc w:val="both"/>
              <w:rPr>
                <w:szCs w:val="21"/>
              </w:rPr>
            </w:pPr>
            <w:r>
              <w:rPr>
                <w:rFonts w:hint="eastAsia"/>
                <w:szCs w:val="21"/>
              </w:rPr>
              <w:t>工程量清单</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spacing w:line="240" w:lineRule="auto"/>
              <w:jc w:val="both"/>
              <w:rPr>
                <w:szCs w:val="21"/>
              </w:rPr>
            </w:pPr>
          </w:p>
        </w:tc>
        <w:tc>
          <w:tcPr>
            <w:tcW w:w="2425" w:type="dxa"/>
            <w:vAlign w:val="center"/>
          </w:tcPr>
          <w:p>
            <w:pPr>
              <w:spacing w:line="240" w:lineRule="auto"/>
              <w:jc w:val="both"/>
              <w:rPr>
                <w:szCs w:val="21"/>
              </w:rPr>
            </w:pPr>
            <w:r>
              <w:rPr>
                <w:rFonts w:hint="eastAsia"/>
                <w:szCs w:val="21"/>
              </w:rPr>
              <w:t>最高投标限价</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spacing w:line="240" w:lineRule="auto"/>
              <w:jc w:val="both"/>
              <w:rPr>
                <w:szCs w:val="21"/>
              </w:rPr>
            </w:pPr>
          </w:p>
        </w:tc>
        <w:tc>
          <w:tcPr>
            <w:tcW w:w="2425" w:type="dxa"/>
            <w:vAlign w:val="center"/>
          </w:tcPr>
          <w:p>
            <w:pPr>
              <w:spacing w:line="240" w:lineRule="auto"/>
              <w:jc w:val="both"/>
              <w:rPr>
                <w:szCs w:val="21"/>
              </w:rPr>
            </w:pPr>
            <w:r>
              <w:rPr>
                <w:rFonts w:hint="eastAsia"/>
                <w:szCs w:val="21"/>
              </w:rPr>
              <w:t>投标报价分析</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spacing w:line="240" w:lineRule="auto"/>
              <w:jc w:val="both"/>
              <w:rPr>
                <w:szCs w:val="21"/>
              </w:rPr>
            </w:pPr>
          </w:p>
        </w:tc>
        <w:tc>
          <w:tcPr>
            <w:tcW w:w="2425" w:type="dxa"/>
            <w:vAlign w:val="center"/>
          </w:tcPr>
          <w:p>
            <w:pPr>
              <w:spacing w:line="240" w:lineRule="auto"/>
              <w:jc w:val="both"/>
              <w:rPr>
                <w:szCs w:val="21"/>
              </w:rPr>
            </w:pPr>
            <w:r>
              <w:rPr>
                <w:rFonts w:hint="eastAsia"/>
                <w:szCs w:val="21"/>
              </w:rPr>
              <w:t>清标报告</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spacing w:line="240" w:lineRule="auto"/>
              <w:jc w:val="both"/>
              <w:rPr>
                <w:szCs w:val="21"/>
              </w:rPr>
            </w:pPr>
          </w:p>
        </w:tc>
        <w:tc>
          <w:tcPr>
            <w:tcW w:w="2425" w:type="dxa"/>
            <w:vAlign w:val="center"/>
          </w:tcPr>
          <w:p>
            <w:pPr>
              <w:spacing w:line="240" w:lineRule="auto"/>
              <w:jc w:val="both"/>
              <w:rPr>
                <w:szCs w:val="21"/>
              </w:rPr>
            </w:pPr>
            <w:r>
              <w:rPr>
                <w:rFonts w:hint="eastAsia"/>
                <w:szCs w:val="21"/>
              </w:rPr>
              <w:t>其他：</w:t>
            </w:r>
          </w:p>
          <w:p>
            <w:pPr>
              <w:spacing w:line="240" w:lineRule="auto"/>
              <w:jc w:val="both"/>
              <w:rPr>
                <w:szCs w:val="21"/>
              </w:rPr>
            </w:pPr>
          </w:p>
          <w:p>
            <w:pPr>
              <w:spacing w:line="240" w:lineRule="auto"/>
              <w:jc w:val="both"/>
              <w:rPr>
                <w:szCs w:val="21"/>
              </w:rPr>
            </w:pPr>
          </w:p>
        </w:tc>
        <w:tc>
          <w:tcPr>
            <w:tcW w:w="2577" w:type="dxa"/>
            <w:vAlign w:val="center"/>
          </w:tcPr>
          <w:p>
            <w:pPr>
              <w:spacing w:line="240" w:lineRule="auto"/>
              <w:jc w:val="both"/>
              <w:rPr>
                <w:szCs w:val="21"/>
              </w:rPr>
            </w:pP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restart"/>
            <w:vAlign w:val="center"/>
          </w:tcPr>
          <w:p>
            <w:pPr>
              <w:spacing w:line="240" w:lineRule="auto"/>
              <w:jc w:val="both"/>
              <w:rPr>
                <w:szCs w:val="21"/>
              </w:rPr>
            </w:pPr>
          </w:p>
          <w:p>
            <w:pPr>
              <w:spacing w:line="240" w:lineRule="auto"/>
              <w:jc w:val="both"/>
              <w:rPr>
                <w:szCs w:val="21"/>
              </w:rPr>
            </w:pPr>
          </w:p>
          <w:p>
            <w:pPr>
              <w:spacing w:line="240" w:lineRule="auto"/>
              <w:jc w:val="both"/>
              <w:rPr>
                <w:szCs w:val="21"/>
              </w:rPr>
            </w:pPr>
          </w:p>
          <w:p>
            <w:pPr>
              <w:spacing w:line="240" w:lineRule="auto"/>
              <w:jc w:val="both"/>
              <w:rPr>
                <w:szCs w:val="21"/>
              </w:rPr>
            </w:pPr>
            <w:r>
              <w:rPr>
                <w:rFonts w:hint="eastAsia"/>
                <w:szCs w:val="21"/>
              </w:rPr>
              <w:t>实施阶段</w:t>
            </w:r>
          </w:p>
        </w:tc>
        <w:tc>
          <w:tcPr>
            <w:tcW w:w="2425" w:type="dxa"/>
            <w:vAlign w:val="center"/>
          </w:tcPr>
          <w:p>
            <w:pPr>
              <w:spacing w:line="240" w:lineRule="auto"/>
              <w:jc w:val="both"/>
              <w:rPr>
                <w:szCs w:val="21"/>
              </w:rPr>
            </w:pPr>
          </w:p>
          <w:p>
            <w:pPr>
              <w:spacing w:line="240" w:lineRule="auto"/>
              <w:jc w:val="both"/>
              <w:rPr>
                <w:szCs w:val="21"/>
              </w:rPr>
            </w:pPr>
            <w:r>
              <w:rPr>
                <w:rFonts w:hint="eastAsia"/>
                <w:szCs w:val="21"/>
              </w:rPr>
              <w:t>资金使用计划</w:t>
            </w:r>
          </w:p>
        </w:tc>
        <w:tc>
          <w:tcPr>
            <w:tcW w:w="2577" w:type="dxa"/>
            <w:vAlign w:val="center"/>
          </w:tcPr>
          <w:p>
            <w:pPr>
              <w:spacing w:line="240" w:lineRule="auto"/>
              <w:jc w:val="both"/>
              <w:rPr>
                <w:szCs w:val="21"/>
              </w:rPr>
            </w:pPr>
          </w:p>
          <w:p>
            <w:pPr>
              <w:spacing w:line="240" w:lineRule="auto"/>
              <w:jc w:val="both"/>
              <w:rPr>
                <w:szCs w:val="21"/>
              </w:rPr>
            </w:pPr>
            <w:r>
              <w:rPr>
                <w:rFonts w:hint="eastAsia"/>
                <w:szCs w:val="21"/>
              </w:rPr>
              <w:t>□编制</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spacing w:line="240" w:lineRule="auto"/>
              <w:jc w:val="both"/>
              <w:rPr>
                <w:szCs w:val="21"/>
              </w:rPr>
            </w:pPr>
          </w:p>
        </w:tc>
        <w:tc>
          <w:tcPr>
            <w:tcW w:w="2425" w:type="dxa"/>
            <w:vAlign w:val="center"/>
          </w:tcPr>
          <w:p>
            <w:pPr>
              <w:spacing w:line="240" w:lineRule="auto"/>
              <w:jc w:val="both"/>
              <w:rPr>
                <w:szCs w:val="21"/>
              </w:rPr>
            </w:pPr>
            <w:r>
              <w:rPr>
                <w:rFonts w:hint="eastAsia"/>
                <w:szCs w:val="21"/>
              </w:rPr>
              <w:t>工程计量与工程款审核</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spacing w:line="240" w:lineRule="auto"/>
              <w:jc w:val="both"/>
              <w:rPr>
                <w:szCs w:val="21"/>
              </w:rPr>
            </w:pPr>
          </w:p>
        </w:tc>
        <w:tc>
          <w:tcPr>
            <w:tcW w:w="2425" w:type="dxa"/>
            <w:vAlign w:val="center"/>
          </w:tcPr>
          <w:p>
            <w:pPr>
              <w:spacing w:line="240" w:lineRule="auto"/>
              <w:jc w:val="both"/>
              <w:rPr>
                <w:szCs w:val="21"/>
              </w:rPr>
            </w:pPr>
            <w:r>
              <w:rPr>
                <w:rFonts w:hint="eastAsia"/>
                <w:szCs w:val="21"/>
              </w:rPr>
              <w:t>合同价款调整</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spacing w:line="240" w:lineRule="auto"/>
              <w:jc w:val="both"/>
              <w:rPr>
                <w:szCs w:val="21"/>
              </w:rPr>
            </w:pPr>
          </w:p>
        </w:tc>
        <w:tc>
          <w:tcPr>
            <w:tcW w:w="2425" w:type="dxa"/>
            <w:vAlign w:val="center"/>
          </w:tcPr>
          <w:p>
            <w:pPr>
              <w:spacing w:line="240" w:lineRule="auto"/>
              <w:jc w:val="both"/>
              <w:rPr>
                <w:szCs w:val="21"/>
              </w:rPr>
            </w:pPr>
            <w:r>
              <w:rPr>
                <w:rFonts w:hint="eastAsia"/>
                <w:szCs w:val="21"/>
              </w:rPr>
              <w:t>工程变更、索赔、签证</w:t>
            </w:r>
          </w:p>
        </w:tc>
        <w:tc>
          <w:tcPr>
            <w:tcW w:w="2577" w:type="dxa"/>
            <w:vAlign w:val="center"/>
          </w:tcPr>
          <w:p>
            <w:pPr>
              <w:spacing w:line="240" w:lineRule="auto"/>
              <w:jc w:val="both"/>
              <w:rPr>
                <w:szCs w:val="21"/>
              </w:rPr>
            </w:pPr>
            <w:r>
              <w:rPr>
                <w:rFonts w:hint="eastAsia"/>
                <w:szCs w:val="21"/>
              </w:rPr>
              <w:t>□审核</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spacing w:line="240" w:lineRule="auto"/>
              <w:jc w:val="both"/>
              <w:rPr>
                <w:szCs w:val="21"/>
              </w:rPr>
            </w:pPr>
          </w:p>
        </w:tc>
        <w:tc>
          <w:tcPr>
            <w:tcW w:w="2425" w:type="dxa"/>
            <w:vAlign w:val="center"/>
          </w:tcPr>
          <w:p>
            <w:pPr>
              <w:spacing w:line="240" w:lineRule="auto"/>
              <w:jc w:val="both"/>
              <w:rPr>
                <w:szCs w:val="21"/>
              </w:rPr>
            </w:pPr>
            <w:r>
              <w:rPr>
                <w:rFonts w:hint="eastAsia"/>
                <w:szCs w:val="21"/>
              </w:rPr>
              <w:t>工程实施阶段造价控制</w:t>
            </w:r>
          </w:p>
        </w:tc>
        <w:tc>
          <w:tcPr>
            <w:tcW w:w="2577" w:type="dxa"/>
            <w:vAlign w:val="center"/>
          </w:tcPr>
          <w:p>
            <w:pPr>
              <w:spacing w:line="240" w:lineRule="auto"/>
              <w:jc w:val="both"/>
              <w:rPr>
                <w:szCs w:val="21"/>
              </w:rPr>
            </w:pP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spacing w:line="240" w:lineRule="auto"/>
              <w:jc w:val="both"/>
              <w:rPr>
                <w:szCs w:val="21"/>
              </w:rPr>
            </w:pPr>
          </w:p>
        </w:tc>
        <w:tc>
          <w:tcPr>
            <w:tcW w:w="2425" w:type="dxa"/>
            <w:vAlign w:val="center"/>
          </w:tcPr>
          <w:p>
            <w:pPr>
              <w:spacing w:line="240" w:lineRule="auto"/>
              <w:jc w:val="both"/>
              <w:rPr>
                <w:szCs w:val="21"/>
              </w:rPr>
            </w:pPr>
            <w:r>
              <w:rPr>
                <w:rFonts w:hint="eastAsia"/>
                <w:szCs w:val="21"/>
              </w:rPr>
              <w:t>其他：</w:t>
            </w:r>
          </w:p>
        </w:tc>
        <w:tc>
          <w:tcPr>
            <w:tcW w:w="2577" w:type="dxa"/>
            <w:vAlign w:val="center"/>
          </w:tcPr>
          <w:p>
            <w:pPr>
              <w:spacing w:line="240" w:lineRule="auto"/>
              <w:jc w:val="both"/>
              <w:rPr>
                <w:szCs w:val="21"/>
              </w:rPr>
            </w:pP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restart"/>
            <w:vAlign w:val="center"/>
          </w:tcPr>
          <w:p>
            <w:pPr>
              <w:spacing w:line="240" w:lineRule="auto"/>
              <w:jc w:val="both"/>
              <w:rPr>
                <w:szCs w:val="21"/>
              </w:rPr>
            </w:pPr>
            <w:r>
              <w:rPr>
                <w:rFonts w:hint="eastAsia"/>
                <w:szCs w:val="21"/>
              </w:rPr>
              <w:t>竣工阶段</w:t>
            </w:r>
          </w:p>
        </w:tc>
        <w:tc>
          <w:tcPr>
            <w:tcW w:w="2425" w:type="dxa"/>
            <w:vAlign w:val="center"/>
          </w:tcPr>
          <w:p>
            <w:pPr>
              <w:spacing w:line="240" w:lineRule="auto"/>
              <w:jc w:val="both"/>
              <w:rPr>
                <w:szCs w:val="21"/>
              </w:rPr>
            </w:pPr>
            <w:r>
              <w:rPr>
                <w:rFonts w:hint="eastAsia"/>
                <w:szCs w:val="21"/>
              </w:rPr>
              <w:t>竣工结算</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spacing w:line="240" w:lineRule="auto"/>
              <w:jc w:val="both"/>
              <w:rPr>
                <w:szCs w:val="21"/>
              </w:rPr>
            </w:pPr>
          </w:p>
        </w:tc>
        <w:tc>
          <w:tcPr>
            <w:tcW w:w="2425" w:type="dxa"/>
            <w:vAlign w:val="center"/>
          </w:tcPr>
          <w:p>
            <w:pPr>
              <w:spacing w:line="240" w:lineRule="auto"/>
              <w:jc w:val="both"/>
              <w:rPr>
                <w:szCs w:val="21"/>
              </w:rPr>
            </w:pPr>
            <w:r>
              <w:rPr>
                <w:rFonts w:hint="eastAsia"/>
                <w:szCs w:val="21"/>
              </w:rPr>
              <w:t>竣工决算</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spacing w:line="240" w:lineRule="auto"/>
              <w:jc w:val="both"/>
              <w:rPr>
                <w:szCs w:val="21"/>
              </w:rPr>
            </w:pPr>
          </w:p>
        </w:tc>
        <w:tc>
          <w:tcPr>
            <w:tcW w:w="2425" w:type="dxa"/>
            <w:vAlign w:val="center"/>
          </w:tcPr>
          <w:p>
            <w:pPr>
              <w:spacing w:line="240" w:lineRule="auto"/>
              <w:jc w:val="both"/>
              <w:rPr>
                <w:szCs w:val="21"/>
              </w:rPr>
            </w:pPr>
            <w:r>
              <w:rPr>
                <w:rFonts w:hint="eastAsia"/>
                <w:szCs w:val="21"/>
              </w:rPr>
              <w:t>其他：</w:t>
            </w:r>
          </w:p>
        </w:tc>
        <w:tc>
          <w:tcPr>
            <w:tcW w:w="2577" w:type="dxa"/>
            <w:vAlign w:val="center"/>
          </w:tcPr>
          <w:p>
            <w:pPr>
              <w:spacing w:line="240" w:lineRule="auto"/>
              <w:jc w:val="both"/>
              <w:rPr>
                <w:szCs w:val="21"/>
              </w:rPr>
            </w:pP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Align w:val="center"/>
          </w:tcPr>
          <w:p>
            <w:pPr>
              <w:spacing w:line="240" w:lineRule="auto"/>
              <w:jc w:val="both"/>
              <w:rPr>
                <w:szCs w:val="21"/>
              </w:rPr>
            </w:pPr>
            <w:r>
              <w:rPr>
                <w:rFonts w:hint="eastAsia"/>
                <w:szCs w:val="21"/>
              </w:rPr>
              <w:t>其他服务</w:t>
            </w:r>
          </w:p>
        </w:tc>
        <w:tc>
          <w:tcPr>
            <w:tcW w:w="2425" w:type="dxa"/>
            <w:vAlign w:val="center"/>
          </w:tcPr>
          <w:p>
            <w:pPr>
              <w:spacing w:line="240" w:lineRule="auto"/>
              <w:jc w:val="both"/>
              <w:rPr>
                <w:szCs w:val="21"/>
              </w:rPr>
            </w:pPr>
            <w:r>
              <w:rPr>
                <w:rFonts w:hint="eastAsia"/>
                <w:szCs w:val="21"/>
              </w:rPr>
              <w:t>工程造价鉴定</w:t>
            </w:r>
          </w:p>
        </w:tc>
        <w:tc>
          <w:tcPr>
            <w:tcW w:w="2577" w:type="dxa"/>
            <w:vAlign w:val="center"/>
          </w:tcPr>
          <w:p>
            <w:pPr>
              <w:spacing w:line="240" w:lineRule="auto"/>
              <w:jc w:val="both"/>
              <w:rPr>
                <w:szCs w:val="21"/>
              </w:rPr>
            </w:pP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bl>
    <w:p>
      <w:pPr>
        <w:spacing w:line="360" w:lineRule="auto"/>
        <w:rPr>
          <w:b/>
        </w:rPr>
      </w:pPr>
      <w:r>
        <w:rPr>
          <w:rFonts w:hint="eastAsia"/>
          <w:b/>
        </w:rPr>
        <w:t xml:space="preserve">           </w:t>
      </w:r>
    </w:p>
    <w:p>
      <w:pPr>
        <w:spacing w:line="360" w:lineRule="auto"/>
      </w:pPr>
      <w:r>
        <w:rPr>
          <w:rFonts w:hint="eastAsia"/>
          <w:b/>
        </w:rPr>
        <w:t xml:space="preserve"> </w:t>
      </w:r>
      <w:r>
        <w:rPr>
          <w:b/>
        </w:rPr>
        <w:t xml:space="preserve"> </w:t>
      </w:r>
      <w:r>
        <w:rPr>
          <w:rFonts w:hint="eastAsia"/>
          <w:b/>
        </w:rPr>
        <w:t>注</w:t>
      </w:r>
      <w:r>
        <w:rPr>
          <w:b/>
        </w:rPr>
        <w:t>：</w:t>
      </w:r>
      <w:r>
        <w:rPr>
          <w:rFonts w:hint="eastAsia"/>
        </w:rPr>
        <w:t xml:space="preserve"> </w:t>
      </w:r>
      <w:r>
        <w:t>1.</w:t>
      </w:r>
      <w:r>
        <w:rPr>
          <w:rFonts w:hint="eastAsia"/>
        </w:rPr>
        <w:t>附录A中服务范围及工作内容未涉及</w:t>
      </w:r>
      <w:r>
        <w:t>的可在“</w:t>
      </w:r>
      <w:r>
        <w:rPr>
          <w:rFonts w:hint="eastAsia"/>
        </w:rPr>
        <w:t>其他</w:t>
      </w:r>
      <w:r>
        <w:t>”</w:t>
      </w:r>
      <w:r>
        <w:rPr>
          <w:rFonts w:hint="eastAsia"/>
        </w:rPr>
        <w:t>项</w:t>
      </w:r>
      <w:r>
        <w:t>中列明。</w:t>
      </w:r>
    </w:p>
    <w:p>
      <w:pPr>
        <w:spacing w:line="360" w:lineRule="auto"/>
        <w:ind w:firstLine="735" w:firstLineChars="350"/>
        <w:rPr>
          <w:bCs/>
        </w:rPr>
        <w:sectPr>
          <w:pgSz w:w="16838" w:h="11906" w:orient="landscape"/>
          <w:pgMar w:top="1440" w:right="1800" w:bottom="1440" w:left="1800" w:header="851" w:footer="992" w:gutter="0"/>
          <w:pgNumType w:fmt="numberInDash"/>
          <w:cols w:space="720" w:num="1"/>
          <w:docGrid w:linePitch="312" w:charSpace="0"/>
        </w:sectPr>
      </w:pPr>
      <w:r>
        <w:rPr>
          <w:bCs/>
        </w:rPr>
        <w:t>2.</w:t>
      </w:r>
      <w:r>
        <w:rPr>
          <w:rFonts w:hint="eastAsia"/>
          <w:bCs/>
        </w:rPr>
        <w:t>实行全过程造价咨询的工程，服务范围及工作内容按上表，酬金及计取方式为：______________________________</w:t>
      </w:r>
      <w:r>
        <w:rPr>
          <w:rFonts w:hint="eastAsia"/>
          <w:bCs/>
          <w:u w:val="single"/>
        </w:rPr>
        <w:t xml:space="preserve">     </w:t>
      </w:r>
      <w:r>
        <w:rPr>
          <w:rFonts w:hint="eastAsia"/>
          <w:bCs/>
        </w:rPr>
        <w:t>。</w:t>
      </w:r>
    </w:p>
    <w:p>
      <w:pPr>
        <w:spacing w:line="360" w:lineRule="auto"/>
        <w:jc w:val="center"/>
        <w:rPr>
          <w:rFonts w:ascii="Calibri" w:hAnsi="Calibri" w:eastAsia="Calibri" w:cs="Arial"/>
          <w:b/>
          <w:bCs/>
          <w:sz w:val="24"/>
        </w:rPr>
      </w:pPr>
      <w:r>
        <w:rPr>
          <w:rFonts w:hint="eastAsia" w:ascii="Calibri" w:hAnsi="Calibri" w:eastAsia="Calibri" w:cs="Arial"/>
          <w:b/>
          <w:bCs/>
          <w:sz w:val="24"/>
        </w:rPr>
        <w:t>附录B 咨询人提交成果文件一览表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2977"/>
        <w:gridCol w:w="2849"/>
        <w:gridCol w:w="1276"/>
        <w:gridCol w:w="709"/>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Align w:val="center"/>
          </w:tcPr>
          <w:p>
            <w:pPr>
              <w:spacing w:line="240" w:lineRule="auto"/>
              <w:jc w:val="center"/>
              <w:rPr>
                <w:bCs/>
                <w:szCs w:val="21"/>
              </w:rPr>
            </w:pPr>
            <w:r>
              <w:rPr>
                <w:rFonts w:hint="eastAsia"/>
                <w:bCs/>
                <w:szCs w:val="21"/>
              </w:rPr>
              <w:t>服务阶段</w:t>
            </w:r>
          </w:p>
        </w:tc>
        <w:tc>
          <w:tcPr>
            <w:tcW w:w="2977" w:type="dxa"/>
            <w:vAlign w:val="center"/>
          </w:tcPr>
          <w:p>
            <w:pPr>
              <w:spacing w:line="240" w:lineRule="auto"/>
              <w:jc w:val="center"/>
              <w:rPr>
                <w:bCs/>
                <w:szCs w:val="21"/>
              </w:rPr>
            </w:pPr>
            <w:r>
              <w:rPr>
                <w:rFonts w:hint="eastAsia"/>
                <w:bCs/>
                <w:szCs w:val="21"/>
              </w:rPr>
              <w:t>成果文件名称</w:t>
            </w:r>
          </w:p>
        </w:tc>
        <w:tc>
          <w:tcPr>
            <w:tcW w:w="2849" w:type="dxa"/>
            <w:vAlign w:val="center"/>
          </w:tcPr>
          <w:p>
            <w:pPr>
              <w:spacing w:line="240" w:lineRule="auto"/>
              <w:jc w:val="center"/>
              <w:rPr>
                <w:bCs/>
                <w:szCs w:val="21"/>
              </w:rPr>
            </w:pPr>
            <w:r>
              <w:rPr>
                <w:rFonts w:hint="eastAsia"/>
                <w:bCs/>
                <w:szCs w:val="21"/>
              </w:rPr>
              <w:t>成果文件组成</w:t>
            </w:r>
          </w:p>
        </w:tc>
        <w:tc>
          <w:tcPr>
            <w:tcW w:w="1276" w:type="dxa"/>
            <w:vAlign w:val="center"/>
          </w:tcPr>
          <w:p>
            <w:pPr>
              <w:spacing w:line="240" w:lineRule="auto"/>
              <w:jc w:val="center"/>
              <w:rPr>
                <w:bCs/>
                <w:szCs w:val="21"/>
              </w:rPr>
            </w:pPr>
            <w:r>
              <w:rPr>
                <w:rFonts w:hint="eastAsia"/>
                <w:bCs/>
                <w:szCs w:val="21"/>
              </w:rPr>
              <w:t>提交时间</w:t>
            </w:r>
          </w:p>
        </w:tc>
        <w:tc>
          <w:tcPr>
            <w:tcW w:w="709" w:type="dxa"/>
            <w:vAlign w:val="center"/>
          </w:tcPr>
          <w:p>
            <w:pPr>
              <w:spacing w:line="240" w:lineRule="auto"/>
              <w:jc w:val="center"/>
              <w:rPr>
                <w:bCs/>
                <w:szCs w:val="21"/>
              </w:rPr>
            </w:pPr>
            <w:r>
              <w:rPr>
                <w:rFonts w:hint="eastAsia"/>
                <w:bCs/>
                <w:szCs w:val="21"/>
              </w:rPr>
              <w:t>份数</w:t>
            </w:r>
          </w:p>
        </w:tc>
        <w:tc>
          <w:tcPr>
            <w:tcW w:w="2540" w:type="dxa"/>
            <w:vAlign w:val="center"/>
          </w:tcPr>
          <w:p>
            <w:pPr>
              <w:spacing w:line="240" w:lineRule="auto"/>
              <w:jc w:val="center"/>
              <w:rPr>
                <w:bCs/>
                <w:szCs w:val="21"/>
              </w:rPr>
            </w:pPr>
            <w:r>
              <w:rPr>
                <w:rFonts w:hint="eastAsia"/>
                <w:bCs/>
                <w:szCs w:val="21"/>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restart"/>
            <w:vAlign w:val="center"/>
          </w:tcPr>
          <w:p>
            <w:pPr>
              <w:pStyle w:val="19"/>
              <w:widowControl w:val="0"/>
              <w:spacing w:line="240" w:lineRule="auto"/>
              <w:jc w:val="center"/>
              <w:rPr>
                <w:bCs/>
                <w:sz w:val="21"/>
                <w:szCs w:val="21"/>
              </w:rPr>
            </w:pPr>
            <w:r>
              <w:rPr>
                <w:rFonts w:hint="eastAsia"/>
                <w:bCs/>
                <w:sz w:val="21"/>
                <w:szCs w:val="21"/>
              </w:rPr>
              <w:t>决策阶段</w:t>
            </w: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continue"/>
            <w:vAlign w:val="center"/>
          </w:tcPr>
          <w:p>
            <w:pPr>
              <w:spacing w:line="240" w:lineRule="auto"/>
              <w:jc w:val="center"/>
              <w:rPr>
                <w:bCs/>
                <w:szCs w:val="21"/>
              </w:rPr>
            </w:pP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continue"/>
            <w:vAlign w:val="center"/>
          </w:tcPr>
          <w:p>
            <w:pPr>
              <w:spacing w:line="240" w:lineRule="auto"/>
              <w:jc w:val="center"/>
              <w:rPr>
                <w:bCs/>
                <w:szCs w:val="21"/>
              </w:rPr>
            </w:pP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restart"/>
            <w:vAlign w:val="center"/>
          </w:tcPr>
          <w:p>
            <w:pPr>
              <w:pStyle w:val="19"/>
              <w:widowControl w:val="0"/>
              <w:spacing w:line="240" w:lineRule="auto"/>
              <w:jc w:val="center"/>
              <w:rPr>
                <w:bCs/>
                <w:sz w:val="21"/>
                <w:szCs w:val="21"/>
              </w:rPr>
            </w:pPr>
            <w:r>
              <w:rPr>
                <w:rFonts w:hint="eastAsia"/>
                <w:bCs/>
                <w:sz w:val="21"/>
                <w:szCs w:val="21"/>
              </w:rPr>
              <w:t>设计阶段</w:t>
            </w: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continue"/>
            <w:vAlign w:val="center"/>
          </w:tcPr>
          <w:p>
            <w:pPr>
              <w:pStyle w:val="19"/>
              <w:widowControl w:val="0"/>
              <w:spacing w:line="240" w:lineRule="auto"/>
              <w:jc w:val="center"/>
              <w:rPr>
                <w:bCs/>
                <w:sz w:val="21"/>
                <w:szCs w:val="21"/>
              </w:rPr>
            </w:pP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continue"/>
            <w:vAlign w:val="center"/>
          </w:tcPr>
          <w:p>
            <w:pPr>
              <w:spacing w:line="240" w:lineRule="auto"/>
              <w:jc w:val="center"/>
              <w:rPr>
                <w:bCs/>
                <w:szCs w:val="21"/>
              </w:rPr>
            </w:pP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restart"/>
            <w:vAlign w:val="center"/>
          </w:tcPr>
          <w:p>
            <w:pPr>
              <w:pStyle w:val="19"/>
              <w:widowControl w:val="0"/>
              <w:spacing w:line="240" w:lineRule="auto"/>
              <w:jc w:val="center"/>
              <w:rPr>
                <w:bCs/>
                <w:sz w:val="21"/>
                <w:szCs w:val="21"/>
              </w:rPr>
            </w:pPr>
            <w:r>
              <w:rPr>
                <w:rFonts w:hint="eastAsia"/>
                <w:bCs/>
                <w:sz w:val="21"/>
                <w:szCs w:val="21"/>
              </w:rPr>
              <w:t>发承包阶段</w:t>
            </w: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continue"/>
            <w:vAlign w:val="center"/>
          </w:tcPr>
          <w:p>
            <w:pPr>
              <w:pStyle w:val="19"/>
              <w:widowControl w:val="0"/>
              <w:spacing w:line="240" w:lineRule="auto"/>
              <w:jc w:val="center"/>
              <w:rPr>
                <w:bCs/>
                <w:sz w:val="21"/>
                <w:szCs w:val="21"/>
              </w:rPr>
            </w:pP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continue"/>
            <w:vAlign w:val="center"/>
          </w:tcPr>
          <w:p>
            <w:pPr>
              <w:spacing w:line="240" w:lineRule="auto"/>
              <w:jc w:val="center"/>
              <w:rPr>
                <w:bCs/>
                <w:szCs w:val="21"/>
              </w:rPr>
            </w:pP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restart"/>
            <w:vAlign w:val="center"/>
          </w:tcPr>
          <w:p>
            <w:pPr>
              <w:pStyle w:val="19"/>
              <w:widowControl w:val="0"/>
              <w:spacing w:line="240" w:lineRule="auto"/>
              <w:jc w:val="center"/>
              <w:rPr>
                <w:bCs/>
                <w:sz w:val="21"/>
                <w:szCs w:val="21"/>
              </w:rPr>
            </w:pPr>
            <w:r>
              <w:rPr>
                <w:rFonts w:hint="eastAsia"/>
                <w:bCs/>
                <w:sz w:val="21"/>
                <w:szCs w:val="21"/>
              </w:rPr>
              <w:t>实施阶段</w:t>
            </w: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continue"/>
            <w:vAlign w:val="center"/>
          </w:tcPr>
          <w:p>
            <w:pPr>
              <w:pStyle w:val="19"/>
              <w:widowControl w:val="0"/>
              <w:spacing w:line="240" w:lineRule="auto"/>
              <w:jc w:val="center"/>
              <w:rPr>
                <w:bCs/>
                <w:sz w:val="21"/>
                <w:szCs w:val="21"/>
              </w:rPr>
            </w:pP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continue"/>
            <w:vAlign w:val="center"/>
          </w:tcPr>
          <w:p>
            <w:pPr>
              <w:pStyle w:val="19"/>
              <w:widowControl w:val="0"/>
              <w:spacing w:line="240" w:lineRule="auto"/>
              <w:jc w:val="center"/>
              <w:rPr>
                <w:bCs/>
                <w:sz w:val="21"/>
                <w:szCs w:val="21"/>
              </w:rPr>
            </w:pP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restart"/>
            <w:vAlign w:val="center"/>
          </w:tcPr>
          <w:p>
            <w:pPr>
              <w:pStyle w:val="19"/>
              <w:widowControl w:val="0"/>
              <w:spacing w:line="240" w:lineRule="auto"/>
              <w:jc w:val="center"/>
              <w:rPr>
                <w:bCs/>
                <w:sz w:val="21"/>
                <w:szCs w:val="21"/>
              </w:rPr>
            </w:pPr>
            <w:r>
              <w:rPr>
                <w:rFonts w:hint="eastAsia"/>
                <w:bCs/>
                <w:sz w:val="21"/>
                <w:szCs w:val="21"/>
              </w:rPr>
              <w:t>竣工阶段</w:t>
            </w: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continue"/>
            <w:vAlign w:val="center"/>
          </w:tcPr>
          <w:p>
            <w:pPr>
              <w:pStyle w:val="19"/>
              <w:widowControl w:val="0"/>
              <w:spacing w:line="240" w:lineRule="auto"/>
              <w:jc w:val="center"/>
              <w:rPr>
                <w:bCs/>
                <w:sz w:val="21"/>
                <w:szCs w:val="21"/>
              </w:rPr>
            </w:pP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continue"/>
            <w:vAlign w:val="center"/>
          </w:tcPr>
          <w:p>
            <w:pPr>
              <w:spacing w:line="240" w:lineRule="auto"/>
              <w:jc w:val="center"/>
              <w:rPr>
                <w:bCs/>
                <w:szCs w:val="21"/>
              </w:rPr>
            </w:pP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Align w:val="center"/>
          </w:tcPr>
          <w:p>
            <w:pPr>
              <w:spacing w:line="240" w:lineRule="auto"/>
              <w:jc w:val="center"/>
              <w:rPr>
                <w:bCs/>
                <w:szCs w:val="21"/>
              </w:rPr>
            </w:pPr>
            <w:r>
              <w:rPr>
                <w:rFonts w:hint="eastAsia"/>
                <w:bCs/>
                <w:szCs w:val="21"/>
              </w:rPr>
              <w:t>其他服务</w:t>
            </w: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bl>
    <w:p>
      <w:pPr>
        <w:rPr>
          <w:b/>
        </w:rPr>
      </w:pPr>
      <w:r>
        <w:rPr>
          <w:b/>
        </w:rPr>
        <w:br w:type="page"/>
      </w:r>
    </w:p>
    <w:p>
      <w:pPr>
        <w:pStyle w:val="2"/>
        <w:sectPr>
          <w:pgSz w:w="16838" w:h="11906" w:orient="landscape"/>
          <w:pgMar w:top="1440" w:right="1800" w:bottom="1440" w:left="1800" w:header="851" w:footer="992" w:gutter="0"/>
          <w:pgNumType w:fmt="numberInDash"/>
          <w:cols w:space="720" w:num="1"/>
          <w:docGrid w:linePitch="312" w:charSpace="0"/>
        </w:sectPr>
      </w:pPr>
    </w:p>
    <w:p>
      <w:pPr>
        <w:spacing w:line="360" w:lineRule="auto"/>
        <w:jc w:val="center"/>
        <w:rPr>
          <w:rFonts w:hint="eastAsia" w:ascii="Calibri" w:hAnsi="Calibri" w:eastAsia="Calibri" w:cs="Arial"/>
          <w:b/>
          <w:bCs/>
          <w:sz w:val="24"/>
        </w:rPr>
      </w:pPr>
      <w:bookmarkStart w:id="883" w:name="_Toc422322559"/>
      <w:bookmarkStart w:id="884" w:name="_Toc419045128"/>
    </w:p>
    <w:p>
      <w:pPr>
        <w:spacing w:line="360" w:lineRule="auto"/>
        <w:jc w:val="center"/>
        <w:rPr>
          <w:rFonts w:hint="eastAsia" w:ascii="Calibri" w:hAnsi="Calibri" w:eastAsia="Calibri" w:cs="Arial"/>
          <w:b/>
          <w:bCs/>
          <w:sz w:val="24"/>
        </w:rPr>
      </w:pPr>
      <w:r>
        <w:rPr>
          <w:rFonts w:hint="eastAsia" w:ascii="Calibri" w:hAnsi="Calibri" w:eastAsia="Calibri" w:cs="Arial"/>
          <w:b/>
          <w:bCs/>
          <w:sz w:val="24"/>
        </w:rPr>
        <w:t>附录C　委托人提供资料一览表</w:t>
      </w:r>
      <w:bookmarkEnd w:id="883"/>
      <w:bookmarkEnd w:id="884"/>
    </w:p>
    <w:p>
      <w:pPr>
        <w:pStyle w:val="2"/>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837"/>
        <w:gridCol w:w="1338"/>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center"/>
          </w:tcPr>
          <w:p>
            <w:pPr>
              <w:pStyle w:val="19"/>
              <w:widowControl w:val="0"/>
              <w:spacing w:line="240" w:lineRule="auto"/>
              <w:jc w:val="center"/>
              <w:rPr>
                <w:sz w:val="21"/>
                <w:szCs w:val="21"/>
              </w:rPr>
            </w:pPr>
            <w:r>
              <w:rPr>
                <w:rFonts w:hint="eastAsia"/>
                <w:sz w:val="21"/>
                <w:szCs w:val="21"/>
              </w:rPr>
              <w:t>名</w:t>
            </w:r>
            <w:r>
              <w:rPr>
                <w:rFonts w:hint="eastAsia"/>
                <w:sz w:val="21"/>
                <w:szCs w:val="21"/>
                <w:lang w:val="en-US" w:eastAsia="zh-CN"/>
              </w:rPr>
              <w:t xml:space="preserve">  </w:t>
            </w:r>
            <w:r>
              <w:rPr>
                <w:rFonts w:hint="eastAsia"/>
                <w:sz w:val="21"/>
                <w:szCs w:val="21"/>
              </w:rPr>
              <w:t>称</w:t>
            </w:r>
          </w:p>
        </w:tc>
        <w:tc>
          <w:tcPr>
            <w:tcW w:w="837" w:type="dxa"/>
            <w:vAlign w:val="center"/>
          </w:tcPr>
          <w:p>
            <w:pPr>
              <w:pStyle w:val="19"/>
              <w:widowControl w:val="0"/>
              <w:spacing w:line="240" w:lineRule="auto"/>
              <w:jc w:val="center"/>
              <w:rPr>
                <w:sz w:val="21"/>
                <w:szCs w:val="21"/>
              </w:rPr>
            </w:pPr>
            <w:r>
              <w:rPr>
                <w:rFonts w:hint="eastAsia"/>
                <w:sz w:val="21"/>
                <w:szCs w:val="21"/>
              </w:rPr>
              <w:t>份数</w:t>
            </w:r>
          </w:p>
        </w:tc>
        <w:tc>
          <w:tcPr>
            <w:tcW w:w="1338" w:type="dxa"/>
            <w:vAlign w:val="center"/>
          </w:tcPr>
          <w:p>
            <w:pPr>
              <w:pStyle w:val="19"/>
              <w:widowControl w:val="0"/>
              <w:spacing w:line="240" w:lineRule="auto"/>
              <w:jc w:val="center"/>
              <w:rPr>
                <w:sz w:val="21"/>
                <w:szCs w:val="21"/>
              </w:rPr>
            </w:pPr>
            <w:r>
              <w:rPr>
                <w:rFonts w:hint="eastAsia"/>
                <w:sz w:val="21"/>
                <w:szCs w:val="21"/>
              </w:rPr>
              <w:t>提供时间</w:t>
            </w:r>
          </w:p>
        </w:tc>
        <w:tc>
          <w:tcPr>
            <w:tcW w:w="2207" w:type="dxa"/>
            <w:vAlign w:val="center"/>
          </w:tcPr>
          <w:p>
            <w:pPr>
              <w:pStyle w:val="19"/>
              <w:widowControl w:val="0"/>
              <w:spacing w:line="240" w:lineRule="auto"/>
              <w:jc w:val="center"/>
              <w:rPr>
                <w:sz w:val="21"/>
                <w:szCs w:val="21"/>
              </w:rPr>
            </w:pPr>
            <w:r>
              <w:rPr>
                <w:rFonts w:hint="eastAsia"/>
                <w:sz w:val="21"/>
                <w:szCs w:val="21"/>
              </w:rPr>
              <w:t>备</w:t>
            </w:r>
            <w:r>
              <w:rPr>
                <w:rFonts w:hint="eastAsia"/>
                <w:sz w:val="21"/>
                <w:szCs w:val="21"/>
                <w:lang w:val="en-US" w:eastAsia="zh-CN"/>
              </w:rPr>
              <w:t xml:space="preserve"> </w:t>
            </w:r>
            <w:r>
              <w:rPr>
                <w:rFonts w:hint="eastAsia"/>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pStyle w:val="19"/>
              <w:widowControl w:val="0"/>
              <w:spacing w:line="240" w:lineRule="auto"/>
              <w:jc w:val="center"/>
            </w:pPr>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pStyle w:val="19"/>
              <w:widowControl w:val="0"/>
              <w:spacing w:line="240" w:lineRule="auto"/>
              <w:jc w:val="center"/>
            </w:pPr>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pStyle w:val="19"/>
              <w:widowControl w:val="0"/>
              <w:spacing w:line="240" w:lineRule="auto"/>
              <w:jc w:val="center"/>
            </w:pPr>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pStyle w:val="19"/>
              <w:widowControl w:val="0"/>
              <w:spacing w:line="240" w:lineRule="auto"/>
              <w:jc w:val="center"/>
            </w:pPr>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pStyle w:val="19"/>
              <w:widowControl w:val="0"/>
              <w:spacing w:line="240" w:lineRule="auto"/>
              <w:jc w:val="center"/>
            </w:pPr>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pStyle w:val="19"/>
              <w:widowControl w:val="0"/>
              <w:spacing w:line="240" w:lineRule="auto"/>
              <w:jc w:val="center"/>
            </w:pPr>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spacing w:line="240" w:lineRule="auto"/>
              <w:jc w:val="center"/>
            </w:pPr>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spacing w:line="240" w:lineRule="auto"/>
              <w:jc w:val="center"/>
            </w:pPr>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spacing w:line="240" w:lineRule="auto"/>
              <w:jc w:val="center"/>
            </w:pPr>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spacing w:line="240" w:lineRule="auto"/>
              <w:jc w:val="center"/>
            </w:pPr>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spacing w:line="240" w:lineRule="auto"/>
              <w:jc w:val="center"/>
            </w:pPr>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spacing w:line="240" w:lineRule="auto"/>
              <w:jc w:val="center"/>
            </w:pPr>
            <w:bookmarkStart w:id="885" w:name="_Toc419045129"/>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bl>
    <w:p>
      <w:pPr>
        <w:rPr>
          <w:sz w:val="24"/>
        </w:rPr>
      </w:pPr>
      <w:r>
        <w:rPr>
          <w:sz w:val="24"/>
        </w:rPr>
        <w:br w:type="page"/>
      </w:r>
    </w:p>
    <w:p>
      <w:pPr>
        <w:pStyle w:val="2"/>
        <w:sectPr>
          <w:pgSz w:w="11906" w:h="16838"/>
          <w:pgMar w:top="1440" w:right="1800" w:bottom="1440" w:left="1800" w:header="851" w:footer="992" w:gutter="0"/>
          <w:pgNumType w:fmt="numberInDash"/>
          <w:cols w:space="720" w:num="1"/>
          <w:docGrid w:linePitch="312" w:charSpace="0"/>
        </w:sectPr>
      </w:pPr>
    </w:p>
    <w:p>
      <w:pPr>
        <w:spacing w:line="360" w:lineRule="auto"/>
        <w:jc w:val="center"/>
        <w:rPr>
          <w:rFonts w:hint="eastAsia" w:ascii="Calibri" w:hAnsi="Calibri" w:eastAsia="Calibri" w:cs="Arial"/>
          <w:b/>
          <w:bCs/>
          <w:sz w:val="24"/>
        </w:rPr>
      </w:pPr>
      <w:bookmarkStart w:id="886" w:name="_Toc422322560"/>
    </w:p>
    <w:p>
      <w:pPr>
        <w:spacing w:line="360" w:lineRule="auto"/>
        <w:jc w:val="center"/>
        <w:rPr>
          <w:rFonts w:hint="eastAsia" w:ascii="Calibri" w:hAnsi="Calibri" w:eastAsia="Calibri" w:cs="Arial"/>
          <w:b/>
          <w:bCs/>
          <w:sz w:val="24"/>
        </w:rPr>
      </w:pPr>
      <w:r>
        <w:rPr>
          <w:rFonts w:hint="eastAsia" w:ascii="Calibri" w:hAnsi="Calibri" w:eastAsia="Calibri" w:cs="Arial"/>
          <w:b/>
          <w:bCs/>
          <w:sz w:val="24"/>
        </w:rPr>
        <w:t>附录D 委托人提供房屋及设备一览表</w:t>
      </w:r>
      <w:bookmarkEnd w:id="885"/>
      <w:bookmarkEnd w:id="886"/>
    </w:p>
    <w:p>
      <w:pPr>
        <w:pStyle w:val="2"/>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18"/>
        <w:gridCol w:w="869"/>
        <w:gridCol w:w="2368"/>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08" w:type="dxa"/>
            <w:vAlign w:val="top"/>
          </w:tcPr>
          <w:p>
            <w:pPr>
              <w:pStyle w:val="19"/>
              <w:widowControl w:val="0"/>
              <w:spacing w:line="240" w:lineRule="auto"/>
              <w:jc w:val="center"/>
              <w:rPr>
                <w:sz w:val="21"/>
                <w:szCs w:val="21"/>
              </w:rPr>
            </w:pPr>
            <w:r>
              <w:rPr>
                <w:rFonts w:hint="eastAsia"/>
                <w:sz w:val="21"/>
                <w:szCs w:val="21"/>
              </w:rPr>
              <w:t>名称</w:t>
            </w:r>
          </w:p>
        </w:tc>
        <w:tc>
          <w:tcPr>
            <w:tcW w:w="887" w:type="dxa"/>
            <w:gridSpan w:val="2"/>
            <w:vAlign w:val="top"/>
          </w:tcPr>
          <w:p>
            <w:pPr>
              <w:pStyle w:val="19"/>
              <w:widowControl w:val="0"/>
              <w:spacing w:line="240" w:lineRule="auto"/>
              <w:jc w:val="center"/>
              <w:rPr>
                <w:sz w:val="21"/>
                <w:szCs w:val="21"/>
              </w:rPr>
            </w:pPr>
            <w:r>
              <w:rPr>
                <w:rFonts w:hint="eastAsia"/>
                <w:sz w:val="21"/>
                <w:szCs w:val="21"/>
              </w:rPr>
              <w:t>数量</w:t>
            </w:r>
          </w:p>
        </w:tc>
        <w:tc>
          <w:tcPr>
            <w:tcW w:w="2368" w:type="dxa"/>
            <w:vAlign w:val="top"/>
          </w:tcPr>
          <w:p>
            <w:pPr>
              <w:pStyle w:val="19"/>
              <w:widowControl w:val="0"/>
              <w:spacing w:line="240" w:lineRule="auto"/>
              <w:jc w:val="center"/>
              <w:rPr>
                <w:sz w:val="21"/>
                <w:szCs w:val="21"/>
              </w:rPr>
            </w:pPr>
            <w:r>
              <w:rPr>
                <w:rFonts w:hint="eastAsia"/>
                <w:sz w:val="21"/>
                <w:szCs w:val="21"/>
              </w:rPr>
              <w:t>面积、型号及规格</w:t>
            </w:r>
          </w:p>
        </w:tc>
        <w:tc>
          <w:tcPr>
            <w:tcW w:w="1837" w:type="dxa"/>
            <w:vAlign w:val="top"/>
          </w:tcPr>
          <w:p>
            <w:pPr>
              <w:pStyle w:val="19"/>
              <w:widowControl w:val="0"/>
              <w:spacing w:line="240" w:lineRule="auto"/>
              <w:jc w:val="center"/>
              <w:rPr>
                <w:sz w:val="21"/>
                <w:szCs w:val="21"/>
              </w:rPr>
            </w:pPr>
            <w:r>
              <w:rPr>
                <w:rFonts w:hint="eastAsia"/>
                <w:sz w:val="21"/>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08" w:type="dxa"/>
            <w:vAlign w:val="top"/>
          </w:tcPr>
          <w:p>
            <w:pPr>
              <w:pStyle w:val="19"/>
              <w:widowControl w:val="0"/>
              <w:spacing w:line="240" w:lineRule="auto"/>
              <w:jc w:val="both"/>
            </w:pPr>
          </w:p>
        </w:tc>
        <w:tc>
          <w:tcPr>
            <w:tcW w:w="887" w:type="dxa"/>
            <w:gridSpan w:val="2"/>
            <w:vAlign w:val="top"/>
          </w:tcPr>
          <w:p>
            <w:pPr>
              <w:spacing w:line="240" w:lineRule="auto"/>
            </w:pPr>
          </w:p>
        </w:tc>
        <w:tc>
          <w:tcPr>
            <w:tcW w:w="2368" w:type="dxa"/>
            <w:vAlign w:val="top"/>
          </w:tcPr>
          <w:p>
            <w:pPr>
              <w:spacing w:line="240" w:lineRule="auto"/>
            </w:pPr>
          </w:p>
        </w:tc>
        <w:tc>
          <w:tcPr>
            <w:tcW w:w="1837" w:type="dxa"/>
            <w:vAlign w:val="top"/>
          </w:tcPr>
          <w:p>
            <w:pPr>
              <w:spacing w:line="240" w:lineRule="auto"/>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26" w:type="dxa"/>
            <w:gridSpan w:val="2"/>
            <w:vAlign w:val="top"/>
          </w:tcPr>
          <w:p>
            <w:pPr>
              <w:spacing w:line="240" w:lineRule="auto"/>
            </w:pPr>
          </w:p>
        </w:tc>
        <w:tc>
          <w:tcPr>
            <w:tcW w:w="869" w:type="dxa"/>
            <w:vAlign w:val="top"/>
          </w:tcPr>
          <w:p>
            <w:pPr>
              <w:spacing w:line="240" w:lineRule="auto"/>
            </w:pPr>
          </w:p>
        </w:tc>
        <w:tc>
          <w:tcPr>
            <w:tcW w:w="2368" w:type="dxa"/>
            <w:vAlign w:val="top"/>
          </w:tcPr>
          <w:p>
            <w:pPr>
              <w:spacing w:line="240" w:lineRule="auto"/>
            </w:pPr>
          </w:p>
        </w:tc>
        <w:tc>
          <w:tcPr>
            <w:tcW w:w="1837" w:type="dxa"/>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26" w:type="dxa"/>
            <w:gridSpan w:val="2"/>
            <w:vAlign w:val="top"/>
          </w:tcPr>
          <w:p>
            <w:pPr>
              <w:spacing w:line="240" w:lineRule="auto"/>
            </w:pPr>
          </w:p>
        </w:tc>
        <w:tc>
          <w:tcPr>
            <w:tcW w:w="869" w:type="dxa"/>
            <w:vAlign w:val="top"/>
          </w:tcPr>
          <w:p>
            <w:pPr>
              <w:spacing w:line="240" w:lineRule="auto"/>
            </w:pPr>
          </w:p>
        </w:tc>
        <w:tc>
          <w:tcPr>
            <w:tcW w:w="2368" w:type="dxa"/>
            <w:vAlign w:val="top"/>
          </w:tcPr>
          <w:p>
            <w:pPr>
              <w:spacing w:line="240" w:lineRule="auto"/>
            </w:pPr>
          </w:p>
        </w:tc>
        <w:tc>
          <w:tcPr>
            <w:tcW w:w="1837" w:type="dxa"/>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26" w:type="dxa"/>
            <w:gridSpan w:val="2"/>
            <w:vAlign w:val="top"/>
          </w:tcPr>
          <w:p>
            <w:pPr>
              <w:spacing w:line="240" w:lineRule="auto"/>
            </w:pPr>
          </w:p>
        </w:tc>
        <w:tc>
          <w:tcPr>
            <w:tcW w:w="869" w:type="dxa"/>
            <w:vAlign w:val="top"/>
          </w:tcPr>
          <w:p>
            <w:pPr>
              <w:spacing w:line="240" w:lineRule="auto"/>
            </w:pPr>
          </w:p>
        </w:tc>
        <w:tc>
          <w:tcPr>
            <w:tcW w:w="2368" w:type="dxa"/>
            <w:vAlign w:val="top"/>
          </w:tcPr>
          <w:p>
            <w:pPr>
              <w:spacing w:line="240" w:lineRule="auto"/>
            </w:pPr>
          </w:p>
        </w:tc>
        <w:tc>
          <w:tcPr>
            <w:tcW w:w="1837" w:type="dxa"/>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26" w:type="dxa"/>
            <w:gridSpan w:val="2"/>
            <w:vAlign w:val="top"/>
          </w:tcPr>
          <w:p>
            <w:pPr>
              <w:spacing w:line="240" w:lineRule="auto"/>
            </w:pPr>
          </w:p>
        </w:tc>
        <w:tc>
          <w:tcPr>
            <w:tcW w:w="869" w:type="dxa"/>
            <w:vAlign w:val="top"/>
          </w:tcPr>
          <w:p>
            <w:pPr>
              <w:spacing w:line="240" w:lineRule="auto"/>
            </w:pPr>
          </w:p>
        </w:tc>
        <w:tc>
          <w:tcPr>
            <w:tcW w:w="2368" w:type="dxa"/>
            <w:vAlign w:val="top"/>
          </w:tcPr>
          <w:p>
            <w:pPr>
              <w:spacing w:line="240" w:lineRule="auto"/>
            </w:pPr>
          </w:p>
        </w:tc>
        <w:tc>
          <w:tcPr>
            <w:tcW w:w="1837" w:type="dxa"/>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26" w:type="dxa"/>
            <w:gridSpan w:val="2"/>
            <w:vAlign w:val="top"/>
          </w:tcPr>
          <w:p>
            <w:pPr>
              <w:spacing w:line="240" w:lineRule="auto"/>
            </w:pPr>
          </w:p>
        </w:tc>
        <w:tc>
          <w:tcPr>
            <w:tcW w:w="869" w:type="dxa"/>
            <w:vAlign w:val="top"/>
          </w:tcPr>
          <w:p>
            <w:pPr>
              <w:spacing w:line="240" w:lineRule="auto"/>
            </w:pPr>
          </w:p>
        </w:tc>
        <w:tc>
          <w:tcPr>
            <w:tcW w:w="2368" w:type="dxa"/>
            <w:vAlign w:val="top"/>
          </w:tcPr>
          <w:p>
            <w:pPr>
              <w:spacing w:line="240" w:lineRule="auto"/>
            </w:pPr>
          </w:p>
        </w:tc>
        <w:tc>
          <w:tcPr>
            <w:tcW w:w="1837" w:type="dxa"/>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26" w:type="dxa"/>
            <w:gridSpan w:val="2"/>
            <w:vAlign w:val="top"/>
          </w:tcPr>
          <w:p>
            <w:pPr>
              <w:spacing w:line="240" w:lineRule="auto"/>
            </w:pPr>
          </w:p>
        </w:tc>
        <w:tc>
          <w:tcPr>
            <w:tcW w:w="869" w:type="dxa"/>
            <w:vAlign w:val="top"/>
          </w:tcPr>
          <w:p>
            <w:pPr>
              <w:spacing w:line="240" w:lineRule="auto"/>
            </w:pPr>
          </w:p>
        </w:tc>
        <w:tc>
          <w:tcPr>
            <w:tcW w:w="2368" w:type="dxa"/>
            <w:vAlign w:val="top"/>
          </w:tcPr>
          <w:p>
            <w:pPr>
              <w:spacing w:line="240" w:lineRule="auto"/>
            </w:pPr>
          </w:p>
        </w:tc>
        <w:tc>
          <w:tcPr>
            <w:tcW w:w="1837" w:type="dxa"/>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26" w:type="dxa"/>
            <w:gridSpan w:val="2"/>
            <w:vAlign w:val="top"/>
          </w:tcPr>
          <w:p>
            <w:pPr>
              <w:spacing w:line="240" w:lineRule="auto"/>
            </w:pPr>
          </w:p>
        </w:tc>
        <w:tc>
          <w:tcPr>
            <w:tcW w:w="869" w:type="dxa"/>
            <w:vAlign w:val="top"/>
          </w:tcPr>
          <w:p>
            <w:pPr>
              <w:spacing w:line="240" w:lineRule="auto"/>
            </w:pPr>
          </w:p>
        </w:tc>
        <w:tc>
          <w:tcPr>
            <w:tcW w:w="2368" w:type="dxa"/>
            <w:vAlign w:val="top"/>
          </w:tcPr>
          <w:p>
            <w:pPr>
              <w:spacing w:line="240" w:lineRule="auto"/>
            </w:pPr>
          </w:p>
        </w:tc>
        <w:tc>
          <w:tcPr>
            <w:tcW w:w="1837" w:type="dxa"/>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26" w:type="dxa"/>
            <w:gridSpan w:val="2"/>
            <w:vAlign w:val="top"/>
          </w:tcPr>
          <w:p>
            <w:pPr>
              <w:spacing w:line="240" w:lineRule="auto"/>
            </w:pPr>
          </w:p>
        </w:tc>
        <w:tc>
          <w:tcPr>
            <w:tcW w:w="869" w:type="dxa"/>
            <w:vAlign w:val="top"/>
          </w:tcPr>
          <w:p>
            <w:pPr>
              <w:spacing w:line="240" w:lineRule="auto"/>
            </w:pPr>
          </w:p>
        </w:tc>
        <w:tc>
          <w:tcPr>
            <w:tcW w:w="2368" w:type="dxa"/>
            <w:vAlign w:val="top"/>
          </w:tcPr>
          <w:p>
            <w:pPr>
              <w:spacing w:line="240" w:lineRule="auto"/>
            </w:pPr>
          </w:p>
        </w:tc>
        <w:tc>
          <w:tcPr>
            <w:tcW w:w="1837" w:type="dxa"/>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26" w:type="dxa"/>
            <w:gridSpan w:val="2"/>
            <w:vAlign w:val="top"/>
          </w:tcPr>
          <w:p>
            <w:pPr>
              <w:spacing w:line="240" w:lineRule="auto"/>
            </w:pPr>
          </w:p>
        </w:tc>
        <w:tc>
          <w:tcPr>
            <w:tcW w:w="869" w:type="dxa"/>
            <w:vAlign w:val="top"/>
          </w:tcPr>
          <w:p>
            <w:pPr>
              <w:spacing w:line="240" w:lineRule="auto"/>
            </w:pPr>
          </w:p>
        </w:tc>
        <w:tc>
          <w:tcPr>
            <w:tcW w:w="2368" w:type="dxa"/>
            <w:vAlign w:val="top"/>
          </w:tcPr>
          <w:p>
            <w:pPr>
              <w:spacing w:line="240" w:lineRule="auto"/>
            </w:pPr>
          </w:p>
        </w:tc>
        <w:tc>
          <w:tcPr>
            <w:tcW w:w="1837" w:type="dxa"/>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26" w:type="dxa"/>
            <w:gridSpan w:val="2"/>
            <w:vAlign w:val="top"/>
          </w:tcPr>
          <w:p>
            <w:pPr>
              <w:spacing w:line="240" w:lineRule="auto"/>
            </w:pPr>
          </w:p>
        </w:tc>
        <w:tc>
          <w:tcPr>
            <w:tcW w:w="869" w:type="dxa"/>
            <w:vAlign w:val="top"/>
          </w:tcPr>
          <w:p>
            <w:pPr>
              <w:spacing w:line="240" w:lineRule="auto"/>
            </w:pPr>
          </w:p>
        </w:tc>
        <w:tc>
          <w:tcPr>
            <w:tcW w:w="2368" w:type="dxa"/>
            <w:vAlign w:val="top"/>
          </w:tcPr>
          <w:p>
            <w:pPr>
              <w:spacing w:line="240" w:lineRule="auto"/>
            </w:pPr>
          </w:p>
        </w:tc>
        <w:tc>
          <w:tcPr>
            <w:tcW w:w="1837" w:type="dxa"/>
            <w:vAlign w:val="top"/>
          </w:tcPr>
          <w:p>
            <w:pPr>
              <w:spacing w:line="240" w:lineRule="auto"/>
            </w:pPr>
          </w:p>
        </w:tc>
      </w:tr>
    </w:tbl>
    <w:p>
      <w:pPr>
        <w:spacing w:line="360" w:lineRule="auto"/>
      </w:pPr>
      <w:r>
        <w:t>　　　　　　　</w:t>
      </w:r>
    </w:p>
    <w:p>
      <w:pPr>
        <w:rPr>
          <w:rFonts w:hint="eastAsia" w:ascii="宋体" w:hAnsi="宋体" w:cs="Arial"/>
          <w:szCs w:val="21"/>
        </w:rPr>
      </w:pPr>
    </w:p>
    <w:p>
      <w:pPr>
        <w:rPr>
          <w:rFonts w:hint="eastAsia" w:ascii="宋体" w:hAnsi="宋体" w:cs="Arial"/>
          <w:szCs w:val="21"/>
        </w:rPr>
      </w:pPr>
    </w:p>
    <w:p>
      <w:pPr>
        <w:ind w:firstLine="630" w:firstLineChars="300"/>
        <w:rPr>
          <w:rFonts w:ascii="宋体" w:hAnsi="宋体" w:cs="Arial"/>
          <w:szCs w:val="21"/>
        </w:rPr>
      </w:pPr>
      <w:r>
        <w:rPr>
          <w:rFonts w:hint="eastAsia" w:ascii="宋体" w:hAnsi="宋体" w:cs="Arial"/>
          <w:szCs w:val="21"/>
        </w:rPr>
        <w:t>甲方：</w:t>
      </w:r>
      <w:r>
        <w:rPr>
          <w:rFonts w:hint="eastAsia" w:ascii="宋体" w:hAnsi="宋体" w:cs="Arial"/>
          <w:szCs w:val="21"/>
          <w:u w:val="single"/>
        </w:rPr>
        <w:t xml:space="preserve">                          </w:t>
      </w:r>
      <w:r>
        <w:rPr>
          <w:rFonts w:hint="eastAsia" w:ascii="宋体" w:hAnsi="宋体" w:cs="Arial"/>
          <w:szCs w:val="21"/>
        </w:rPr>
        <w:t xml:space="preserve"> （盖章）</w:t>
      </w:r>
    </w:p>
    <w:p>
      <w:pPr>
        <w:spacing w:line="360" w:lineRule="auto"/>
        <w:ind w:left="426" w:leftChars="203" w:firstLine="210" w:firstLineChars="100"/>
        <w:jc w:val="left"/>
        <w:rPr>
          <w:rFonts w:ascii="宋体" w:hAnsi="宋体" w:cs="Arial"/>
          <w:szCs w:val="21"/>
          <w:u w:val="single"/>
        </w:rPr>
      </w:pPr>
      <w:r>
        <w:rPr>
          <w:rFonts w:hint="eastAsia" w:ascii="宋体" w:hAnsi="宋体" w:cs="Arial"/>
          <w:szCs w:val="21"/>
        </w:rPr>
        <w:t>住所地：</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u w:val="single"/>
        </w:rPr>
      </w:pPr>
      <w:r>
        <w:rPr>
          <w:rFonts w:hint="eastAsia" w:ascii="宋体" w:hAnsi="宋体" w:cs="Arial"/>
          <w:szCs w:val="21"/>
        </w:rPr>
        <w:t>电    话：</w:t>
      </w:r>
      <w:r>
        <w:rPr>
          <w:rFonts w:hint="eastAsia" w:ascii="宋体" w:hAnsi="宋体" w:cs="Arial"/>
          <w:szCs w:val="21"/>
          <w:u w:val="single"/>
        </w:rPr>
        <w:t xml:space="preserve">                   </w:t>
      </w:r>
      <w:r>
        <w:rPr>
          <w:rFonts w:hint="eastAsia" w:ascii="宋体" w:hAnsi="宋体" w:cs="Arial"/>
          <w:szCs w:val="21"/>
        </w:rPr>
        <w:t xml:space="preserve"> 传    真：</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rPr>
      </w:pPr>
      <w:r>
        <w:rPr>
          <w:rFonts w:hint="eastAsia" w:ascii="宋体" w:hAnsi="宋体" w:cs="Arial"/>
          <w:szCs w:val="21"/>
        </w:rPr>
        <w:t>开户银行：</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u w:val="single"/>
        </w:rPr>
      </w:pPr>
      <w:r>
        <w:rPr>
          <w:rFonts w:hint="eastAsia" w:ascii="宋体" w:hAnsi="宋体" w:cs="Arial"/>
          <w:szCs w:val="21"/>
        </w:rPr>
        <w:t>账号：</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rPr>
      </w:pPr>
      <w:r>
        <w:rPr>
          <w:rFonts w:hint="eastAsia" w:ascii="宋体" w:hAnsi="宋体" w:cs="Arial"/>
          <w:szCs w:val="21"/>
        </w:rPr>
        <w:t>税号：</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u w:val="single"/>
        </w:rPr>
      </w:pPr>
      <w:r>
        <w:rPr>
          <w:rFonts w:hint="eastAsia" w:ascii="宋体" w:hAnsi="宋体" w:cs="Arial"/>
          <w:szCs w:val="21"/>
        </w:rPr>
        <w:t>法定代表人：</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u w:val="single"/>
        </w:rPr>
      </w:pPr>
      <w:r>
        <w:rPr>
          <w:rFonts w:hint="eastAsia" w:ascii="宋体" w:hAnsi="宋体" w:cs="Arial"/>
          <w:szCs w:val="21"/>
        </w:rPr>
        <w:t>委托代理人：</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u w:val="single"/>
        </w:rPr>
      </w:pPr>
      <w:r>
        <w:rPr>
          <w:rFonts w:hint="eastAsia" w:ascii="宋体" w:hAnsi="宋体" w:cs="Arial"/>
          <w:szCs w:val="21"/>
        </w:rPr>
        <w:t>签约日期：</w:t>
      </w:r>
      <w:r>
        <w:rPr>
          <w:rFonts w:hint="eastAsia" w:ascii="宋体" w:hAnsi="宋体" w:cs="Arial"/>
          <w:szCs w:val="21"/>
          <w:u w:val="single"/>
        </w:rPr>
        <w:t xml:space="preserve">                   </w:t>
      </w:r>
    </w:p>
    <w:p>
      <w:pPr>
        <w:spacing w:line="360" w:lineRule="auto"/>
        <w:jc w:val="left"/>
        <w:rPr>
          <w:rFonts w:ascii="宋体" w:hAnsi="宋体" w:cs="Arial"/>
          <w:szCs w:val="21"/>
        </w:rPr>
      </w:pPr>
    </w:p>
    <w:p>
      <w:pPr>
        <w:spacing w:line="360" w:lineRule="auto"/>
        <w:ind w:left="426" w:leftChars="203" w:firstLine="210" w:firstLineChars="100"/>
        <w:jc w:val="left"/>
        <w:rPr>
          <w:rFonts w:ascii="宋体" w:hAnsi="宋体" w:cs="Arial"/>
          <w:szCs w:val="21"/>
        </w:rPr>
      </w:pPr>
      <w:r>
        <w:rPr>
          <w:rFonts w:hint="eastAsia" w:ascii="宋体" w:hAnsi="宋体" w:cs="Arial"/>
          <w:szCs w:val="21"/>
        </w:rPr>
        <w:t>乙方：</w:t>
      </w:r>
      <w:r>
        <w:rPr>
          <w:rFonts w:hint="eastAsia" w:ascii="宋体" w:hAnsi="宋体" w:cs="Arial"/>
          <w:szCs w:val="21"/>
          <w:u w:val="single"/>
        </w:rPr>
        <w:t xml:space="preserve">                   </w:t>
      </w:r>
      <w:r>
        <w:rPr>
          <w:rFonts w:hint="eastAsia" w:ascii="宋体" w:hAnsi="宋体" w:cs="Arial"/>
          <w:szCs w:val="21"/>
        </w:rPr>
        <w:t>（盖章）</w:t>
      </w:r>
    </w:p>
    <w:p>
      <w:pPr>
        <w:spacing w:line="360" w:lineRule="auto"/>
        <w:ind w:left="426" w:leftChars="203" w:firstLine="210" w:firstLineChars="100"/>
        <w:jc w:val="left"/>
        <w:rPr>
          <w:rFonts w:ascii="宋体" w:hAnsi="宋体" w:cs="Arial"/>
          <w:szCs w:val="21"/>
        </w:rPr>
      </w:pPr>
      <w:r>
        <w:rPr>
          <w:rFonts w:hint="eastAsia" w:ascii="宋体" w:hAnsi="宋体" w:cs="Arial"/>
          <w:szCs w:val="21"/>
        </w:rPr>
        <w:t>住所地：</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rPr>
      </w:pPr>
      <w:r>
        <w:rPr>
          <w:rFonts w:hint="eastAsia" w:ascii="宋体" w:hAnsi="宋体" w:cs="Arial"/>
          <w:szCs w:val="21"/>
        </w:rPr>
        <w:t>电    话：</w:t>
      </w:r>
      <w:r>
        <w:rPr>
          <w:rFonts w:hint="eastAsia" w:ascii="宋体" w:hAnsi="宋体" w:cs="Arial"/>
          <w:szCs w:val="21"/>
          <w:u w:val="single"/>
        </w:rPr>
        <w:t xml:space="preserve">                  </w:t>
      </w:r>
      <w:r>
        <w:rPr>
          <w:rFonts w:hint="eastAsia" w:ascii="宋体" w:hAnsi="宋体" w:cs="Arial"/>
          <w:szCs w:val="21"/>
        </w:rPr>
        <w:t xml:space="preserve">   传    真：</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rPr>
      </w:pPr>
      <w:r>
        <w:rPr>
          <w:rFonts w:hint="eastAsia" w:ascii="宋体" w:hAnsi="宋体" w:cs="Arial"/>
          <w:szCs w:val="21"/>
        </w:rPr>
        <w:t>开户银行：</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rPr>
      </w:pPr>
      <w:r>
        <w:rPr>
          <w:rFonts w:hint="eastAsia" w:ascii="宋体" w:hAnsi="宋体" w:cs="Arial"/>
          <w:szCs w:val="21"/>
        </w:rPr>
        <w:t>账号：</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u w:val="single"/>
        </w:rPr>
      </w:pPr>
      <w:r>
        <w:rPr>
          <w:rFonts w:hint="eastAsia" w:ascii="宋体" w:hAnsi="宋体" w:cs="Arial"/>
          <w:szCs w:val="21"/>
        </w:rPr>
        <w:t>法定代表人：</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u w:val="single"/>
        </w:rPr>
      </w:pPr>
      <w:r>
        <w:rPr>
          <w:rFonts w:hint="eastAsia" w:ascii="宋体" w:hAnsi="宋体" w:cs="Arial"/>
          <w:szCs w:val="21"/>
        </w:rPr>
        <w:t>委托代理人：</w:t>
      </w:r>
      <w:r>
        <w:rPr>
          <w:rFonts w:hint="eastAsia" w:ascii="宋体" w:hAnsi="宋体" w:cs="Arial"/>
          <w:szCs w:val="21"/>
          <w:u w:val="single"/>
        </w:rPr>
        <w:t xml:space="preserve">                     </w:t>
      </w:r>
    </w:p>
    <w:p>
      <w:pPr>
        <w:pStyle w:val="33"/>
        <w:spacing w:line="360" w:lineRule="auto"/>
        <w:ind w:left="426" w:leftChars="203" w:firstLine="210" w:firstLineChars="100"/>
        <w:rPr>
          <w:rFonts w:ascii="宋体" w:hAnsi="宋体" w:cs="Arial"/>
          <w:szCs w:val="21"/>
          <w:u w:val="single"/>
        </w:rPr>
      </w:pPr>
      <w:r>
        <w:rPr>
          <w:rFonts w:hint="eastAsia" w:ascii="宋体" w:hAnsi="宋体" w:cs="Arial"/>
          <w:szCs w:val="21"/>
        </w:rPr>
        <w:t>签约日期：</w:t>
      </w:r>
      <w:r>
        <w:rPr>
          <w:rFonts w:hint="eastAsia" w:ascii="宋体" w:hAnsi="宋体" w:cs="Arial"/>
          <w:szCs w:val="21"/>
          <w:u w:val="single"/>
        </w:rPr>
        <w:t xml:space="preserve">                      </w:t>
      </w:r>
    </w:p>
    <w:p>
      <w:pPr>
        <w:autoSpaceDE w:val="0"/>
        <w:autoSpaceDN w:val="0"/>
        <w:adjustRightInd w:val="0"/>
        <w:spacing w:line="540" w:lineRule="exact"/>
        <w:ind w:firstLine="540"/>
        <w:rPr>
          <w:rFonts w:ascii="宋体" w:hAnsi="宋体"/>
          <w:szCs w:val="21"/>
          <w:lang w:val="zh-CN"/>
        </w:rPr>
      </w:pPr>
    </w:p>
    <w:p>
      <w:pPr>
        <w:pStyle w:val="33"/>
        <w:spacing w:line="360" w:lineRule="auto"/>
        <w:jc w:val="left"/>
        <w:rPr>
          <w:rFonts w:ascii="宋体" w:hAnsi="宋体"/>
          <w:b/>
          <w:bCs/>
          <w:szCs w:val="21"/>
        </w:rPr>
      </w:pPr>
    </w:p>
    <w:p>
      <w:pPr>
        <w:rPr>
          <w:rFonts w:hint="eastAsia" w:ascii="宋体" w:hAnsi="宋体" w:cs="Arial"/>
          <w:b/>
          <w:bCs/>
          <w:sz w:val="24"/>
          <w:szCs w:val="24"/>
        </w:rPr>
      </w:pPr>
      <w:bookmarkStart w:id="887" w:name="_Toc8785"/>
      <w:r>
        <w:rPr>
          <w:rFonts w:hint="eastAsia" w:ascii="宋体" w:hAnsi="宋体" w:cs="Arial"/>
          <w:b/>
          <w:bCs/>
          <w:sz w:val="24"/>
          <w:szCs w:val="24"/>
        </w:rPr>
        <w:br w:type="page"/>
      </w:r>
    </w:p>
    <w:p>
      <w:pPr>
        <w:pStyle w:val="5"/>
        <w:bidi w:val="0"/>
        <w:jc w:val="center"/>
        <w:rPr>
          <w:rFonts w:hint="eastAsia"/>
          <w:b/>
          <w:bCs w:val="0"/>
          <w:sz w:val="24"/>
          <w:szCs w:val="24"/>
          <w:lang w:val="en-US" w:eastAsia="zh-CN"/>
        </w:rPr>
      </w:pPr>
      <w:bookmarkStart w:id="888" w:name="_Toc13737"/>
      <w:r>
        <w:rPr>
          <w:rFonts w:hint="eastAsia"/>
          <w:b/>
          <w:bCs w:val="0"/>
          <w:sz w:val="24"/>
          <w:szCs w:val="24"/>
          <w:lang w:val="en-US" w:eastAsia="zh-CN"/>
        </w:rPr>
        <w:t>5.招标代理部分</w:t>
      </w:r>
      <w:bookmarkEnd w:id="887"/>
      <w:bookmarkEnd w:id="888"/>
    </w:p>
    <w:p>
      <w:pPr>
        <w:autoSpaceDE w:val="0"/>
        <w:autoSpaceDN w:val="0"/>
        <w:adjustRightInd w:val="0"/>
        <w:spacing w:line="500" w:lineRule="exact"/>
        <w:ind w:firstLine="540"/>
        <w:rPr>
          <w:rFonts w:ascii="宋体" w:hAnsi="宋体"/>
          <w:b/>
          <w:bCs/>
          <w:szCs w:val="21"/>
          <w:lang w:val="zh-CN"/>
        </w:rPr>
      </w:pPr>
      <w:r>
        <w:rPr>
          <w:rFonts w:hint="eastAsia" w:ascii="宋体" w:hAnsi="宋体"/>
          <w:b/>
          <w:bCs/>
          <w:szCs w:val="21"/>
          <w:lang w:val="zh-CN"/>
        </w:rPr>
        <w:t>一、词语定义和适用法律</w:t>
      </w:r>
    </w:p>
    <w:p>
      <w:pPr>
        <w:autoSpaceDE w:val="0"/>
        <w:autoSpaceDN w:val="0"/>
        <w:adjustRightInd w:val="0"/>
        <w:spacing w:line="500" w:lineRule="exact"/>
        <w:ind w:firstLine="540"/>
        <w:rPr>
          <w:rFonts w:ascii="宋体" w:hAnsi="宋体"/>
          <w:b/>
          <w:bCs/>
          <w:szCs w:val="21"/>
          <w:lang w:val="zh-CN"/>
        </w:rPr>
      </w:pPr>
      <w:r>
        <w:rPr>
          <w:rFonts w:ascii="宋体" w:hAnsi="宋体"/>
          <w:szCs w:val="21"/>
          <w:lang w:val="zh-CN"/>
        </w:rPr>
        <w:t>2</w:t>
      </w:r>
      <w:r>
        <w:rPr>
          <w:rFonts w:hint="eastAsia" w:ascii="宋体" w:hAnsi="宋体"/>
          <w:szCs w:val="21"/>
          <w:lang w:val="zh-CN"/>
        </w:rPr>
        <w:t>、合同文件及解释顺序</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2.1</w:t>
      </w:r>
      <w:r>
        <w:rPr>
          <w:rFonts w:hint="eastAsia" w:ascii="宋体" w:hAnsi="宋体"/>
          <w:szCs w:val="21"/>
          <w:lang w:val="zh-CN"/>
        </w:rPr>
        <w:t xml:space="preserve"> 合同文件及解释顺序 </w:t>
      </w:r>
      <w:r>
        <w:rPr>
          <w:rFonts w:hint="eastAsia" w:ascii="宋体" w:hAnsi="宋体"/>
          <w:szCs w:val="21"/>
          <w:u w:val="single"/>
          <w:lang w:val="zh-CN"/>
        </w:rPr>
        <w:t xml:space="preserve">   按通用条款第2.1条执行。</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3</w:t>
      </w:r>
      <w:r>
        <w:rPr>
          <w:rFonts w:hint="eastAsia" w:ascii="宋体" w:hAnsi="宋体"/>
          <w:szCs w:val="21"/>
          <w:lang w:val="zh-CN"/>
        </w:rPr>
        <w:t>、语言文字和适用法律</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3.1</w:t>
      </w:r>
      <w:r>
        <w:rPr>
          <w:rFonts w:hint="eastAsia" w:ascii="宋体" w:hAnsi="宋体"/>
          <w:szCs w:val="21"/>
          <w:lang w:val="zh-CN"/>
        </w:rPr>
        <w:t xml:space="preserve"> 语言文字</w:t>
      </w:r>
    </w:p>
    <w:p>
      <w:pPr>
        <w:autoSpaceDE w:val="0"/>
        <w:autoSpaceDN w:val="0"/>
        <w:adjustRightInd w:val="0"/>
        <w:spacing w:line="500" w:lineRule="exact"/>
        <w:ind w:firstLine="420" w:firstLineChars="200"/>
        <w:rPr>
          <w:rFonts w:ascii="宋体" w:hAnsi="宋体"/>
          <w:szCs w:val="21"/>
          <w:lang w:val="zh-CN"/>
        </w:rPr>
      </w:pPr>
      <w:r>
        <w:rPr>
          <w:rFonts w:hint="eastAsia" w:ascii="宋体" w:hAnsi="宋体"/>
          <w:szCs w:val="21"/>
          <w:lang w:val="zh-CN"/>
        </w:rPr>
        <w:t>本合同采用的文字为：</w:t>
      </w:r>
      <w:r>
        <w:rPr>
          <w:rFonts w:hint="eastAsia" w:ascii="宋体" w:hAnsi="宋体"/>
          <w:szCs w:val="21"/>
          <w:u w:val="single"/>
          <w:lang w:val="zh-CN"/>
        </w:rPr>
        <w:t>汉语语言文字</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3.2</w:t>
      </w:r>
      <w:r>
        <w:rPr>
          <w:rFonts w:hint="eastAsia" w:ascii="宋体" w:hAnsi="宋体"/>
          <w:szCs w:val="21"/>
          <w:lang w:val="zh-CN"/>
        </w:rPr>
        <w:t xml:space="preserve"> 本合同需要明示的法律、行政法规：</w:t>
      </w:r>
      <w:r>
        <w:rPr>
          <w:rFonts w:hint="eastAsia" w:ascii="宋体" w:hAnsi="宋体"/>
          <w:szCs w:val="21"/>
          <w:u w:val="single"/>
          <w:lang w:val="zh-CN"/>
        </w:rPr>
        <w:t>《中华人民共和国招标投标法》《中华人民共和国价格法》《中华人民共和国民法典》《陕西省实施〈中华人民共和国招标投标法〉办法》。</w:t>
      </w:r>
      <w:r>
        <w:rPr>
          <w:rFonts w:ascii="宋体" w:hAnsi="宋体"/>
          <w:szCs w:val="21"/>
        </w:rPr>
        <w:t xml:space="preserve"> </w:t>
      </w:r>
    </w:p>
    <w:p>
      <w:pPr>
        <w:autoSpaceDE w:val="0"/>
        <w:autoSpaceDN w:val="0"/>
        <w:adjustRightInd w:val="0"/>
        <w:spacing w:line="500" w:lineRule="exact"/>
        <w:ind w:firstLine="540"/>
        <w:rPr>
          <w:rFonts w:ascii="宋体" w:hAnsi="宋体"/>
          <w:b/>
          <w:bCs/>
          <w:szCs w:val="21"/>
          <w:lang w:val="zh-CN"/>
        </w:rPr>
      </w:pPr>
      <w:r>
        <w:rPr>
          <w:rFonts w:hint="eastAsia" w:ascii="宋体" w:hAnsi="宋体"/>
          <w:b/>
          <w:bCs/>
          <w:szCs w:val="21"/>
          <w:lang w:val="zh-CN"/>
        </w:rPr>
        <w:t>二、双方一般权利和义务</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4</w:t>
      </w:r>
      <w:r>
        <w:rPr>
          <w:rFonts w:hint="eastAsia" w:ascii="宋体" w:hAnsi="宋体"/>
          <w:szCs w:val="21"/>
          <w:lang w:val="zh-CN"/>
        </w:rPr>
        <w:t>、委托人（甲方）的义务</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4.1</w:t>
      </w:r>
      <w:r>
        <w:rPr>
          <w:rFonts w:hint="eastAsia" w:ascii="宋体" w:hAnsi="宋体"/>
          <w:szCs w:val="21"/>
          <w:lang w:val="zh-CN"/>
        </w:rPr>
        <w:t xml:space="preserve"> 委托招标代理工作的具体范围和内容：</w:t>
      </w:r>
    </w:p>
    <w:p>
      <w:pPr>
        <w:autoSpaceDE w:val="0"/>
        <w:autoSpaceDN w:val="0"/>
        <w:adjustRightInd w:val="0"/>
        <w:spacing w:line="500" w:lineRule="exact"/>
        <w:ind w:firstLine="540"/>
        <w:rPr>
          <w:rFonts w:ascii="宋体" w:hAnsi="宋体"/>
          <w:b w:val="0"/>
          <w:bCs/>
          <w:szCs w:val="21"/>
          <w:lang w:val="zh-CN"/>
        </w:rPr>
      </w:pPr>
      <w:r>
        <w:rPr>
          <w:rFonts w:hint="eastAsia" w:ascii="宋体" w:hAnsi="宋体"/>
          <w:b w:val="0"/>
          <w:bCs/>
          <w:szCs w:val="21"/>
          <w:u w:val="single"/>
        </w:rPr>
        <w:t>接受报名；拟写和发布招标公告（</w:t>
      </w:r>
      <w:r>
        <w:rPr>
          <w:rFonts w:hint="eastAsia" w:ascii="宋体" w:hAnsi="宋体"/>
          <w:b w:val="0"/>
          <w:bCs/>
          <w:i/>
          <w:iCs/>
          <w:szCs w:val="21"/>
          <w:u w:val="single"/>
        </w:rPr>
        <w:t>投标邀请书</w:t>
      </w:r>
      <w:r>
        <w:rPr>
          <w:rFonts w:hint="eastAsia" w:ascii="宋体" w:hAnsi="宋体"/>
          <w:b w:val="0"/>
          <w:bCs/>
          <w:szCs w:val="21"/>
          <w:u w:val="single"/>
        </w:rPr>
        <w:t>）；编制招标文件；组织答疑会并整理答疑会纪要；组织（或协助并主持）发标会、答疑会、开标评标会；协助招标人成立招标领导小组、组成评标委员会及发出中标通知书；协助招标人与中标人签订合同；拟写招标工作总结。</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4.2</w:t>
      </w:r>
      <w:r>
        <w:rPr>
          <w:rFonts w:hint="eastAsia" w:ascii="宋体" w:hAnsi="宋体"/>
          <w:szCs w:val="21"/>
          <w:lang w:val="zh-CN"/>
        </w:rPr>
        <w:t xml:space="preserve"> 委托人应按约定的时间和要求完成下列工作：</w:t>
      </w:r>
    </w:p>
    <w:p>
      <w:pPr>
        <w:autoSpaceDE w:val="0"/>
        <w:autoSpaceDN w:val="0"/>
        <w:adjustRightInd w:val="0"/>
        <w:spacing w:line="500" w:lineRule="exact"/>
        <w:ind w:firstLine="420" w:firstLineChars="200"/>
        <w:rPr>
          <w:rFonts w:ascii="宋体" w:hAnsi="宋体"/>
          <w:szCs w:val="21"/>
          <w:vertAlign w:val="subscript"/>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）向受托人提供本工程招标代理业务应具备的相关工作前期资料（如立项批准手续、规划许可、报建证等）及资金落实情况资料的时间：</w:t>
      </w:r>
      <w:r>
        <w:rPr>
          <w:rFonts w:hint="eastAsia" w:ascii="宋体" w:hAnsi="宋体"/>
          <w:szCs w:val="21"/>
          <w:u w:val="single"/>
          <w:lang w:val="zh-CN"/>
        </w:rPr>
        <w:t>委托代理合同签订后2日内。</w:t>
      </w:r>
    </w:p>
    <w:p>
      <w:pPr>
        <w:autoSpaceDE w:val="0"/>
        <w:autoSpaceDN w:val="0"/>
        <w:adjustRightInd w:val="0"/>
        <w:spacing w:line="500" w:lineRule="exact"/>
        <w:ind w:firstLine="420" w:firstLineChars="200"/>
        <w:rPr>
          <w:rFonts w:ascii="宋体" w:hAnsi="宋体"/>
          <w:szCs w:val="21"/>
          <w:lang w:val="zh-CN"/>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）向受托人提供完全代理招标业务所需的全部资料的时间：</w:t>
      </w:r>
      <w:r>
        <w:rPr>
          <w:rFonts w:hint="eastAsia" w:ascii="宋体" w:hAnsi="宋体"/>
          <w:spacing w:val="-16"/>
          <w:szCs w:val="21"/>
          <w:u w:val="single"/>
          <w:lang w:val="zh-CN"/>
        </w:rPr>
        <w:t>委托代理合同签订后3日内。</w:t>
      </w:r>
    </w:p>
    <w:p>
      <w:pPr>
        <w:autoSpaceDE w:val="0"/>
        <w:autoSpaceDN w:val="0"/>
        <w:adjustRightInd w:val="0"/>
        <w:spacing w:line="500" w:lineRule="exact"/>
        <w:ind w:firstLine="420" w:firstLineChars="200"/>
        <w:rPr>
          <w:rFonts w:ascii="宋体" w:hAnsi="宋体"/>
          <w:szCs w:val="21"/>
          <w:vertAlign w:val="subscript"/>
        </w:rPr>
      </w:pPr>
      <w:r>
        <w:rPr>
          <w:rFonts w:hint="eastAsia" w:ascii="宋体" w:hAnsi="宋体"/>
          <w:szCs w:val="21"/>
          <w:lang w:val="zh-CN"/>
        </w:rPr>
        <w:t>（</w:t>
      </w:r>
      <w:r>
        <w:rPr>
          <w:rFonts w:ascii="宋体" w:hAnsi="宋体"/>
          <w:szCs w:val="21"/>
          <w:lang w:val="zh-CN"/>
        </w:rPr>
        <w:t>3</w:t>
      </w:r>
      <w:r>
        <w:rPr>
          <w:rFonts w:hint="eastAsia" w:ascii="宋体" w:hAnsi="宋体"/>
          <w:szCs w:val="21"/>
          <w:lang w:val="zh-CN"/>
        </w:rPr>
        <w:t>）向受托人提供保证招标工作顺利完成的条件：</w:t>
      </w:r>
      <w:r>
        <w:rPr>
          <w:rFonts w:hint="eastAsia" w:ascii="宋体" w:hAnsi="宋体"/>
          <w:szCs w:val="21"/>
          <w:u w:val="single"/>
          <w:lang w:val="zh-CN"/>
        </w:rPr>
        <w:t>委托人应保证对所提供于本工程招标代理有关的文件、资料的真实性、合法性；及时审定招标文件及有关文件等。</w:t>
      </w:r>
    </w:p>
    <w:p>
      <w:pPr>
        <w:autoSpaceDE w:val="0"/>
        <w:autoSpaceDN w:val="0"/>
        <w:adjustRightInd w:val="0"/>
        <w:spacing w:line="500" w:lineRule="exact"/>
        <w:ind w:firstLine="420" w:firstLineChars="200"/>
        <w:rPr>
          <w:rFonts w:ascii="宋体" w:hAnsi="宋体"/>
          <w:szCs w:val="21"/>
          <w:lang w:val="zh-CN"/>
        </w:rPr>
      </w:pPr>
      <w:r>
        <w:rPr>
          <w:rFonts w:hint="eastAsia" w:ascii="宋体" w:hAnsi="宋体"/>
          <w:szCs w:val="21"/>
          <w:lang w:val="zh-CN"/>
        </w:rPr>
        <w:t>（</w:t>
      </w:r>
      <w:r>
        <w:rPr>
          <w:rFonts w:ascii="宋体" w:hAnsi="宋体"/>
          <w:szCs w:val="21"/>
          <w:lang w:val="zh-CN"/>
        </w:rPr>
        <w:t>4</w:t>
      </w:r>
      <w:r>
        <w:rPr>
          <w:rFonts w:hint="eastAsia" w:ascii="宋体" w:hAnsi="宋体"/>
          <w:szCs w:val="21"/>
          <w:lang w:val="zh-CN"/>
        </w:rPr>
        <w:t>）指定的与受托人联系的人员</w:t>
      </w:r>
    </w:p>
    <w:p>
      <w:pPr>
        <w:autoSpaceDE w:val="0"/>
        <w:autoSpaceDN w:val="0"/>
        <w:adjustRightInd w:val="0"/>
        <w:spacing w:line="500" w:lineRule="exact"/>
        <w:ind w:firstLine="420" w:firstLineChars="200"/>
        <w:rPr>
          <w:rFonts w:ascii="宋体" w:hAnsi="宋体"/>
          <w:szCs w:val="21"/>
          <w:lang w:val="zh-CN"/>
        </w:rPr>
      </w:pPr>
      <w:r>
        <w:rPr>
          <w:rFonts w:hint="eastAsia" w:ascii="宋体" w:hAnsi="宋体"/>
          <w:szCs w:val="21"/>
          <w:lang w:val="zh-CN"/>
        </w:rPr>
        <w:t>姓名：</w:t>
      </w:r>
      <w:r>
        <w:rPr>
          <w:rFonts w:hint="eastAsia" w:ascii="宋体" w:hAnsi="宋体"/>
          <w:szCs w:val="21"/>
          <w:u w:val="single"/>
          <w:lang w:val="zh-CN"/>
        </w:rPr>
        <w:t xml:space="preserve">                  </w:t>
      </w:r>
    </w:p>
    <w:p>
      <w:pPr>
        <w:autoSpaceDE w:val="0"/>
        <w:autoSpaceDN w:val="0"/>
        <w:adjustRightInd w:val="0"/>
        <w:spacing w:line="500" w:lineRule="exact"/>
        <w:ind w:firstLine="420" w:firstLineChars="200"/>
        <w:rPr>
          <w:rFonts w:ascii="宋体" w:hAnsi="宋体"/>
          <w:szCs w:val="21"/>
          <w:lang w:val="zh-CN"/>
        </w:rPr>
      </w:pPr>
      <w:r>
        <w:rPr>
          <w:rFonts w:hint="eastAsia" w:ascii="宋体" w:hAnsi="宋体"/>
          <w:szCs w:val="21"/>
          <w:lang w:val="zh-CN"/>
        </w:rPr>
        <w:t>电话：</w:t>
      </w:r>
      <w:r>
        <w:rPr>
          <w:rFonts w:hint="eastAsia" w:ascii="宋体" w:hAnsi="宋体"/>
          <w:szCs w:val="21"/>
          <w:u w:val="single"/>
          <w:lang w:val="zh-CN"/>
        </w:rPr>
        <w:t xml:space="preserve">                   </w:t>
      </w:r>
    </w:p>
    <w:p>
      <w:pPr>
        <w:autoSpaceDE w:val="0"/>
        <w:autoSpaceDN w:val="0"/>
        <w:adjustRightInd w:val="0"/>
        <w:spacing w:line="500" w:lineRule="exact"/>
        <w:ind w:firstLine="504" w:firstLineChars="240"/>
        <w:rPr>
          <w:rFonts w:ascii="宋体" w:hAnsi="宋体"/>
          <w:szCs w:val="21"/>
          <w:vertAlign w:val="subscript"/>
        </w:rPr>
      </w:pPr>
      <w:r>
        <w:rPr>
          <w:rFonts w:hint="eastAsia" w:ascii="宋体" w:hAnsi="宋体"/>
          <w:szCs w:val="21"/>
          <w:lang w:val="zh-CN"/>
        </w:rPr>
        <w:t>（</w:t>
      </w:r>
      <w:r>
        <w:rPr>
          <w:rFonts w:ascii="宋体" w:hAnsi="宋体"/>
          <w:szCs w:val="21"/>
          <w:lang w:val="zh-CN"/>
        </w:rPr>
        <w:t>5</w:t>
      </w:r>
      <w:r>
        <w:rPr>
          <w:rFonts w:hint="eastAsia" w:ascii="宋体" w:hAnsi="宋体"/>
          <w:szCs w:val="21"/>
          <w:lang w:val="zh-CN"/>
        </w:rPr>
        <w:t>）需要与第三方协调的工作：</w:t>
      </w:r>
      <w:r>
        <w:rPr>
          <w:rFonts w:hint="eastAsia" w:ascii="宋体" w:hAnsi="宋体"/>
          <w:szCs w:val="21"/>
          <w:u w:val="single"/>
        </w:rPr>
        <w:t xml:space="preserve">                                  </w:t>
      </w:r>
      <w:r>
        <w:rPr>
          <w:rFonts w:hint="eastAsia" w:ascii="宋体" w:hAnsi="宋体"/>
          <w:szCs w:val="21"/>
          <w:lang w:val="zh-CN"/>
        </w:rPr>
        <w:t>。</w:t>
      </w:r>
    </w:p>
    <w:p>
      <w:pPr>
        <w:autoSpaceDE w:val="0"/>
        <w:autoSpaceDN w:val="0"/>
        <w:adjustRightInd w:val="0"/>
        <w:spacing w:line="500" w:lineRule="exact"/>
        <w:ind w:firstLine="504" w:firstLineChars="240"/>
        <w:rPr>
          <w:rFonts w:ascii="宋体" w:hAnsi="宋体"/>
          <w:szCs w:val="21"/>
          <w:vertAlign w:val="subscript"/>
        </w:rPr>
      </w:pPr>
      <w:r>
        <w:rPr>
          <w:rFonts w:hint="eastAsia" w:ascii="宋体" w:hAnsi="宋体"/>
          <w:szCs w:val="21"/>
          <w:lang w:val="zh-CN"/>
        </w:rPr>
        <w:t>（</w:t>
      </w:r>
      <w:r>
        <w:rPr>
          <w:rFonts w:ascii="宋体" w:hAnsi="宋体"/>
          <w:szCs w:val="21"/>
          <w:lang w:val="zh-CN"/>
        </w:rPr>
        <w:t>7</w:t>
      </w:r>
      <w:r>
        <w:rPr>
          <w:rFonts w:hint="eastAsia" w:ascii="宋体" w:hAnsi="宋体"/>
          <w:szCs w:val="21"/>
          <w:lang w:val="zh-CN"/>
        </w:rPr>
        <w:t>）应尽的其他义务：</w:t>
      </w:r>
      <w:r>
        <w:rPr>
          <w:rFonts w:hint="eastAsia" w:ascii="宋体" w:hAnsi="宋体"/>
          <w:szCs w:val="21"/>
          <w:u w:val="single"/>
          <w:lang w:val="zh-CN"/>
        </w:rPr>
        <w:t xml:space="preserve">  /</w:t>
      </w:r>
    </w:p>
    <w:p>
      <w:pPr>
        <w:autoSpaceDE w:val="0"/>
        <w:autoSpaceDN w:val="0"/>
        <w:adjustRightInd w:val="0"/>
        <w:spacing w:line="500" w:lineRule="exact"/>
        <w:ind w:firstLine="540"/>
        <w:rPr>
          <w:rFonts w:ascii="宋体" w:hAnsi="宋体"/>
          <w:szCs w:val="21"/>
          <w:u w:val="single"/>
          <w:vertAlign w:val="subscript"/>
        </w:rPr>
      </w:pPr>
    </w:p>
    <w:p>
      <w:pPr>
        <w:autoSpaceDE w:val="0"/>
        <w:autoSpaceDN w:val="0"/>
        <w:adjustRightInd w:val="0"/>
        <w:spacing w:line="500" w:lineRule="exact"/>
        <w:ind w:firstLine="540"/>
        <w:rPr>
          <w:rFonts w:ascii="宋体" w:hAnsi="宋体"/>
          <w:szCs w:val="21"/>
          <w:lang w:val="zh-CN"/>
        </w:rPr>
      </w:pP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0</wp:posOffset>
                </wp:positionV>
                <wp:extent cx="5010150" cy="0"/>
                <wp:effectExtent l="0" t="0" r="0" b="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501015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27pt;margin-top:0pt;height:0pt;width:394.5pt;z-index:251660288;mso-width-relative:page;mso-height-relative:page;" filled="f" stroked="t" coordsize="21600,21600" o:gfxdata="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1m&#10;VX/TAAAABAEAAA8AAAAAAAAAAQAgAAAAIgAAAGRycy9kb3ducmV2LnhtbFBLAQIUABQAAAAIAIdO&#10;4kBYUxzo7wEAAMUDAAAOAAAAAAAAAAEAIAAAACIBAABkcnMvZTJvRG9jLnhtbFBLBQYAAAAABgAG&#10;AFkBAACDBQAAAAA=&#10;">
                <v:fill on="f" focussize="0,0"/>
                <v:stroke color="#000000" joinstyle="round"/>
                <v:imagedata o:title=""/>
                <o:lock v:ext="edit" aspectratio="f"/>
              </v:line>
            </w:pict>
          </mc:Fallback>
        </mc:AlternateContent>
      </w:r>
      <w:r>
        <w:rPr>
          <w:rFonts w:ascii="宋体" w:hAnsi="宋体"/>
          <w:szCs w:val="21"/>
          <w:lang w:val="zh-CN"/>
        </w:rPr>
        <w:t xml:space="preserve"> </w:t>
      </w:r>
    </w:p>
    <w:p>
      <w:pPr>
        <w:autoSpaceDE w:val="0"/>
        <w:autoSpaceDN w:val="0"/>
        <w:adjustRightInd w:val="0"/>
        <w:spacing w:line="500" w:lineRule="exact"/>
        <w:ind w:firstLine="540"/>
        <w:rPr>
          <w:rFonts w:ascii="宋体" w:hAnsi="宋体"/>
          <w:szCs w:val="21"/>
          <w:lang w:val="zh-CN"/>
        </w:rPr>
      </w:pPr>
      <w:r>
        <w:rPr>
          <w:rFonts w:ascii="宋体" w:hAnsi="宋体"/>
          <w:szCs w:val="21"/>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0</wp:posOffset>
                </wp:positionV>
                <wp:extent cx="5010150" cy="0"/>
                <wp:effectExtent l="0" t="0" r="0" b="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501015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27pt;margin-top:0pt;height:0pt;width:394.5pt;z-index:251661312;mso-width-relative:page;mso-height-relative:page;" filled="f" stroked="t" coordsize="21600,21600" o:gfxdata="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1m&#10;VX/TAAAABAEAAA8AAAAAAAAAAQAgAAAAIgAAAGRycy9kb3ducmV2LnhtbFBLAQIUABQAAAAIAIdO&#10;4kBrvek27wEAAMUDAAAOAAAAAAAAAAEAIAAAACIBAABkcnMvZTJvRG9jLnhtbFBLBQYAAAAABgAG&#10;AFkBAACDBQAAAAA=&#10;">
                <v:fill on="f" focussize="0,0"/>
                <v:stroke color="#000000" joinstyle="round"/>
                <v:imagedata o:title=""/>
                <o:lock v:ext="edit" aspectratio="f"/>
              </v:line>
            </w:pict>
          </mc:Fallback>
        </mc:AlternateContent>
      </w:r>
      <w:r>
        <w:rPr>
          <w:rFonts w:ascii="宋体" w:hAnsi="宋体"/>
          <w:szCs w:val="21"/>
          <w:lang w:val="zh-CN"/>
        </w:rPr>
        <w:t>5</w:t>
      </w:r>
      <w:r>
        <w:rPr>
          <w:rFonts w:hint="eastAsia" w:ascii="宋体" w:hAnsi="宋体"/>
          <w:szCs w:val="21"/>
          <w:lang w:val="zh-CN"/>
        </w:rPr>
        <w:t>、受托人（乙方）的义务</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5.1</w:t>
      </w:r>
      <w:r>
        <w:rPr>
          <w:rFonts w:hint="eastAsia" w:ascii="宋体" w:hAnsi="宋体"/>
          <w:szCs w:val="21"/>
          <w:lang w:val="zh-CN"/>
        </w:rPr>
        <w:t xml:space="preserve"> 招标代理</w:t>
      </w:r>
      <w:r>
        <w:rPr>
          <w:rFonts w:hint="eastAsia" w:ascii="宋体" w:hAnsi="宋体"/>
          <w:szCs w:val="21"/>
        </w:rPr>
        <w:t>专业</w:t>
      </w:r>
      <w:r>
        <w:rPr>
          <w:rFonts w:hint="eastAsia" w:ascii="宋体" w:hAnsi="宋体"/>
          <w:szCs w:val="21"/>
          <w:lang w:val="zh-CN"/>
        </w:rPr>
        <w:t>负责人</w:t>
      </w:r>
    </w:p>
    <w:p>
      <w:pPr>
        <w:autoSpaceDE w:val="0"/>
        <w:autoSpaceDN w:val="0"/>
        <w:adjustRightInd w:val="0"/>
        <w:spacing w:line="500" w:lineRule="exact"/>
        <w:ind w:firstLine="540"/>
        <w:rPr>
          <w:rFonts w:ascii="宋体" w:hAnsi="宋体"/>
          <w:szCs w:val="21"/>
        </w:rPr>
      </w:pPr>
      <w:r>
        <w:rPr>
          <w:rFonts w:hint="eastAsia" w:ascii="宋体" w:hAnsi="宋体"/>
          <w:szCs w:val="21"/>
          <w:lang w:val="zh-CN"/>
        </w:rPr>
        <w:t>姓名：</w:t>
      </w:r>
      <w:r>
        <w:rPr>
          <w:rFonts w:hint="eastAsia"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rPr>
        <w:t>资格证书</w:t>
      </w:r>
      <w:r>
        <w:rPr>
          <w:rFonts w:hint="eastAsia" w:ascii="宋体" w:hAnsi="宋体"/>
          <w:szCs w:val="21"/>
          <w:lang w:val="zh-CN"/>
        </w:rPr>
        <w:t>：</w:t>
      </w:r>
      <w:r>
        <w:rPr>
          <w:rFonts w:hint="eastAsia" w:ascii="宋体" w:hAnsi="宋体"/>
          <w:szCs w:val="21"/>
          <w:u w:val="single"/>
          <w:lang w:val="zh-CN"/>
        </w:rPr>
        <w:t xml:space="preserve">            </w:t>
      </w:r>
      <w:r>
        <w:rPr>
          <w:rFonts w:hint="eastAsia" w:ascii="宋体" w:hAnsi="宋体"/>
          <w:szCs w:val="21"/>
        </w:rPr>
        <w:t>证书编号：</w:t>
      </w:r>
      <w:r>
        <w:rPr>
          <w:rFonts w:hint="eastAsia" w:ascii="宋体" w:hAnsi="宋体"/>
          <w:szCs w:val="21"/>
          <w:u w:val="single"/>
          <w:lang w:val="zh-CN"/>
        </w:rPr>
        <w:t xml:space="preserve"> </w:t>
      </w:r>
      <w:r>
        <w:rPr>
          <w:rFonts w:hint="eastAsia" w:ascii="宋体" w:hAnsi="宋体"/>
          <w:szCs w:val="21"/>
          <w:u w:val="single"/>
        </w:rPr>
        <w:t xml:space="preserve">               </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5.2</w:t>
      </w:r>
      <w:r>
        <w:rPr>
          <w:rFonts w:hint="eastAsia" w:ascii="宋体" w:hAnsi="宋体"/>
          <w:szCs w:val="21"/>
          <w:lang w:val="zh-CN"/>
        </w:rPr>
        <w:t xml:space="preserve"> 受托人应按约定的时间和要求完全下列工作：</w:t>
      </w:r>
    </w:p>
    <w:p>
      <w:pPr>
        <w:autoSpaceDE w:val="0"/>
        <w:autoSpaceDN w:val="0"/>
        <w:adjustRightInd w:val="0"/>
        <w:spacing w:line="500" w:lineRule="exact"/>
        <w:ind w:firstLine="540"/>
        <w:rPr>
          <w:rFonts w:ascii="宋体" w:hAnsi="宋体"/>
          <w:szCs w:val="21"/>
          <w:vertAlign w:val="subscript"/>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）组织招标工作的内容和时间：（</w:t>
      </w:r>
      <w:r>
        <w:rPr>
          <w:rFonts w:hint="eastAsia" w:ascii="宋体" w:hAnsi="宋体"/>
          <w:szCs w:val="21"/>
          <w:u w:val="single"/>
          <w:lang w:val="zh-CN"/>
        </w:rPr>
        <w:t>按招标工作的程序写明每项工作的具体内容和时间）详见招标工作计划。</w:t>
      </w:r>
    </w:p>
    <w:p>
      <w:pPr>
        <w:autoSpaceDE w:val="0"/>
        <w:autoSpaceDN w:val="0"/>
        <w:adjustRightInd w:val="0"/>
        <w:spacing w:line="500" w:lineRule="exact"/>
        <w:ind w:firstLine="540"/>
        <w:rPr>
          <w:rFonts w:ascii="宋体" w:hAnsi="宋体"/>
          <w:szCs w:val="21"/>
          <w:lang w:val="zh-CN"/>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）为招标人提供的为完成招标工作的相关咨询服务：</w:t>
      </w:r>
      <w:r>
        <w:rPr>
          <w:rFonts w:hint="eastAsia" w:ascii="宋体" w:hAnsi="宋体"/>
          <w:szCs w:val="21"/>
          <w:u w:val="single"/>
          <w:lang w:val="zh-CN"/>
        </w:rPr>
        <w:t>招标过程中的相关咨询服务。</w:t>
      </w:r>
    </w:p>
    <w:p>
      <w:pPr>
        <w:autoSpaceDE w:val="0"/>
        <w:autoSpaceDN w:val="0"/>
        <w:adjustRightInd w:val="0"/>
        <w:spacing w:line="500" w:lineRule="exact"/>
        <w:ind w:firstLine="540"/>
        <w:rPr>
          <w:rFonts w:ascii="宋体" w:hAnsi="宋体"/>
          <w:szCs w:val="21"/>
          <w:u w:val="single"/>
          <w:lang w:val="zh-CN"/>
        </w:rPr>
      </w:pPr>
      <w:r>
        <w:rPr>
          <w:rFonts w:hint="eastAsia" w:ascii="宋体" w:hAnsi="宋体"/>
          <w:szCs w:val="21"/>
          <w:lang w:val="zh-CN"/>
        </w:rPr>
        <w:t>（</w:t>
      </w:r>
      <w:r>
        <w:rPr>
          <w:rFonts w:ascii="宋体" w:hAnsi="宋体"/>
          <w:szCs w:val="21"/>
          <w:lang w:val="zh-CN"/>
        </w:rPr>
        <w:t>3</w:t>
      </w:r>
      <w:r>
        <w:rPr>
          <w:rFonts w:hint="eastAsia" w:ascii="宋体" w:hAnsi="宋体"/>
          <w:szCs w:val="21"/>
          <w:lang w:val="zh-CN"/>
        </w:rPr>
        <w:t>）承担招标代理业务过程中，应由受托人支付的费用：</w:t>
      </w:r>
      <w:r>
        <w:rPr>
          <w:rFonts w:hint="eastAsia" w:ascii="宋体" w:hAnsi="宋体"/>
          <w:szCs w:val="21"/>
          <w:u w:val="single"/>
          <w:lang w:val="zh-CN"/>
        </w:rPr>
        <w:t>召开发标、答疑会议的场地租赁费、评标专家咨询费、招标公告费。</w:t>
      </w:r>
    </w:p>
    <w:p>
      <w:pPr>
        <w:autoSpaceDE w:val="0"/>
        <w:autoSpaceDN w:val="0"/>
        <w:adjustRightInd w:val="0"/>
        <w:spacing w:line="500" w:lineRule="exact"/>
        <w:ind w:firstLine="540"/>
        <w:rPr>
          <w:rFonts w:ascii="宋体" w:hAnsi="宋体"/>
          <w:szCs w:val="21"/>
          <w:vertAlign w:val="subscript"/>
        </w:rPr>
      </w:pPr>
      <w:r>
        <w:rPr>
          <w:rFonts w:hint="eastAsia" w:ascii="宋体" w:hAnsi="宋体"/>
          <w:szCs w:val="21"/>
          <w:lang w:val="zh-CN"/>
        </w:rPr>
        <w:t>（4）应尽的其他义务：1、</w:t>
      </w:r>
      <w:r>
        <w:rPr>
          <w:rFonts w:hint="eastAsia" w:ascii="宋体" w:hAnsi="宋体"/>
          <w:szCs w:val="21"/>
          <w:u w:val="single"/>
          <w:lang w:val="zh-CN"/>
        </w:rPr>
        <w:t>受托人应当依法完成委托代理合同约定的各项工作，按照要求对代理事项内容保守秘密，维护招标人的合法权益；2、按照</w:t>
      </w:r>
      <w:r>
        <w:rPr>
          <w:rFonts w:hint="eastAsia" w:ascii="宋体" w:hAnsi="宋体" w:cs="宋体"/>
          <w:szCs w:val="21"/>
          <w:u w:val="single"/>
          <w:lang w:val="zh-CN"/>
        </w:rPr>
        <w:t>合同委托的代理内容，由委托方要求，根据工程进展情况，分段招标。</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6</w:t>
      </w:r>
      <w:r>
        <w:rPr>
          <w:rFonts w:hint="eastAsia" w:ascii="宋体" w:hAnsi="宋体"/>
          <w:szCs w:val="21"/>
          <w:lang w:val="zh-CN"/>
        </w:rPr>
        <w:t>、委托人的权利</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6.1</w:t>
      </w:r>
      <w:r>
        <w:rPr>
          <w:rFonts w:hint="eastAsia" w:ascii="宋体" w:hAnsi="宋体"/>
          <w:szCs w:val="21"/>
          <w:lang w:val="zh-CN"/>
        </w:rPr>
        <w:t xml:space="preserve"> 委托人拥有的权利：</w:t>
      </w:r>
    </w:p>
    <w:p>
      <w:pPr>
        <w:autoSpaceDE w:val="0"/>
        <w:autoSpaceDN w:val="0"/>
        <w:adjustRightInd w:val="0"/>
        <w:spacing w:line="500" w:lineRule="exact"/>
        <w:ind w:firstLine="540"/>
        <w:rPr>
          <w:rFonts w:ascii="宋体" w:hAnsi="宋体"/>
          <w:szCs w:val="21"/>
          <w:vertAlign w:val="subscript"/>
        </w:rPr>
      </w:pPr>
      <w:r>
        <w:rPr>
          <w:rFonts w:ascii="宋体" w:hAnsi="宋体"/>
          <w:szCs w:val="21"/>
          <w:lang w:val="zh-CN"/>
        </w:rPr>
        <w:t xml:space="preserve">6.2 </w:t>
      </w:r>
      <w:r>
        <w:rPr>
          <w:rFonts w:hint="eastAsia" w:ascii="宋体" w:hAnsi="宋体"/>
          <w:szCs w:val="21"/>
          <w:lang w:val="zh-CN"/>
        </w:rPr>
        <w:t>委托人拥有的其他权利：</w:t>
      </w:r>
      <w:r>
        <w:rPr>
          <w:rFonts w:hint="eastAsia" w:ascii="宋体" w:hAnsi="宋体"/>
          <w:szCs w:val="21"/>
          <w:u w:val="single"/>
          <w:lang w:val="zh-CN"/>
        </w:rPr>
        <w:t>审核、修改招标文件等资料，审定合格投标人，发放中标通知书，监管受托人的工作等</w:t>
      </w:r>
      <w:r>
        <w:rPr>
          <w:rFonts w:hint="eastAsia" w:ascii="宋体" w:hAnsi="宋体"/>
          <w:szCs w:val="21"/>
          <w:lang w:val="zh-CN"/>
        </w:rPr>
        <w:t>。</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7</w:t>
      </w:r>
      <w:r>
        <w:rPr>
          <w:rFonts w:hint="eastAsia" w:ascii="宋体" w:hAnsi="宋体"/>
          <w:szCs w:val="21"/>
          <w:lang w:val="zh-CN"/>
        </w:rPr>
        <w:t>、受托人的权利</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7.1</w:t>
      </w:r>
      <w:r>
        <w:rPr>
          <w:rFonts w:hint="eastAsia" w:ascii="宋体" w:hAnsi="宋体"/>
          <w:szCs w:val="21"/>
          <w:lang w:val="zh-CN"/>
        </w:rPr>
        <w:t xml:space="preserve"> 受托人拥有的权利：按照委托人授权范围内容实施。</w:t>
      </w:r>
    </w:p>
    <w:p>
      <w:pPr>
        <w:autoSpaceDE w:val="0"/>
        <w:autoSpaceDN w:val="0"/>
        <w:adjustRightInd w:val="0"/>
        <w:spacing w:line="500" w:lineRule="exact"/>
        <w:ind w:firstLine="540"/>
        <w:rPr>
          <w:rFonts w:ascii="宋体" w:hAnsi="宋体"/>
          <w:szCs w:val="21"/>
        </w:rPr>
      </w:pPr>
      <w:r>
        <w:rPr>
          <w:rFonts w:ascii="宋体" w:hAnsi="宋体"/>
          <w:szCs w:val="21"/>
          <w:lang w:val="zh-CN"/>
        </w:rPr>
        <w:t>7.</w:t>
      </w:r>
      <w:r>
        <w:rPr>
          <w:rFonts w:hint="eastAsia" w:ascii="宋体" w:hAnsi="宋体"/>
          <w:szCs w:val="21"/>
          <w:lang w:val="zh-CN"/>
        </w:rPr>
        <w:t>2 受托人拥有的其他权利：</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rPr>
        <w:t>。</w:t>
      </w:r>
    </w:p>
    <w:p>
      <w:pPr>
        <w:autoSpaceDE w:val="0"/>
        <w:autoSpaceDN w:val="0"/>
        <w:adjustRightInd w:val="0"/>
        <w:spacing w:line="500" w:lineRule="exact"/>
        <w:ind w:firstLine="540"/>
        <w:rPr>
          <w:rFonts w:ascii="宋体" w:hAnsi="宋体"/>
          <w:b/>
          <w:bCs/>
          <w:szCs w:val="21"/>
          <w:lang w:val="zh-CN"/>
        </w:rPr>
      </w:pPr>
      <w:r>
        <w:rPr>
          <w:rFonts w:hint="eastAsia" w:ascii="宋体" w:hAnsi="宋体"/>
          <w:b/>
          <w:bCs/>
          <w:szCs w:val="21"/>
          <w:lang w:val="zh-CN"/>
        </w:rPr>
        <w:t>三、委托代理报酬与收取</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8</w:t>
      </w:r>
      <w:r>
        <w:rPr>
          <w:rFonts w:hint="eastAsia" w:ascii="宋体" w:hAnsi="宋体"/>
          <w:szCs w:val="21"/>
          <w:lang w:val="zh-CN"/>
        </w:rPr>
        <w:t>、委托代理报酬</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8.1</w:t>
      </w:r>
      <w:r>
        <w:rPr>
          <w:rFonts w:hint="eastAsia" w:ascii="宋体" w:hAnsi="宋体"/>
          <w:szCs w:val="21"/>
          <w:lang w:val="zh-CN"/>
        </w:rPr>
        <w:t xml:space="preserve"> 代理报酬的计算方法：</w:t>
      </w:r>
      <w:r>
        <w:rPr>
          <w:rFonts w:hint="eastAsia" w:ascii="宋体" w:hAnsi="宋体"/>
          <w:b/>
          <w:bCs/>
          <w:szCs w:val="21"/>
          <w:u w:val="single"/>
        </w:rPr>
        <w:t xml:space="preserve">                                       </w:t>
      </w:r>
      <w:r>
        <w:rPr>
          <w:rFonts w:hint="eastAsia" w:ascii="宋体" w:hAnsi="宋体"/>
          <w:szCs w:val="21"/>
          <w:lang w:val="zh-CN"/>
        </w:rPr>
        <w:t>。</w:t>
      </w:r>
    </w:p>
    <w:p>
      <w:pPr>
        <w:spacing w:line="500" w:lineRule="exact"/>
        <w:ind w:firstLine="630" w:firstLineChars="300"/>
        <w:rPr>
          <w:rFonts w:ascii="宋体" w:hAnsi="宋体"/>
          <w:szCs w:val="21"/>
          <w:u w:val="single"/>
          <w:lang w:val="zh-CN"/>
        </w:rPr>
      </w:pPr>
      <w:r>
        <w:rPr>
          <w:rFonts w:hint="eastAsia" w:ascii="宋体" w:hAnsi="宋体"/>
          <w:szCs w:val="21"/>
          <w:lang w:val="zh-CN"/>
        </w:rPr>
        <w:t>代理报酬的金额或收取比例：</w:t>
      </w:r>
      <w:r>
        <w:rPr>
          <w:rFonts w:hint="eastAsia" w:ascii="宋体" w:hAnsi="宋体"/>
          <w:szCs w:val="21"/>
          <w:u w:val="single"/>
          <w:lang w:val="zh-CN"/>
        </w:rPr>
        <w:t xml:space="preserve">                                    </w:t>
      </w:r>
      <w:r>
        <w:rPr>
          <w:rFonts w:hint="eastAsia" w:ascii="宋体" w:hAnsi="宋体"/>
          <w:szCs w:val="21"/>
          <w:lang w:val="zh-CN"/>
        </w:rPr>
        <w:t>。</w:t>
      </w:r>
    </w:p>
    <w:p>
      <w:pPr>
        <w:autoSpaceDE w:val="0"/>
        <w:autoSpaceDN w:val="0"/>
        <w:adjustRightInd w:val="0"/>
        <w:spacing w:line="500" w:lineRule="exact"/>
        <w:ind w:firstLine="630" w:firstLineChars="300"/>
        <w:rPr>
          <w:rFonts w:ascii="宋体" w:hAnsi="宋体"/>
          <w:szCs w:val="21"/>
          <w:u w:val="single"/>
        </w:rPr>
      </w:pPr>
      <w:r>
        <w:rPr>
          <w:rFonts w:hint="eastAsia" w:ascii="宋体" w:hAnsi="宋体"/>
          <w:szCs w:val="21"/>
          <w:lang w:val="zh-CN"/>
        </w:rPr>
        <w:t>代理报酬的币种：</w:t>
      </w:r>
      <w:r>
        <w:rPr>
          <w:rFonts w:hint="eastAsia" w:ascii="宋体" w:hAnsi="宋体"/>
          <w:szCs w:val="21"/>
          <w:u w:val="single"/>
          <w:lang w:val="zh-CN"/>
        </w:rPr>
        <w:t xml:space="preserve">  人民币      </w:t>
      </w:r>
      <w:r>
        <w:rPr>
          <w:rFonts w:hint="eastAsia" w:ascii="宋体" w:hAnsi="宋体"/>
          <w:szCs w:val="21"/>
          <w:lang w:val="zh-CN"/>
        </w:rPr>
        <w:t xml:space="preserve">      </w:t>
      </w:r>
      <w:r>
        <w:rPr>
          <w:rFonts w:hint="eastAsia" w:ascii="宋体" w:hAnsi="宋体"/>
          <w:szCs w:val="21"/>
        </w:rPr>
        <w:t>汇率 ：</w:t>
      </w:r>
      <w:r>
        <w:rPr>
          <w:rFonts w:hint="eastAsia" w:ascii="宋体" w:hAnsi="宋体"/>
          <w:szCs w:val="21"/>
          <w:u w:val="single"/>
        </w:rPr>
        <w:t xml:space="preserve">                   </w:t>
      </w:r>
      <w:r>
        <w:rPr>
          <w:rFonts w:hint="eastAsia" w:ascii="宋体" w:hAnsi="宋体"/>
          <w:szCs w:val="21"/>
          <w:lang w:val="zh-CN"/>
        </w:rPr>
        <w:t>。</w:t>
      </w:r>
    </w:p>
    <w:p>
      <w:pPr>
        <w:spacing w:line="500" w:lineRule="exact"/>
        <w:ind w:firstLine="630" w:firstLineChars="300"/>
        <w:rPr>
          <w:rFonts w:ascii="宋体" w:hAnsi="宋体"/>
          <w:szCs w:val="21"/>
          <w:lang w:val="zh-CN"/>
        </w:rPr>
      </w:pPr>
      <w:r>
        <w:rPr>
          <w:rFonts w:hint="eastAsia" w:ascii="宋体" w:hAnsi="宋体"/>
          <w:szCs w:val="21"/>
          <w:lang w:val="zh-CN"/>
        </w:rPr>
        <w:t>代理报酬的支付方式：</w:t>
      </w:r>
      <w:r>
        <w:rPr>
          <w:rFonts w:hint="eastAsia" w:ascii="宋体" w:hAnsi="宋体"/>
          <w:szCs w:val="21"/>
          <w:u w:val="single"/>
          <w:lang w:val="zh-CN"/>
        </w:rPr>
        <w:t xml:space="preserve">                                         </w:t>
      </w:r>
      <w:r>
        <w:rPr>
          <w:rFonts w:hint="eastAsia" w:ascii="宋体" w:hAnsi="宋体"/>
          <w:szCs w:val="21"/>
          <w:lang w:val="zh-CN"/>
        </w:rPr>
        <w:t>。</w:t>
      </w:r>
    </w:p>
    <w:p>
      <w:pPr>
        <w:spacing w:line="500" w:lineRule="exact"/>
        <w:ind w:firstLine="630" w:firstLineChars="300"/>
        <w:rPr>
          <w:rFonts w:ascii="宋体" w:hAnsi="宋体"/>
          <w:szCs w:val="21"/>
        </w:rPr>
      </w:pPr>
      <w:r>
        <w:rPr>
          <w:rFonts w:hint="eastAsia" w:ascii="宋体" w:hAnsi="宋体"/>
          <w:szCs w:val="21"/>
          <w:lang w:val="zh-CN"/>
        </w:rPr>
        <w:t>代理报酬的支付时间：</w:t>
      </w:r>
      <w:r>
        <w:rPr>
          <w:rFonts w:hint="eastAsia" w:ascii="宋体" w:hAnsi="宋体"/>
          <w:szCs w:val="21"/>
          <w:u w:val="single"/>
          <w:lang w:val="zh-CN"/>
        </w:rPr>
        <w:t xml:space="preserve">                                         </w:t>
      </w:r>
      <w:r>
        <w:rPr>
          <w:rFonts w:hint="eastAsia" w:ascii="宋体" w:hAnsi="宋体"/>
          <w:szCs w:val="21"/>
          <w:lang w:val="zh-CN"/>
        </w:rPr>
        <w:t>。</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9</w:t>
      </w:r>
      <w:r>
        <w:rPr>
          <w:rFonts w:hint="eastAsia" w:ascii="宋体" w:hAnsi="宋体"/>
          <w:szCs w:val="21"/>
          <w:lang w:val="zh-CN"/>
        </w:rPr>
        <w:t>、委托代理报酬的收取</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9.1</w:t>
      </w:r>
      <w:r>
        <w:rPr>
          <w:rFonts w:hint="eastAsia" w:ascii="宋体" w:hAnsi="宋体"/>
          <w:szCs w:val="21"/>
          <w:lang w:val="zh-CN"/>
        </w:rPr>
        <w:t xml:space="preserve"> 预计委托代理费用额度（比例）：</w:t>
      </w:r>
      <w:r>
        <w:rPr>
          <w:rFonts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lang w:val="zh-CN"/>
        </w:rPr>
        <w:t>。</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9.3</w:t>
      </w:r>
      <w:r>
        <w:rPr>
          <w:rFonts w:hint="eastAsia" w:ascii="宋体" w:hAnsi="宋体"/>
          <w:szCs w:val="21"/>
          <w:lang w:val="zh-CN"/>
        </w:rPr>
        <w:t xml:space="preserve"> 逾期支付时，银行贷款利率：</w:t>
      </w:r>
      <w:r>
        <w:rPr>
          <w:rFonts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lang w:val="zh-CN"/>
        </w:rPr>
        <w:t>。</w:t>
      </w:r>
    </w:p>
    <w:p>
      <w:pPr>
        <w:autoSpaceDE w:val="0"/>
        <w:autoSpaceDN w:val="0"/>
        <w:adjustRightInd w:val="0"/>
        <w:spacing w:line="500" w:lineRule="exact"/>
        <w:ind w:firstLine="540"/>
        <w:rPr>
          <w:rFonts w:ascii="宋体" w:hAnsi="宋体"/>
          <w:szCs w:val="21"/>
          <w:u w:val="single"/>
          <w:lang w:val="zh-CN"/>
        </w:rPr>
      </w:pPr>
      <w:r>
        <w:rPr>
          <w:rFonts w:ascii="宋体" w:hAnsi="宋体"/>
          <w:szCs w:val="21"/>
          <w:lang w:val="zh-CN"/>
        </w:rPr>
        <w:t>9.4</w:t>
      </w:r>
      <w:r>
        <w:rPr>
          <w:rFonts w:hint="eastAsia" w:ascii="宋体" w:hAnsi="宋体"/>
          <w:szCs w:val="21"/>
          <w:lang w:val="zh-CN"/>
        </w:rPr>
        <w:t xml:space="preserve"> 逾期支付时，应收取的利息：</w:t>
      </w:r>
      <w:r>
        <w:rPr>
          <w:rFonts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lang w:val="zh-CN"/>
        </w:rPr>
        <w:t>。</w:t>
      </w:r>
    </w:p>
    <w:p>
      <w:pPr>
        <w:autoSpaceDE w:val="0"/>
        <w:autoSpaceDN w:val="0"/>
        <w:adjustRightInd w:val="0"/>
        <w:spacing w:line="500" w:lineRule="exact"/>
        <w:ind w:firstLine="540"/>
        <w:rPr>
          <w:rFonts w:ascii="宋体" w:hAnsi="宋体"/>
          <w:b/>
          <w:bCs/>
          <w:szCs w:val="21"/>
          <w:lang w:val="zh-CN"/>
        </w:rPr>
      </w:pPr>
      <w:r>
        <w:rPr>
          <w:rFonts w:hint="eastAsia" w:ascii="宋体" w:hAnsi="宋体"/>
          <w:b/>
          <w:bCs/>
          <w:szCs w:val="21"/>
          <w:lang w:val="zh-CN"/>
        </w:rPr>
        <w:t>四、违约、索赔和争议</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10</w:t>
      </w:r>
      <w:r>
        <w:rPr>
          <w:rFonts w:hint="eastAsia" w:ascii="宋体" w:hAnsi="宋体"/>
          <w:szCs w:val="21"/>
          <w:lang w:val="zh-CN"/>
        </w:rPr>
        <w:t>、违约</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10.1</w:t>
      </w:r>
      <w:r>
        <w:rPr>
          <w:rFonts w:hint="eastAsia" w:ascii="宋体" w:hAnsi="宋体"/>
          <w:szCs w:val="21"/>
          <w:lang w:val="zh-CN"/>
        </w:rPr>
        <w:t xml:space="preserve"> 本合同关于委托人违约的具体责任：</w:t>
      </w:r>
      <w:r>
        <w:rPr>
          <w:rFonts w:ascii="宋体" w:hAnsi="宋体"/>
          <w:szCs w:val="21"/>
          <w:lang w:val="zh-CN"/>
        </w:rPr>
        <w:t xml:space="preserve"> </w:t>
      </w:r>
    </w:p>
    <w:p>
      <w:pPr>
        <w:autoSpaceDE w:val="0"/>
        <w:autoSpaceDN w:val="0"/>
        <w:adjustRightInd w:val="0"/>
        <w:spacing w:line="500" w:lineRule="exact"/>
        <w:ind w:firstLine="420" w:firstLineChars="200"/>
        <w:rPr>
          <w:rFonts w:ascii="宋体" w:hAnsi="宋体"/>
          <w:szCs w:val="21"/>
          <w:lang w:val="zh-CN"/>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）委托人未按照本合同通用条款第</w:t>
      </w:r>
      <w:r>
        <w:rPr>
          <w:rFonts w:ascii="宋体" w:hAnsi="宋体"/>
          <w:szCs w:val="21"/>
          <w:lang w:val="zh-CN"/>
        </w:rPr>
        <w:t>4.2</w:t>
      </w:r>
      <w:r>
        <w:rPr>
          <w:rFonts w:hint="eastAsia" w:ascii="宋体" w:hAnsi="宋体"/>
          <w:szCs w:val="21"/>
          <w:lang w:val="zh-CN"/>
        </w:rPr>
        <w:t>－（</w:t>
      </w:r>
      <w:r>
        <w:rPr>
          <w:rFonts w:ascii="宋体" w:hAnsi="宋体"/>
          <w:szCs w:val="21"/>
          <w:lang w:val="zh-CN"/>
        </w:rPr>
        <w:t>3</w:t>
      </w:r>
      <w:r>
        <w:rPr>
          <w:rFonts w:hint="eastAsia" w:ascii="宋体" w:hAnsi="宋体"/>
          <w:szCs w:val="21"/>
          <w:lang w:val="zh-CN"/>
        </w:rPr>
        <w:t>）款的约定，向受托人提供保证招标工作顺利完成的条件应承担的违约责任：</w:t>
      </w:r>
      <w:r>
        <w:rPr>
          <w:rFonts w:hint="eastAsia" w:ascii="宋体" w:hAnsi="宋体"/>
          <w:szCs w:val="21"/>
          <w:u w:val="single"/>
          <w:lang w:val="zh-CN"/>
        </w:rPr>
        <w:t>承担影响招标日程、耽误招标正常进行，按规定需要进行经济赔偿的责任。</w:t>
      </w:r>
    </w:p>
    <w:p>
      <w:pPr>
        <w:autoSpaceDE w:val="0"/>
        <w:autoSpaceDN w:val="0"/>
        <w:adjustRightInd w:val="0"/>
        <w:spacing w:line="500" w:lineRule="exact"/>
        <w:ind w:firstLine="420" w:firstLineChars="200"/>
        <w:rPr>
          <w:rFonts w:ascii="宋体" w:hAnsi="宋体"/>
          <w:szCs w:val="21"/>
          <w:u w:val="single"/>
          <w:vertAlign w:val="subscript"/>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）委托人未按本合同通用条款第</w:t>
      </w:r>
      <w:r>
        <w:rPr>
          <w:rFonts w:ascii="宋体" w:hAnsi="宋体"/>
          <w:szCs w:val="21"/>
          <w:lang w:val="zh-CN"/>
        </w:rPr>
        <w:t>4.2</w:t>
      </w:r>
      <w:r>
        <w:rPr>
          <w:rFonts w:hint="eastAsia" w:ascii="宋体" w:hAnsi="宋体"/>
          <w:szCs w:val="21"/>
          <w:lang w:val="zh-CN"/>
        </w:rPr>
        <w:t>－（</w:t>
      </w:r>
      <w:r>
        <w:rPr>
          <w:rFonts w:ascii="宋体" w:hAnsi="宋体"/>
          <w:szCs w:val="21"/>
          <w:lang w:val="zh-CN"/>
        </w:rPr>
        <w:t>6</w:t>
      </w:r>
      <w:r>
        <w:rPr>
          <w:rFonts w:hint="eastAsia" w:ascii="宋体" w:hAnsi="宋体"/>
          <w:szCs w:val="21"/>
          <w:lang w:val="zh-CN"/>
        </w:rPr>
        <w:t>）款的约定，向受托人支付委托代理报酬应承担的违约责任：</w:t>
      </w:r>
      <w:r>
        <w:rPr>
          <w:rFonts w:hint="eastAsia" w:ascii="宋体" w:hAnsi="宋体"/>
          <w:szCs w:val="21"/>
          <w:u w:val="single"/>
          <w:lang w:val="zh-CN"/>
        </w:rPr>
        <w:t>按9.3、9.4条款执行。</w:t>
      </w:r>
    </w:p>
    <w:p>
      <w:pPr>
        <w:autoSpaceDE w:val="0"/>
        <w:autoSpaceDN w:val="0"/>
        <w:adjustRightInd w:val="0"/>
        <w:spacing w:line="500" w:lineRule="exact"/>
        <w:ind w:firstLine="420" w:firstLineChars="200"/>
        <w:rPr>
          <w:rFonts w:ascii="宋体" w:hAnsi="宋体"/>
          <w:szCs w:val="21"/>
          <w:vertAlign w:val="subscript"/>
        </w:rPr>
      </w:pPr>
      <w:r>
        <w:rPr>
          <w:rFonts w:ascii="宋体" w:hAnsi="宋体"/>
          <w:szCs w:val="21"/>
          <w:lang w:val="zh-CN"/>
        </w:rPr>
        <w:t xml:space="preserve"> </w:t>
      </w:r>
      <w:r>
        <w:rPr>
          <w:rFonts w:hint="eastAsia" w:ascii="宋体" w:hAnsi="宋体"/>
          <w:szCs w:val="21"/>
          <w:lang w:val="zh-CN"/>
        </w:rPr>
        <w:t>（</w:t>
      </w:r>
      <w:r>
        <w:rPr>
          <w:rFonts w:ascii="宋体" w:hAnsi="宋体"/>
          <w:szCs w:val="21"/>
          <w:lang w:val="zh-CN"/>
        </w:rPr>
        <w:t>3</w:t>
      </w:r>
      <w:r>
        <w:rPr>
          <w:rFonts w:hint="eastAsia" w:ascii="宋体" w:hAnsi="宋体"/>
          <w:szCs w:val="21"/>
          <w:lang w:val="zh-CN"/>
        </w:rPr>
        <w:t>）双方约定的委托人的其他违约责任：</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u w:val="single"/>
          <w:lang w:val="zh-CN"/>
        </w:rPr>
        <w:t xml:space="preserve">    。</w:t>
      </w:r>
    </w:p>
    <w:p>
      <w:pPr>
        <w:autoSpaceDE w:val="0"/>
        <w:autoSpaceDN w:val="0"/>
        <w:adjustRightInd w:val="0"/>
        <w:spacing w:line="500" w:lineRule="exact"/>
        <w:ind w:firstLine="504" w:firstLineChars="240"/>
        <w:rPr>
          <w:rFonts w:ascii="宋体" w:hAnsi="宋体"/>
          <w:szCs w:val="21"/>
          <w:lang w:val="zh-CN"/>
        </w:rPr>
      </w:pPr>
      <w:r>
        <w:rPr>
          <w:rFonts w:ascii="宋体" w:hAnsi="宋体"/>
          <w:szCs w:val="21"/>
          <w:lang w:val="zh-CN"/>
        </w:rPr>
        <w:t>10.2</w:t>
      </w:r>
      <w:r>
        <w:rPr>
          <w:rFonts w:hint="eastAsia" w:ascii="宋体" w:hAnsi="宋体"/>
          <w:szCs w:val="21"/>
          <w:lang w:val="zh-CN"/>
        </w:rPr>
        <w:t xml:space="preserve"> 本合同关于受托人违约的具体责任：</w:t>
      </w:r>
      <w:r>
        <w:rPr>
          <w:rFonts w:ascii="宋体" w:hAnsi="宋体"/>
          <w:szCs w:val="21"/>
          <w:lang w:val="zh-CN"/>
        </w:rPr>
        <w:t xml:space="preserve"> </w:t>
      </w:r>
    </w:p>
    <w:p>
      <w:pPr>
        <w:autoSpaceDE w:val="0"/>
        <w:autoSpaceDN w:val="0"/>
        <w:adjustRightInd w:val="0"/>
        <w:spacing w:line="500" w:lineRule="exact"/>
        <w:ind w:firstLine="420" w:firstLineChars="200"/>
        <w:rPr>
          <w:rFonts w:ascii="宋体" w:hAnsi="宋体"/>
          <w:szCs w:val="21"/>
          <w:lang w:val="zh-CN"/>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）受托人未按照本合同通用条款第</w:t>
      </w:r>
      <w:r>
        <w:rPr>
          <w:rFonts w:ascii="宋体" w:hAnsi="宋体"/>
          <w:szCs w:val="21"/>
          <w:lang w:val="zh-CN"/>
        </w:rPr>
        <w:t>5.2</w:t>
      </w:r>
      <w:r>
        <w:rPr>
          <w:rFonts w:hint="eastAsia" w:ascii="宋体" w:hAnsi="宋体"/>
          <w:szCs w:val="21"/>
          <w:lang w:val="zh-CN"/>
        </w:rPr>
        <w:t>－（</w:t>
      </w:r>
      <w:r>
        <w:rPr>
          <w:rFonts w:ascii="宋体" w:hAnsi="宋体"/>
          <w:szCs w:val="21"/>
          <w:lang w:val="zh-CN"/>
        </w:rPr>
        <w:t>2</w:t>
      </w:r>
      <w:r>
        <w:rPr>
          <w:rFonts w:hint="eastAsia" w:ascii="宋体" w:hAnsi="宋体"/>
          <w:szCs w:val="21"/>
          <w:lang w:val="zh-CN"/>
        </w:rPr>
        <w:t>）款的约定，向委托人提供为完成招标工作的咨询服务应承担的责任：</w:t>
      </w:r>
      <w:r>
        <w:rPr>
          <w:rFonts w:hint="eastAsia" w:ascii="宋体" w:hAnsi="宋体"/>
          <w:szCs w:val="21"/>
          <w:u w:val="single"/>
          <w:lang w:val="zh-CN"/>
        </w:rPr>
        <w:t>承担违约责任并赔偿损失。</w:t>
      </w:r>
    </w:p>
    <w:p>
      <w:pPr>
        <w:autoSpaceDE w:val="0"/>
        <w:autoSpaceDN w:val="0"/>
        <w:adjustRightInd w:val="0"/>
        <w:spacing w:line="500" w:lineRule="exact"/>
        <w:ind w:firstLine="504" w:firstLineChars="240"/>
        <w:rPr>
          <w:rFonts w:ascii="宋体" w:hAnsi="宋体"/>
          <w:szCs w:val="21"/>
          <w:vertAlign w:val="subscript"/>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）受托人违反本合同通用条款第</w:t>
      </w:r>
      <w:r>
        <w:rPr>
          <w:rFonts w:ascii="宋体" w:hAnsi="宋体"/>
          <w:szCs w:val="21"/>
          <w:lang w:val="zh-CN"/>
        </w:rPr>
        <w:t>5.4</w:t>
      </w:r>
      <w:r>
        <w:rPr>
          <w:rFonts w:hint="eastAsia" w:ascii="宋体" w:hAnsi="宋体"/>
          <w:szCs w:val="21"/>
          <w:lang w:val="zh-CN"/>
        </w:rPr>
        <w:t>款的约定，接受了与本合同工程建设项目有关的投标咨询业务应承担的违约责任：</w:t>
      </w:r>
      <w:r>
        <w:rPr>
          <w:rFonts w:hint="eastAsia" w:ascii="宋体" w:hAnsi="宋体"/>
          <w:szCs w:val="21"/>
          <w:u w:val="single"/>
          <w:lang w:val="zh-CN"/>
        </w:rPr>
        <w:t>承担违约责任并赔偿损失，甚至解除委托合同。</w:t>
      </w:r>
    </w:p>
    <w:p>
      <w:pPr>
        <w:autoSpaceDE w:val="0"/>
        <w:autoSpaceDN w:val="0"/>
        <w:adjustRightInd w:val="0"/>
        <w:spacing w:line="500" w:lineRule="exact"/>
        <w:ind w:firstLine="420" w:firstLineChars="200"/>
        <w:rPr>
          <w:rFonts w:ascii="宋体" w:hAnsi="宋体"/>
          <w:szCs w:val="21"/>
          <w:lang w:val="zh-CN"/>
        </w:rPr>
      </w:pPr>
      <w:r>
        <w:rPr>
          <w:rFonts w:hint="eastAsia" w:ascii="宋体" w:hAnsi="宋体"/>
          <w:szCs w:val="21"/>
          <w:lang w:val="zh-CN"/>
        </w:rPr>
        <w:t>（</w:t>
      </w:r>
      <w:r>
        <w:rPr>
          <w:rFonts w:ascii="宋体" w:hAnsi="宋体"/>
          <w:szCs w:val="21"/>
          <w:lang w:val="zh-CN"/>
        </w:rPr>
        <w:t>3</w:t>
      </w:r>
      <w:r>
        <w:rPr>
          <w:rFonts w:hint="eastAsia" w:ascii="宋体" w:hAnsi="宋体"/>
          <w:szCs w:val="21"/>
          <w:lang w:val="zh-CN"/>
        </w:rPr>
        <w:t>）受托人违反本合同通用条款第</w:t>
      </w:r>
      <w:r>
        <w:rPr>
          <w:rFonts w:ascii="宋体" w:hAnsi="宋体"/>
          <w:szCs w:val="21"/>
          <w:lang w:val="zh-CN"/>
        </w:rPr>
        <w:t>5.7</w:t>
      </w:r>
      <w:r>
        <w:rPr>
          <w:rFonts w:hint="eastAsia" w:ascii="宋体" w:hAnsi="宋体"/>
          <w:szCs w:val="21"/>
          <w:lang w:val="zh-CN"/>
        </w:rPr>
        <w:t>款的约定，泄露了与本合同工程有关的任何不应泄露的招标资料和情况应承担的违约责任：</w:t>
      </w:r>
      <w:r>
        <w:rPr>
          <w:rFonts w:hint="eastAsia" w:ascii="宋体" w:hAnsi="宋体"/>
          <w:szCs w:val="21"/>
          <w:u w:val="single"/>
          <w:lang w:val="zh-CN"/>
        </w:rPr>
        <w:t>承担违约责任并赔偿损失，甚至解除委托合同。</w:t>
      </w:r>
      <w:r>
        <w:rPr>
          <w:rFonts w:ascii="宋体" w:hAnsi="宋体"/>
          <w:szCs w:val="21"/>
          <w:lang w:val="zh-CN"/>
        </w:rPr>
        <w:t xml:space="preserve"> </w:t>
      </w:r>
    </w:p>
    <w:p>
      <w:pPr>
        <w:autoSpaceDE w:val="0"/>
        <w:autoSpaceDN w:val="0"/>
        <w:adjustRightInd w:val="0"/>
        <w:spacing w:line="500" w:lineRule="exact"/>
        <w:ind w:firstLine="504" w:firstLineChars="240"/>
        <w:rPr>
          <w:rFonts w:ascii="宋体" w:hAnsi="宋体"/>
          <w:szCs w:val="21"/>
          <w:vertAlign w:val="subscript"/>
        </w:rPr>
      </w:pPr>
      <w:r>
        <w:rPr>
          <w:rFonts w:hint="eastAsia" w:ascii="宋体" w:hAnsi="宋体"/>
          <w:szCs w:val="21"/>
          <w:lang w:val="zh-CN"/>
        </w:rPr>
        <w:t>（</w:t>
      </w:r>
      <w:r>
        <w:rPr>
          <w:rFonts w:ascii="宋体" w:hAnsi="宋体"/>
          <w:szCs w:val="21"/>
          <w:lang w:val="zh-CN"/>
        </w:rPr>
        <w:t>4</w:t>
      </w:r>
      <w:r>
        <w:rPr>
          <w:rFonts w:hint="eastAsia" w:ascii="宋体" w:hAnsi="宋体"/>
          <w:szCs w:val="21"/>
          <w:lang w:val="zh-CN"/>
        </w:rPr>
        <w:t>）双方约定的受托人的其他违约责任：</w:t>
      </w:r>
      <w:r>
        <w:rPr>
          <w:rFonts w:hint="eastAsia" w:ascii="宋体" w:hAnsi="宋体"/>
          <w:szCs w:val="21"/>
          <w:u w:val="single"/>
          <w:lang w:val="zh-CN"/>
        </w:rPr>
        <w:t xml:space="preserve">                        。</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12</w:t>
      </w:r>
      <w:r>
        <w:rPr>
          <w:rFonts w:hint="eastAsia" w:ascii="宋体" w:hAnsi="宋体"/>
          <w:szCs w:val="21"/>
          <w:lang w:val="zh-CN"/>
        </w:rPr>
        <w:t>、争议</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12.1</w:t>
      </w:r>
      <w:r>
        <w:rPr>
          <w:rFonts w:hint="eastAsia" w:ascii="宋体" w:hAnsi="宋体"/>
          <w:szCs w:val="21"/>
          <w:lang w:val="zh-CN"/>
        </w:rPr>
        <w:t xml:space="preserve"> 双方约定，凡因执行本合同所发生的与本合同有关的一切争议，当和解或调解不成时，选择下列第</w:t>
      </w:r>
      <w:r>
        <w:rPr>
          <w:rFonts w:hint="eastAsia" w:ascii="宋体" w:hAnsi="宋体"/>
          <w:szCs w:val="21"/>
          <w:u w:val="single"/>
          <w:vertAlign w:val="subscript"/>
        </w:rPr>
        <w:t xml:space="preserve">                  </w:t>
      </w:r>
      <w:r>
        <w:rPr>
          <w:rFonts w:hint="eastAsia" w:ascii="宋体" w:hAnsi="宋体"/>
          <w:szCs w:val="21"/>
          <w:lang w:val="zh-CN"/>
        </w:rPr>
        <w:t>种方式解决：</w:t>
      </w:r>
    </w:p>
    <w:p>
      <w:pPr>
        <w:autoSpaceDE w:val="0"/>
        <w:autoSpaceDN w:val="0"/>
        <w:adjustRightInd w:val="0"/>
        <w:spacing w:line="500" w:lineRule="exact"/>
        <w:ind w:firstLine="540"/>
        <w:rPr>
          <w:rFonts w:ascii="宋体" w:hAnsi="宋体"/>
          <w:szCs w:val="21"/>
          <w:lang w:val="zh-CN"/>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）将争议提交</w:t>
      </w:r>
      <w:r>
        <w:rPr>
          <w:rFonts w:hint="eastAsia" w:ascii="宋体" w:hAnsi="宋体"/>
          <w:szCs w:val="21"/>
          <w:u w:val="single"/>
          <w:lang w:val="zh-CN"/>
        </w:rPr>
        <w:t xml:space="preserve">                </w:t>
      </w:r>
      <w:r>
        <w:rPr>
          <w:rFonts w:hint="eastAsia" w:ascii="宋体" w:hAnsi="宋体"/>
          <w:szCs w:val="21"/>
          <w:lang w:val="zh-CN"/>
        </w:rPr>
        <w:t>仲裁委员会仲裁；</w:t>
      </w:r>
    </w:p>
    <w:p>
      <w:pPr>
        <w:autoSpaceDE w:val="0"/>
        <w:autoSpaceDN w:val="0"/>
        <w:adjustRightInd w:val="0"/>
        <w:spacing w:line="500" w:lineRule="exact"/>
        <w:ind w:firstLine="540"/>
        <w:rPr>
          <w:rFonts w:ascii="宋体" w:hAnsi="宋体"/>
          <w:szCs w:val="21"/>
          <w:lang w:val="zh-CN"/>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）依法向</w:t>
      </w:r>
      <w:r>
        <w:rPr>
          <w:rFonts w:hint="eastAsia" w:ascii="宋体" w:hAnsi="宋体"/>
          <w:szCs w:val="21"/>
          <w:u w:val="single"/>
          <w:lang w:val="zh-CN"/>
        </w:rPr>
        <w:t xml:space="preserve">                    </w:t>
      </w:r>
      <w:r>
        <w:rPr>
          <w:rFonts w:hint="eastAsia" w:ascii="宋体" w:hAnsi="宋体"/>
          <w:szCs w:val="21"/>
          <w:lang w:val="zh-CN"/>
        </w:rPr>
        <w:t>人民法院提起诉讼。</w:t>
      </w:r>
    </w:p>
    <w:p>
      <w:pPr>
        <w:autoSpaceDE w:val="0"/>
        <w:autoSpaceDN w:val="0"/>
        <w:adjustRightInd w:val="0"/>
        <w:spacing w:line="500" w:lineRule="exact"/>
        <w:ind w:firstLine="540"/>
        <w:rPr>
          <w:rFonts w:ascii="宋体" w:hAnsi="宋体"/>
          <w:b/>
          <w:bCs/>
          <w:szCs w:val="21"/>
          <w:lang w:val="zh-CN"/>
        </w:rPr>
      </w:pPr>
      <w:r>
        <w:rPr>
          <w:rFonts w:hint="eastAsia" w:ascii="宋体" w:hAnsi="宋体"/>
          <w:b/>
          <w:bCs/>
          <w:szCs w:val="21"/>
          <w:lang w:val="zh-CN"/>
        </w:rPr>
        <w:t>六、其他</w:t>
      </w:r>
    </w:p>
    <w:p>
      <w:pPr>
        <w:tabs>
          <w:tab w:val="left" w:pos="3540"/>
        </w:tabs>
        <w:autoSpaceDE w:val="0"/>
        <w:autoSpaceDN w:val="0"/>
        <w:adjustRightInd w:val="0"/>
        <w:spacing w:line="500" w:lineRule="exact"/>
        <w:ind w:firstLine="540"/>
        <w:rPr>
          <w:rFonts w:ascii="宋体" w:hAnsi="宋体"/>
          <w:szCs w:val="21"/>
        </w:rPr>
      </w:pPr>
      <w:r>
        <w:rPr>
          <w:rFonts w:hint="eastAsia" w:ascii="宋体" w:hAnsi="宋体"/>
          <w:szCs w:val="21"/>
        </w:rPr>
        <w:t>16、其他补充约定：</w:t>
      </w:r>
      <w:r>
        <w:rPr>
          <w:rFonts w:hint="eastAsia" w:ascii="宋体" w:hAnsi="宋体"/>
          <w:szCs w:val="21"/>
          <w:u w:val="single"/>
        </w:rPr>
        <w:t xml:space="preserve">                                                       </w:t>
      </w:r>
    </w:p>
    <w:p>
      <w:pPr>
        <w:tabs>
          <w:tab w:val="left" w:pos="3540"/>
        </w:tabs>
        <w:autoSpaceDE w:val="0"/>
        <w:autoSpaceDN w:val="0"/>
        <w:adjustRightInd w:val="0"/>
        <w:spacing w:line="500" w:lineRule="exact"/>
        <w:ind w:firstLine="540"/>
        <w:rPr>
          <w:rFonts w:ascii="宋体" w:hAnsi="宋体"/>
          <w:szCs w:val="21"/>
          <w:lang w:val="zh-CN"/>
        </w:rPr>
      </w:pPr>
      <w:r>
        <w:rPr>
          <w:rFonts w:hint="eastAsia" w:ascii="宋体" w:hAnsi="宋体"/>
          <w:szCs w:val="21"/>
        </w:rPr>
        <w:t>17、</w:t>
      </w:r>
      <w:r>
        <w:rPr>
          <w:rFonts w:hint="eastAsia" w:ascii="宋体" w:hAnsi="宋体"/>
          <w:szCs w:val="21"/>
          <w:lang w:val="zh-CN"/>
        </w:rPr>
        <w:t>本合同一式</w:t>
      </w:r>
      <w:r>
        <w:rPr>
          <w:rFonts w:hint="eastAsia" w:ascii="宋体" w:hAnsi="宋体"/>
          <w:szCs w:val="21"/>
          <w:u w:val="single"/>
        </w:rPr>
        <w:t xml:space="preserve">    </w:t>
      </w:r>
      <w:r>
        <w:rPr>
          <w:rFonts w:hint="eastAsia" w:ascii="宋体" w:hAnsi="宋体"/>
          <w:szCs w:val="21"/>
          <w:lang w:val="zh-CN"/>
        </w:rPr>
        <w:t>份</w:t>
      </w:r>
      <w:r>
        <w:rPr>
          <w:rFonts w:hint="eastAsia" w:ascii="宋体" w:hAnsi="宋体"/>
          <w:szCs w:val="21"/>
        </w:rPr>
        <w:t>，其中正本</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val="zh-CN"/>
        </w:rPr>
        <w:t>具有同等法律效力。甲</w:t>
      </w:r>
      <w:r>
        <w:rPr>
          <w:rFonts w:hint="eastAsia" w:ascii="宋体" w:hAnsi="宋体"/>
          <w:szCs w:val="21"/>
        </w:rPr>
        <w:t>乙双方各</w:t>
      </w:r>
      <w:r>
        <w:rPr>
          <w:rFonts w:hint="eastAsia" w:ascii="宋体" w:hAnsi="宋体"/>
          <w:szCs w:val="21"/>
          <w:lang w:val="zh-CN"/>
        </w:rPr>
        <w:t>执</w:t>
      </w:r>
      <w:r>
        <w:rPr>
          <w:rFonts w:hint="eastAsia" w:ascii="宋体" w:hAnsi="宋体"/>
          <w:szCs w:val="21"/>
        </w:rPr>
        <w:t>正本</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lang w:val="zh-CN"/>
        </w:rPr>
        <w:t>份，</w:t>
      </w:r>
      <w:r>
        <w:rPr>
          <w:rFonts w:hint="eastAsia" w:ascii="宋体" w:hAnsi="宋体"/>
          <w:szCs w:val="21"/>
        </w:rPr>
        <w:t>甲方</w:t>
      </w:r>
      <w:r>
        <w:rPr>
          <w:rFonts w:hint="eastAsia" w:ascii="宋体" w:hAnsi="宋体"/>
          <w:szCs w:val="21"/>
          <w:lang w:val="zh-CN"/>
        </w:rPr>
        <w:t>执</w:t>
      </w:r>
      <w:r>
        <w:rPr>
          <w:rFonts w:hint="eastAsia" w:ascii="宋体" w:hAnsi="宋体"/>
          <w:szCs w:val="21"/>
        </w:rPr>
        <w:t>副本</w:t>
      </w:r>
      <w:r>
        <w:rPr>
          <w:rFonts w:hint="eastAsia" w:ascii="宋体" w:hAnsi="宋体"/>
          <w:szCs w:val="21"/>
          <w:u w:val="single"/>
          <w:lang w:val="zh-CN"/>
        </w:rPr>
        <w:t xml:space="preserve">   </w:t>
      </w:r>
      <w:r>
        <w:rPr>
          <w:rFonts w:hint="eastAsia" w:ascii="宋体" w:hAnsi="宋体"/>
          <w:szCs w:val="21"/>
          <w:lang w:val="zh-CN"/>
        </w:rPr>
        <w:t>份</w:t>
      </w:r>
      <w:r>
        <w:rPr>
          <w:rFonts w:hint="eastAsia" w:ascii="宋体" w:hAnsi="宋体"/>
          <w:szCs w:val="21"/>
        </w:rPr>
        <w:t>，</w:t>
      </w:r>
      <w:r>
        <w:rPr>
          <w:rFonts w:hint="eastAsia" w:ascii="宋体" w:hAnsi="宋体"/>
          <w:szCs w:val="21"/>
          <w:lang w:val="zh-CN"/>
        </w:rPr>
        <w:t>乙方执</w:t>
      </w:r>
      <w:r>
        <w:rPr>
          <w:rFonts w:hint="eastAsia" w:ascii="宋体" w:hAnsi="宋体"/>
          <w:szCs w:val="21"/>
        </w:rPr>
        <w:t>副本</w:t>
      </w:r>
      <w:r>
        <w:rPr>
          <w:rFonts w:hint="eastAsia" w:ascii="宋体" w:hAnsi="宋体"/>
          <w:szCs w:val="21"/>
          <w:u w:val="single"/>
          <w:lang w:val="zh-CN"/>
        </w:rPr>
        <w:t xml:space="preserve">   </w:t>
      </w:r>
      <w:r>
        <w:rPr>
          <w:rFonts w:hint="eastAsia" w:ascii="宋体" w:hAnsi="宋体"/>
          <w:szCs w:val="21"/>
          <w:lang w:val="zh-CN"/>
        </w:rPr>
        <w:t>份。</w:t>
      </w:r>
    </w:p>
    <w:p>
      <w:pPr>
        <w:pStyle w:val="2"/>
        <w:outlineLvl w:val="9"/>
        <w:rPr>
          <w:rFonts w:ascii="宋体" w:hAnsi="宋体"/>
          <w:szCs w:val="21"/>
          <w:lang w:val="zh-CN"/>
        </w:rPr>
      </w:pPr>
    </w:p>
    <w:p>
      <w:pPr>
        <w:pStyle w:val="2"/>
        <w:outlineLvl w:val="9"/>
        <w:rPr>
          <w:rFonts w:ascii="宋体" w:hAnsi="宋体"/>
          <w:szCs w:val="21"/>
          <w:lang w:val="zh-CN"/>
        </w:rPr>
      </w:pPr>
    </w:p>
    <w:p>
      <w:pPr>
        <w:pStyle w:val="2"/>
        <w:outlineLvl w:val="9"/>
        <w:rPr>
          <w:rFonts w:ascii="宋体" w:hAnsi="宋体"/>
          <w:szCs w:val="21"/>
          <w:lang w:val="zh-CN"/>
        </w:rPr>
      </w:pPr>
    </w:p>
    <w:p>
      <w:pPr>
        <w:spacing w:line="500" w:lineRule="exact"/>
        <w:ind w:left="426" w:leftChars="203" w:firstLine="210" w:firstLineChars="100"/>
        <w:jc w:val="left"/>
        <w:rPr>
          <w:rFonts w:ascii="宋体" w:hAnsi="宋体" w:cs="Arial"/>
          <w:szCs w:val="21"/>
        </w:rPr>
      </w:pPr>
      <w:r>
        <w:rPr>
          <w:rFonts w:hint="eastAsia" w:ascii="宋体" w:hAnsi="宋体" w:cs="Arial"/>
          <w:szCs w:val="21"/>
        </w:rPr>
        <w:t>甲方：</w:t>
      </w:r>
      <w:r>
        <w:rPr>
          <w:rFonts w:hint="eastAsia" w:ascii="宋体" w:hAnsi="宋体" w:cs="Arial"/>
          <w:szCs w:val="21"/>
          <w:u w:val="single"/>
        </w:rPr>
        <w:t xml:space="preserve">                              </w:t>
      </w:r>
      <w:r>
        <w:rPr>
          <w:rFonts w:hint="eastAsia" w:ascii="宋体" w:hAnsi="宋体" w:cs="Arial"/>
          <w:szCs w:val="21"/>
        </w:rPr>
        <w:t xml:space="preserve"> （盖章）</w:t>
      </w:r>
    </w:p>
    <w:p>
      <w:pPr>
        <w:spacing w:line="500" w:lineRule="exact"/>
        <w:ind w:left="426" w:leftChars="203" w:firstLine="210" w:firstLineChars="100"/>
        <w:jc w:val="left"/>
        <w:rPr>
          <w:rFonts w:ascii="宋体" w:hAnsi="宋体" w:cs="Arial"/>
          <w:szCs w:val="21"/>
          <w:u w:val="single"/>
        </w:rPr>
      </w:pPr>
      <w:r>
        <w:rPr>
          <w:rFonts w:hint="eastAsia" w:ascii="宋体" w:hAnsi="宋体" w:cs="Arial"/>
          <w:szCs w:val="21"/>
        </w:rPr>
        <w:t>住所地：</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u w:val="single"/>
        </w:rPr>
      </w:pPr>
      <w:r>
        <w:rPr>
          <w:rFonts w:hint="eastAsia" w:ascii="宋体" w:hAnsi="宋体" w:cs="Arial"/>
          <w:szCs w:val="21"/>
        </w:rPr>
        <w:t>电    话：</w:t>
      </w:r>
      <w:r>
        <w:rPr>
          <w:rFonts w:hint="eastAsia" w:ascii="宋体" w:hAnsi="宋体" w:cs="Arial"/>
          <w:szCs w:val="21"/>
          <w:u w:val="single"/>
        </w:rPr>
        <w:t xml:space="preserve">                   </w:t>
      </w:r>
      <w:r>
        <w:rPr>
          <w:rFonts w:hint="eastAsia" w:ascii="宋体" w:hAnsi="宋体" w:cs="Arial"/>
          <w:szCs w:val="21"/>
        </w:rPr>
        <w:t xml:space="preserve"> 传    真：</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rPr>
      </w:pPr>
      <w:r>
        <w:rPr>
          <w:rFonts w:hint="eastAsia" w:ascii="宋体" w:hAnsi="宋体" w:cs="Arial"/>
          <w:szCs w:val="21"/>
        </w:rPr>
        <w:t>开户银行：</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u w:val="single"/>
        </w:rPr>
      </w:pPr>
      <w:r>
        <w:rPr>
          <w:rFonts w:hint="eastAsia" w:ascii="宋体" w:hAnsi="宋体" w:cs="Arial"/>
          <w:szCs w:val="21"/>
        </w:rPr>
        <w:t>账号：</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rPr>
      </w:pPr>
      <w:r>
        <w:rPr>
          <w:rFonts w:hint="eastAsia" w:ascii="宋体" w:hAnsi="宋体" w:cs="Arial"/>
          <w:szCs w:val="21"/>
        </w:rPr>
        <w:t>税号：</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u w:val="single"/>
        </w:rPr>
      </w:pPr>
      <w:r>
        <w:rPr>
          <w:rFonts w:hint="eastAsia" w:ascii="宋体" w:hAnsi="宋体" w:cs="Arial"/>
          <w:szCs w:val="21"/>
        </w:rPr>
        <w:t>法定代表人：</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u w:val="single"/>
        </w:rPr>
      </w:pPr>
      <w:r>
        <w:rPr>
          <w:rFonts w:hint="eastAsia" w:ascii="宋体" w:hAnsi="宋体" w:cs="Arial"/>
          <w:szCs w:val="21"/>
        </w:rPr>
        <w:t>委托代理人：</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u w:val="single"/>
        </w:rPr>
      </w:pPr>
      <w:r>
        <w:rPr>
          <w:rFonts w:hint="eastAsia" w:ascii="宋体" w:hAnsi="宋体" w:cs="Arial"/>
          <w:szCs w:val="21"/>
        </w:rPr>
        <w:t>签约日期：</w:t>
      </w:r>
      <w:r>
        <w:rPr>
          <w:rFonts w:hint="eastAsia" w:ascii="宋体" w:hAnsi="宋体" w:cs="Arial"/>
          <w:szCs w:val="21"/>
          <w:u w:val="single"/>
        </w:rPr>
        <w:t xml:space="preserve">                            </w:t>
      </w:r>
    </w:p>
    <w:p>
      <w:pPr>
        <w:spacing w:line="500" w:lineRule="exact"/>
        <w:jc w:val="left"/>
        <w:rPr>
          <w:rFonts w:ascii="宋体" w:hAnsi="宋体" w:cs="Arial"/>
          <w:szCs w:val="21"/>
        </w:rPr>
      </w:pPr>
    </w:p>
    <w:p>
      <w:pPr>
        <w:spacing w:line="500" w:lineRule="exact"/>
        <w:ind w:left="426" w:leftChars="203" w:firstLine="210" w:firstLineChars="100"/>
        <w:jc w:val="left"/>
        <w:rPr>
          <w:rFonts w:ascii="宋体" w:hAnsi="宋体" w:cs="Arial"/>
          <w:szCs w:val="21"/>
        </w:rPr>
      </w:pPr>
      <w:r>
        <w:rPr>
          <w:rFonts w:hint="eastAsia" w:ascii="宋体" w:hAnsi="宋体" w:cs="Arial"/>
          <w:szCs w:val="21"/>
        </w:rPr>
        <w:t>乙方：</w:t>
      </w:r>
      <w:r>
        <w:rPr>
          <w:rFonts w:hint="eastAsia" w:ascii="宋体" w:hAnsi="宋体" w:cs="Arial"/>
          <w:szCs w:val="21"/>
          <w:u w:val="single"/>
        </w:rPr>
        <w:t xml:space="preserve">                              </w:t>
      </w:r>
      <w:r>
        <w:rPr>
          <w:rFonts w:hint="eastAsia" w:ascii="宋体" w:hAnsi="宋体" w:cs="Arial"/>
          <w:szCs w:val="21"/>
        </w:rPr>
        <w:t>（盖章）</w:t>
      </w:r>
    </w:p>
    <w:p>
      <w:pPr>
        <w:spacing w:line="500" w:lineRule="exact"/>
        <w:ind w:left="426" w:leftChars="203" w:firstLine="210" w:firstLineChars="100"/>
        <w:jc w:val="left"/>
        <w:rPr>
          <w:rFonts w:ascii="宋体" w:hAnsi="宋体" w:cs="Arial"/>
          <w:szCs w:val="21"/>
        </w:rPr>
      </w:pPr>
      <w:r>
        <w:rPr>
          <w:rFonts w:hint="eastAsia" w:ascii="宋体" w:hAnsi="宋体" w:cs="Arial"/>
          <w:szCs w:val="21"/>
        </w:rPr>
        <w:t>住所地：</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rPr>
      </w:pPr>
      <w:r>
        <w:rPr>
          <w:rFonts w:hint="eastAsia" w:ascii="宋体" w:hAnsi="宋体" w:cs="Arial"/>
          <w:szCs w:val="21"/>
        </w:rPr>
        <w:t>电    话：</w:t>
      </w:r>
      <w:r>
        <w:rPr>
          <w:rFonts w:hint="eastAsia" w:ascii="宋体" w:hAnsi="宋体" w:cs="Arial"/>
          <w:szCs w:val="21"/>
          <w:u w:val="single"/>
        </w:rPr>
        <w:t xml:space="preserve">                  </w:t>
      </w:r>
      <w:r>
        <w:rPr>
          <w:rFonts w:hint="eastAsia" w:ascii="宋体" w:hAnsi="宋体" w:cs="Arial"/>
          <w:szCs w:val="21"/>
        </w:rPr>
        <w:t xml:space="preserve">   传    真：</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rPr>
      </w:pPr>
      <w:r>
        <w:rPr>
          <w:rFonts w:hint="eastAsia" w:ascii="宋体" w:hAnsi="宋体" w:cs="Arial"/>
          <w:szCs w:val="21"/>
        </w:rPr>
        <w:t>开户银行：</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rPr>
      </w:pPr>
      <w:r>
        <w:rPr>
          <w:rFonts w:hint="eastAsia" w:ascii="宋体" w:hAnsi="宋体" w:cs="Arial"/>
          <w:szCs w:val="21"/>
        </w:rPr>
        <w:t>账号：</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u w:val="single"/>
        </w:rPr>
      </w:pPr>
      <w:r>
        <w:rPr>
          <w:rFonts w:hint="eastAsia" w:ascii="宋体" w:hAnsi="宋体" w:cs="Arial"/>
          <w:szCs w:val="21"/>
        </w:rPr>
        <w:t>法定代表人：</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u w:val="single"/>
        </w:rPr>
      </w:pPr>
      <w:r>
        <w:rPr>
          <w:rFonts w:hint="eastAsia" w:ascii="宋体" w:hAnsi="宋体" w:cs="Arial"/>
          <w:szCs w:val="21"/>
        </w:rPr>
        <w:t>委托代理人：</w:t>
      </w:r>
      <w:r>
        <w:rPr>
          <w:rFonts w:hint="eastAsia" w:ascii="宋体" w:hAnsi="宋体" w:cs="Arial"/>
          <w:szCs w:val="21"/>
          <w:u w:val="single"/>
        </w:rPr>
        <w:t xml:space="preserve">                          </w:t>
      </w:r>
    </w:p>
    <w:p>
      <w:pPr>
        <w:pStyle w:val="33"/>
        <w:spacing w:line="500" w:lineRule="exact"/>
        <w:ind w:left="426" w:leftChars="203" w:firstLine="210" w:firstLineChars="100"/>
        <w:rPr>
          <w:rFonts w:ascii="宋体" w:hAnsi="宋体" w:cs="Arial"/>
          <w:szCs w:val="21"/>
          <w:u w:val="single"/>
        </w:rPr>
      </w:pPr>
      <w:r>
        <w:rPr>
          <w:rFonts w:hint="eastAsia" w:ascii="宋体" w:hAnsi="宋体" w:cs="Arial"/>
          <w:szCs w:val="21"/>
        </w:rPr>
        <w:t>签约日期：</w:t>
      </w:r>
      <w:r>
        <w:rPr>
          <w:rFonts w:hint="eastAsia" w:ascii="宋体" w:hAnsi="宋体" w:cs="Arial"/>
          <w:szCs w:val="21"/>
          <w:u w:val="single"/>
        </w:rPr>
        <w:t xml:space="preserve">                            </w:t>
      </w:r>
    </w:p>
    <w:bookmarkEnd w:id="462"/>
    <w:bookmarkEnd w:id="463"/>
    <w:bookmarkEnd w:id="464"/>
    <w:bookmarkEnd w:id="465"/>
    <w:bookmarkEnd w:id="466"/>
    <w:bookmarkEnd w:id="467"/>
    <w:p>
      <w:pPr>
        <w:rPr>
          <w:rFonts w:hint="eastAsia" w:ascii="宋体" w:hAnsi="宋体" w:cs="宋体"/>
        </w:rPr>
      </w:pPr>
      <w:bookmarkStart w:id="889" w:name="_Toc152045610"/>
      <w:bookmarkStart w:id="890" w:name="_Toc184635097"/>
      <w:bookmarkStart w:id="891" w:name="_Toc247514034"/>
      <w:bookmarkStart w:id="892" w:name="_Toc247527635"/>
      <w:bookmarkStart w:id="893" w:name="_Toc152042388"/>
      <w:bookmarkStart w:id="894" w:name="_Toc144974578"/>
      <w:r>
        <w:rPr>
          <w:rFonts w:hint="eastAsia" w:ascii="宋体" w:hAnsi="宋体" w:cs="宋体"/>
        </w:rPr>
        <w:br w:type="page"/>
      </w:r>
    </w:p>
    <w:p>
      <w:pPr>
        <w:pStyle w:val="4"/>
        <w:spacing w:line="416" w:lineRule="auto"/>
        <w:jc w:val="center"/>
        <w:rPr>
          <w:rFonts w:ascii="宋体" w:hAnsi="宋体" w:cs="宋体"/>
        </w:rPr>
      </w:pPr>
      <w:bookmarkStart w:id="895" w:name="_Toc6316"/>
      <w:r>
        <w:rPr>
          <w:rFonts w:hint="eastAsia" w:ascii="宋体" w:hAnsi="宋体" w:cs="宋体"/>
        </w:rPr>
        <w:t>第五章 发包人提供的资料及要求</w:t>
      </w:r>
      <w:bookmarkEnd w:id="889"/>
      <w:bookmarkEnd w:id="890"/>
      <w:bookmarkEnd w:id="891"/>
      <w:bookmarkEnd w:id="892"/>
      <w:bookmarkEnd w:id="893"/>
      <w:bookmarkEnd w:id="894"/>
      <w:bookmarkEnd w:id="895"/>
      <w:bookmarkStart w:id="896" w:name="_Toc144974855"/>
      <w:bookmarkStart w:id="897" w:name="_Toc152045786"/>
      <w:bookmarkStart w:id="898" w:name="_Toc152042575"/>
    </w:p>
    <w:p>
      <w:pPr>
        <w:pStyle w:val="4"/>
        <w:bidi w:val="0"/>
        <w:rPr>
          <w:sz w:val="28"/>
          <w:szCs w:val="28"/>
        </w:rPr>
      </w:pPr>
      <w:bookmarkStart w:id="899" w:name="_Toc256"/>
      <w:r>
        <w:rPr>
          <w:rFonts w:hint="eastAsia"/>
          <w:sz w:val="28"/>
          <w:szCs w:val="28"/>
        </w:rPr>
        <w:t>1</w:t>
      </w:r>
      <w:r>
        <w:rPr>
          <w:rFonts w:hint="eastAsia"/>
          <w:sz w:val="28"/>
          <w:szCs w:val="28"/>
          <w:lang w:val="en-US" w:eastAsia="zh-CN"/>
        </w:rPr>
        <w:t>.</w:t>
      </w:r>
      <w:r>
        <w:rPr>
          <w:rFonts w:hint="eastAsia"/>
          <w:sz w:val="28"/>
          <w:szCs w:val="28"/>
        </w:rPr>
        <w:t>项目概况介绍</w:t>
      </w:r>
      <w:bookmarkEnd w:id="899"/>
    </w:p>
    <w:p>
      <w:pPr>
        <w:spacing w:line="500" w:lineRule="exact"/>
      </w:pPr>
    </w:p>
    <w:p>
      <w:pPr>
        <w:pStyle w:val="4"/>
        <w:bidi w:val="0"/>
        <w:rPr>
          <w:sz w:val="28"/>
          <w:szCs w:val="28"/>
        </w:rPr>
      </w:pPr>
      <w:bookmarkStart w:id="900" w:name="_Toc23128"/>
      <w:r>
        <w:rPr>
          <w:sz w:val="28"/>
          <w:szCs w:val="28"/>
        </w:rPr>
        <w:t>2</w:t>
      </w:r>
      <w:r>
        <w:rPr>
          <w:rFonts w:hint="eastAsia"/>
          <w:sz w:val="28"/>
          <w:szCs w:val="28"/>
          <w:lang w:val="en-US" w:eastAsia="zh-CN"/>
        </w:rPr>
        <w:t>.</w:t>
      </w:r>
      <w:r>
        <w:rPr>
          <w:rFonts w:hint="eastAsia"/>
          <w:sz w:val="28"/>
          <w:szCs w:val="28"/>
        </w:rPr>
        <w:t>发包人要求</w:t>
      </w:r>
      <w:bookmarkEnd w:id="900"/>
    </w:p>
    <w:p>
      <w:pPr>
        <w:spacing w:line="500" w:lineRule="exact"/>
        <w:ind w:firstLine="420" w:firstLineChars="200"/>
        <w:rPr>
          <w:rFonts w:eastAsia="Times New Roman"/>
        </w:rPr>
      </w:pPr>
      <w:r>
        <w:rPr>
          <w:rFonts w:ascii="宋体" w:hAnsi="宋体"/>
        </w:rPr>
        <w:t>发包人要求通常包括但不限于以下内容：</w:t>
      </w:r>
    </w:p>
    <w:p>
      <w:pPr>
        <w:spacing w:line="500" w:lineRule="exact"/>
        <w:ind w:left="360"/>
        <w:rPr>
          <w:rFonts w:ascii="宋体" w:hAnsi="宋体" w:cs="宋体"/>
          <w:sz w:val="24"/>
        </w:rPr>
      </w:pPr>
      <w:r>
        <w:rPr>
          <w:rFonts w:ascii="宋体" w:hAnsi="宋体" w:cs="宋体"/>
          <w:sz w:val="24"/>
        </w:rPr>
        <w:t>2.1</w:t>
      </w:r>
      <w:r>
        <w:rPr>
          <w:rFonts w:hint="eastAsia" w:ascii="宋体" w:hAnsi="宋体" w:cs="宋体"/>
          <w:sz w:val="24"/>
          <w:lang w:val="en-US" w:eastAsia="zh-CN"/>
        </w:rPr>
        <w:t xml:space="preserve"> </w:t>
      </w:r>
      <w:r>
        <w:rPr>
          <w:rFonts w:hint="eastAsia" w:ascii="宋体" w:hAnsi="宋体" w:cs="宋体"/>
          <w:sz w:val="24"/>
        </w:rPr>
        <w:t>实施要求</w:t>
      </w:r>
    </w:p>
    <w:p>
      <w:pPr>
        <w:spacing w:line="500" w:lineRule="exact"/>
        <w:ind w:left="720"/>
        <w:rPr>
          <w:rFonts w:ascii="宋体" w:hAnsi="宋体"/>
        </w:rPr>
      </w:pPr>
      <w:r>
        <w:rPr>
          <w:rFonts w:ascii="宋体" w:hAnsi="宋体"/>
        </w:rPr>
        <w:t>招标人应当根据项目情况在本章中明确相应的要求，一般应包括以下内容：</w:t>
      </w:r>
    </w:p>
    <w:p>
      <w:pPr>
        <w:tabs>
          <w:tab w:val="left" w:pos="980"/>
        </w:tabs>
        <w:spacing w:line="500" w:lineRule="exact"/>
        <w:ind w:firstLine="630" w:firstLineChars="300"/>
        <w:rPr>
          <w:rFonts w:eastAsia="Times New Roman"/>
        </w:rPr>
      </w:pPr>
      <w:r>
        <w:rPr>
          <w:rFonts w:ascii="宋体" w:hAnsi="宋体"/>
        </w:rPr>
        <w:t>2.1.1项目概况</w:t>
      </w:r>
    </w:p>
    <w:p>
      <w:pPr>
        <w:spacing w:line="500" w:lineRule="exact"/>
        <w:ind w:firstLine="630" w:firstLineChars="300"/>
        <w:rPr>
          <w:rFonts w:eastAsia="Times New Roman"/>
        </w:rPr>
      </w:pPr>
      <w:r>
        <w:rPr>
          <w:rFonts w:ascii="宋体" w:hAnsi="宋体"/>
        </w:rPr>
        <w:t>包括项目名称、</w:t>
      </w:r>
      <w:r>
        <w:rPr>
          <w:rFonts w:hint="eastAsia" w:ascii="宋体" w:hAnsi="宋体"/>
        </w:rPr>
        <w:t>项目</w:t>
      </w:r>
      <w:r>
        <w:rPr>
          <w:rFonts w:ascii="宋体" w:hAnsi="宋体"/>
        </w:rPr>
        <w:t>单位、</w:t>
      </w:r>
      <w:r>
        <w:rPr>
          <w:rFonts w:hint="eastAsia" w:ascii="宋体" w:hAnsi="宋体"/>
        </w:rPr>
        <w:t>工程类型、</w:t>
      </w:r>
      <w:r>
        <w:rPr>
          <w:rFonts w:ascii="宋体" w:hAnsi="宋体"/>
        </w:rPr>
        <w:t>建设规模、</w:t>
      </w:r>
      <w:r>
        <w:rPr>
          <w:rFonts w:hint="eastAsia" w:ascii="宋体" w:hAnsi="宋体"/>
        </w:rPr>
        <w:t>功能要求</w:t>
      </w:r>
      <w:r>
        <w:rPr>
          <w:rFonts w:ascii="宋体" w:hAnsi="宋体"/>
        </w:rPr>
        <w:t>等。</w:t>
      </w:r>
    </w:p>
    <w:p>
      <w:pPr>
        <w:tabs>
          <w:tab w:val="left" w:pos="980"/>
        </w:tabs>
        <w:spacing w:line="500" w:lineRule="exact"/>
        <w:ind w:firstLine="630" w:firstLineChars="300"/>
        <w:rPr>
          <w:rFonts w:ascii="宋体" w:hAnsi="宋体"/>
        </w:rPr>
      </w:pPr>
      <w:r>
        <w:rPr>
          <w:rFonts w:ascii="宋体" w:hAnsi="宋体"/>
        </w:rPr>
        <w:t>2.1.2</w:t>
      </w:r>
      <w:r>
        <w:rPr>
          <w:rFonts w:hint="eastAsia" w:ascii="宋体" w:hAnsi="宋体"/>
        </w:rPr>
        <w:t>服务</w:t>
      </w:r>
      <w:r>
        <w:rPr>
          <w:rFonts w:ascii="宋体" w:hAnsi="宋体"/>
        </w:rPr>
        <w:t>范围及</w:t>
      </w:r>
      <w:r>
        <w:rPr>
          <w:rFonts w:hint="eastAsia" w:ascii="宋体" w:hAnsi="宋体"/>
        </w:rPr>
        <w:t>工作</w:t>
      </w:r>
      <w:r>
        <w:rPr>
          <w:rFonts w:ascii="宋体" w:hAnsi="宋体"/>
        </w:rPr>
        <w:t>内容</w:t>
      </w:r>
    </w:p>
    <w:p>
      <w:pPr>
        <w:pStyle w:val="7"/>
        <w:numPr>
          <w:ilvl w:val="0"/>
          <w:numId w:val="17"/>
        </w:numPr>
        <w:spacing w:line="500" w:lineRule="exact"/>
        <w:ind w:firstLine="420" w:firstLineChars="200"/>
        <w:rPr>
          <w:rFonts w:ascii="宋体" w:hAnsi="宋体"/>
          <w:sz w:val="21"/>
        </w:rPr>
      </w:pPr>
      <w:r>
        <w:rPr>
          <w:rFonts w:hint="eastAsia" w:ascii="宋体" w:hAnsi="宋体"/>
          <w:sz w:val="21"/>
        </w:rPr>
        <w:t>项目管理</w:t>
      </w:r>
    </w:p>
    <w:p>
      <w:pPr>
        <w:pStyle w:val="7"/>
        <w:spacing w:line="500" w:lineRule="exact"/>
        <w:ind w:left="420" w:leftChars="200" w:firstLine="420" w:firstLineChars="200"/>
        <w:rPr>
          <w:rFonts w:ascii="宋体" w:hAnsi="宋体"/>
          <w:sz w:val="21"/>
        </w:rPr>
      </w:pPr>
      <w:r>
        <w:rPr>
          <w:rFonts w:ascii="宋体" w:hAnsi="宋体"/>
          <w:sz w:val="21"/>
        </w:rPr>
        <w:t>1）服务范围：从项目建议书批复后、代建合同生效开始至实体移交手续完成为止，对项目的前期工作、建安工程、材料设备采购、室外工程及相关事项等进行全过程管理。</w:t>
      </w:r>
      <w:r>
        <w:rPr>
          <w:rFonts w:ascii="宋体" w:hAnsi="宋体"/>
          <w:i/>
          <w:sz w:val="21"/>
        </w:rPr>
        <w:t>（可根据项目实际调整表述。二次装修纳入代建范围的，二次装修范围以财政部门审定的为准。）</w:t>
      </w:r>
    </w:p>
    <w:p>
      <w:pPr>
        <w:pStyle w:val="7"/>
        <w:spacing w:line="500" w:lineRule="exact"/>
        <w:ind w:firstLine="840" w:firstLineChars="400"/>
        <w:rPr>
          <w:rFonts w:ascii="宋体" w:hAnsi="宋体"/>
          <w:sz w:val="21"/>
        </w:rPr>
      </w:pPr>
      <w:r>
        <w:rPr>
          <w:rFonts w:ascii="宋体" w:hAnsi="宋体"/>
          <w:sz w:val="21"/>
        </w:rPr>
        <w:t>2）工作内容：</w:t>
      </w:r>
    </w:p>
    <w:p>
      <w:pPr>
        <w:pStyle w:val="7"/>
        <w:spacing w:line="500" w:lineRule="exact"/>
        <w:ind w:left="840" w:leftChars="400" w:firstLine="210" w:firstLineChars="100"/>
        <w:rPr>
          <w:rFonts w:ascii="宋体" w:hAnsi="宋体"/>
          <w:sz w:val="21"/>
        </w:rPr>
      </w:pPr>
      <w:r>
        <w:rPr>
          <w:rFonts w:hint="eastAsia" w:ascii="宋体" w:hAnsi="宋体"/>
          <w:sz w:val="21"/>
        </w:rPr>
        <w:t>a依据批准的项目建议书依次组织编制报批项目可行性研究报告、初步设计，组织编制报审项目施工图设计；</w:t>
      </w:r>
    </w:p>
    <w:p>
      <w:pPr>
        <w:pStyle w:val="7"/>
        <w:spacing w:line="500" w:lineRule="exact"/>
        <w:ind w:firstLine="1050" w:firstLineChars="500"/>
        <w:rPr>
          <w:rFonts w:ascii="宋体" w:hAnsi="宋体"/>
          <w:sz w:val="21"/>
        </w:rPr>
      </w:pPr>
      <w:r>
        <w:rPr>
          <w:rFonts w:hint="eastAsia" w:ascii="宋体" w:hAnsi="宋体"/>
          <w:sz w:val="21"/>
        </w:rPr>
        <w:t>b以项目单位名义办理代建期所需的各项审批和前期手续；</w:t>
      </w:r>
    </w:p>
    <w:p>
      <w:pPr>
        <w:pStyle w:val="7"/>
        <w:spacing w:line="500" w:lineRule="exact"/>
        <w:ind w:left="840" w:leftChars="400" w:firstLine="210" w:firstLineChars="100"/>
        <w:rPr>
          <w:rFonts w:ascii="宋体" w:hAnsi="宋体"/>
          <w:sz w:val="21"/>
        </w:rPr>
      </w:pPr>
      <w:r>
        <w:rPr>
          <w:rFonts w:hint="eastAsia" w:ascii="宋体" w:hAnsi="宋体"/>
          <w:sz w:val="21"/>
        </w:rPr>
        <w:t>c按照合同约定承担项目前期咨询、勘察、招标代理、造价咨询等专业服务；并依法组织设计、监理、施工、设备材料供应的招标，负责相关合同的洽谈与签订；</w:t>
      </w:r>
    </w:p>
    <w:p>
      <w:pPr>
        <w:pStyle w:val="7"/>
        <w:spacing w:line="500" w:lineRule="exact"/>
        <w:ind w:firstLine="1050" w:firstLineChars="500"/>
        <w:rPr>
          <w:rFonts w:ascii="宋体" w:hAnsi="宋体"/>
          <w:sz w:val="21"/>
        </w:rPr>
      </w:pPr>
      <w:r>
        <w:rPr>
          <w:rFonts w:hint="eastAsia" w:ascii="宋体" w:hAnsi="宋体"/>
          <w:sz w:val="21"/>
        </w:rPr>
        <w:t>d对项目投资、质量、建设进度、安全、环保、档案等进行全过程管理；</w:t>
      </w:r>
    </w:p>
    <w:p>
      <w:pPr>
        <w:pStyle w:val="7"/>
        <w:spacing w:line="500" w:lineRule="exact"/>
        <w:ind w:left="840" w:leftChars="400" w:firstLine="210" w:firstLineChars="100"/>
        <w:rPr>
          <w:rFonts w:ascii="宋体" w:hAnsi="宋体"/>
          <w:sz w:val="21"/>
        </w:rPr>
      </w:pPr>
      <w:r>
        <w:rPr>
          <w:rFonts w:hint="eastAsia" w:ascii="宋体" w:hAnsi="宋体"/>
          <w:sz w:val="21"/>
        </w:rPr>
        <w:t>e协助项目单位按项目进度提出年度投资计划和年度支出预算，按季度向省发展改革委、省财政厅和项目单位报告工程进度和资金使用情况；</w:t>
      </w:r>
    </w:p>
    <w:p>
      <w:pPr>
        <w:pStyle w:val="7"/>
        <w:spacing w:line="500" w:lineRule="exact"/>
        <w:ind w:left="840" w:leftChars="400" w:firstLine="210" w:firstLineChars="100"/>
        <w:rPr>
          <w:rFonts w:ascii="宋体" w:hAnsi="宋体"/>
          <w:sz w:val="21"/>
        </w:rPr>
      </w:pPr>
      <w:r>
        <w:rPr>
          <w:rFonts w:hint="eastAsia" w:ascii="宋体" w:hAnsi="宋体"/>
          <w:sz w:val="21"/>
        </w:rPr>
        <w:t>f负责组织建设项目竣工验收工作中的初步验收和向相关行政主管部门申请专项验收，并向省发展改革委报送竣工验收申请、办理相关手续；</w:t>
      </w:r>
    </w:p>
    <w:p>
      <w:pPr>
        <w:pStyle w:val="7"/>
        <w:spacing w:line="500" w:lineRule="exact"/>
        <w:ind w:left="840" w:leftChars="400" w:firstLine="210" w:firstLineChars="100"/>
        <w:rPr>
          <w:rFonts w:ascii="宋体" w:hAnsi="宋体"/>
          <w:sz w:val="21"/>
        </w:rPr>
      </w:pPr>
      <w:r>
        <w:rPr>
          <w:rFonts w:hint="eastAsia" w:ascii="宋体" w:hAnsi="宋体"/>
          <w:sz w:val="21"/>
        </w:rPr>
        <w:t>g编制项目竣工财务决算，通过项目单位报项目主管部门审批，按照批准的固定资产价值向项目单位移交固定资产，并据实移交其他资产；</w:t>
      </w:r>
    </w:p>
    <w:p>
      <w:pPr>
        <w:pStyle w:val="7"/>
        <w:spacing w:line="500" w:lineRule="exact"/>
        <w:ind w:firstLine="1050" w:firstLineChars="500"/>
        <w:rPr>
          <w:rFonts w:hint="eastAsia" w:ascii="宋体" w:hAnsi="宋体" w:eastAsiaTheme="minorEastAsia"/>
          <w:sz w:val="21"/>
          <w:lang w:eastAsia="zh-CN"/>
        </w:rPr>
      </w:pPr>
      <w:r>
        <w:rPr>
          <w:rFonts w:hint="eastAsia" w:ascii="宋体" w:hAnsi="宋体"/>
          <w:sz w:val="21"/>
        </w:rPr>
        <w:t>h整理汇编移交项目资料</w:t>
      </w:r>
      <w:r>
        <w:rPr>
          <w:rFonts w:hint="eastAsia" w:ascii="宋体" w:hAnsi="宋体"/>
          <w:sz w:val="21"/>
          <w:lang w:eastAsia="zh-CN"/>
        </w:rPr>
        <w:t>；</w:t>
      </w:r>
    </w:p>
    <w:p>
      <w:pPr>
        <w:pStyle w:val="7"/>
        <w:spacing w:line="500" w:lineRule="exact"/>
        <w:ind w:firstLine="1050" w:firstLineChars="500"/>
        <w:rPr>
          <w:rFonts w:ascii="宋体" w:hAnsi="宋体"/>
          <w:sz w:val="21"/>
        </w:rPr>
      </w:pPr>
      <w:r>
        <w:rPr>
          <w:rFonts w:hint="eastAsia" w:ascii="宋体" w:hAnsi="宋体"/>
          <w:sz w:val="21"/>
        </w:rPr>
        <w:t xml:space="preserve">i配合项目单位接受审计、巡视、中期评估以及其他涉及项目监管的有关工作。  </w:t>
      </w:r>
    </w:p>
    <w:p>
      <w:pPr>
        <w:pStyle w:val="7"/>
        <w:numPr>
          <w:ilvl w:val="0"/>
          <w:numId w:val="17"/>
        </w:numPr>
        <w:spacing w:line="500" w:lineRule="exact"/>
        <w:ind w:firstLine="420" w:firstLineChars="200"/>
        <w:rPr>
          <w:rFonts w:ascii="宋体" w:hAnsi="宋体"/>
          <w:sz w:val="21"/>
        </w:rPr>
      </w:pPr>
      <w:r>
        <w:rPr>
          <w:rFonts w:hint="eastAsia" w:ascii="宋体" w:hAnsi="宋体"/>
          <w:sz w:val="21"/>
        </w:rPr>
        <w:t>可行性研究报告编制</w:t>
      </w:r>
    </w:p>
    <w:p>
      <w:pPr>
        <w:spacing w:line="500" w:lineRule="exact"/>
        <w:rPr>
          <w:rFonts w:ascii="宋体" w:hAnsi="宋体"/>
        </w:rPr>
      </w:pPr>
      <w:r>
        <w:rPr>
          <w:rFonts w:hint="eastAsia" w:ascii="宋体" w:hAnsi="宋体"/>
        </w:rPr>
        <w:t xml:space="preserve">        1）服务范围：承担代建项目的可行性研究报告编制，完成可研审批。</w:t>
      </w:r>
    </w:p>
    <w:p>
      <w:pPr>
        <w:pStyle w:val="7"/>
        <w:spacing w:line="500" w:lineRule="exact"/>
        <w:ind w:firstLine="840" w:firstLineChars="400"/>
      </w:pPr>
      <w:r>
        <w:rPr>
          <w:rFonts w:hint="eastAsia" w:ascii="宋体" w:hAnsi="宋体"/>
          <w:sz w:val="21"/>
        </w:rPr>
        <w:t>2）工作内容：提交可行性研究报告批复文件。</w:t>
      </w:r>
    </w:p>
    <w:p>
      <w:pPr>
        <w:pStyle w:val="7"/>
        <w:numPr>
          <w:ilvl w:val="0"/>
          <w:numId w:val="17"/>
        </w:numPr>
        <w:spacing w:line="500" w:lineRule="exact"/>
        <w:ind w:firstLine="420" w:firstLineChars="200"/>
        <w:rPr>
          <w:rFonts w:ascii="宋体" w:hAnsi="宋体"/>
          <w:sz w:val="21"/>
        </w:rPr>
      </w:pPr>
      <w:r>
        <w:rPr>
          <w:rFonts w:hint="eastAsia" w:ascii="宋体" w:hAnsi="宋体"/>
          <w:sz w:val="21"/>
        </w:rPr>
        <w:t>勘察</w:t>
      </w:r>
    </w:p>
    <w:p>
      <w:pPr>
        <w:numPr>
          <w:ilvl w:val="0"/>
          <w:numId w:val="18"/>
        </w:numPr>
        <w:spacing w:line="500" w:lineRule="exact"/>
        <w:rPr>
          <w:rFonts w:ascii="宋体" w:hAnsi="宋体"/>
        </w:rPr>
      </w:pPr>
      <w:r>
        <w:rPr>
          <w:rFonts w:hint="eastAsia" w:ascii="宋体" w:hAnsi="宋体"/>
        </w:rPr>
        <w:t>服务范围：承担代建项目的勘察服务，范围以设计单位提出的勘察要求为准。</w:t>
      </w:r>
    </w:p>
    <w:p>
      <w:pPr>
        <w:pStyle w:val="7"/>
        <w:spacing w:line="500" w:lineRule="exact"/>
        <w:ind w:firstLine="840" w:firstLineChars="400"/>
      </w:pPr>
      <w:r>
        <w:rPr>
          <w:rFonts w:hint="eastAsia" w:ascii="宋体" w:hAnsi="宋体"/>
          <w:sz w:val="21"/>
        </w:rPr>
        <w:t>2）工作内容：对设计单位提供的需进行地质勘察的区域，按照勘察要求及勘察任务书进行工程地质勘察。提交满足工程设计需要的勘察成果资料。</w:t>
      </w:r>
    </w:p>
    <w:p>
      <w:pPr>
        <w:pStyle w:val="7"/>
        <w:numPr>
          <w:ilvl w:val="0"/>
          <w:numId w:val="17"/>
        </w:numPr>
        <w:spacing w:line="500" w:lineRule="exact"/>
        <w:ind w:firstLine="420" w:firstLineChars="200"/>
        <w:rPr>
          <w:rFonts w:ascii="宋体" w:hAnsi="宋体"/>
          <w:sz w:val="21"/>
        </w:rPr>
      </w:pPr>
      <w:r>
        <w:rPr>
          <w:rFonts w:hint="eastAsia" w:ascii="宋体" w:hAnsi="宋体"/>
          <w:sz w:val="21"/>
        </w:rPr>
        <w:t>造价咨询</w:t>
      </w:r>
    </w:p>
    <w:p>
      <w:pPr>
        <w:spacing w:line="500" w:lineRule="exact"/>
        <w:ind w:firstLine="840" w:firstLineChars="400"/>
        <w:rPr>
          <w:rFonts w:ascii="宋体" w:hAnsi="宋体"/>
        </w:rPr>
      </w:pPr>
      <w:r>
        <w:rPr>
          <w:rFonts w:hint="eastAsia" w:ascii="宋体" w:hAnsi="宋体"/>
        </w:rPr>
        <w:t>1）服务范围：承担代建项目工程实施阶段全过程造价控制。</w:t>
      </w:r>
    </w:p>
    <w:p>
      <w:pPr>
        <w:pStyle w:val="7"/>
        <w:spacing w:line="500" w:lineRule="exact"/>
        <w:ind w:left="630" w:leftChars="300" w:firstLine="210" w:firstLineChars="100"/>
        <w:rPr>
          <w:rFonts w:ascii="宋体" w:hAnsi="宋体"/>
          <w:sz w:val="21"/>
        </w:rPr>
      </w:pPr>
      <w:r>
        <w:rPr>
          <w:rFonts w:hint="eastAsia" w:ascii="宋体" w:hAnsi="宋体"/>
          <w:sz w:val="21"/>
        </w:rPr>
        <w:t>2）工作内容：工程量清单编制、审核，招标最高限价编制、审核，制定项目合约规划，拟定合同文本，协助合同谈判，编制项目资金使用计划；</w:t>
      </w:r>
    </w:p>
    <w:p>
      <w:pPr>
        <w:pStyle w:val="7"/>
        <w:spacing w:line="500" w:lineRule="exact"/>
        <w:ind w:left="630" w:leftChars="300" w:firstLine="420" w:firstLineChars="200"/>
        <w:rPr>
          <w:rFonts w:ascii="宋体" w:hAnsi="宋体"/>
          <w:sz w:val="21"/>
        </w:rPr>
      </w:pPr>
      <w:r>
        <w:rPr>
          <w:rFonts w:hint="eastAsia" w:ascii="宋体" w:hAnsi="宋体"/>
          <w:sz w:val="21"/>
        </w:rPr>
        <w:t>合同价款咨询，造价风险分析及建议，审核工程预付款和进度款，变更、签证及索赔管理，材料设备的询价、核价，审核工程结算，项目动态造价分析；</w:t>
      </w:r>
    </w:p>
    <w:p>
      <w:pPr>
        <w:pStyle w:val="7"/>
        <w:spacing w:line="500" w:lineRule="exact"/>
        <w:ind w:firstLine="1050" w:firstLineChars="500"/>
        <w:rPr>
          <w:rFonts w:ascii="宋体" w:hAnsi="宋体"/>
          <w:sz w:val="21"/>
        </w:rPr>
      </w:pPr>
      <w:r>
        <w:rPr>
          <w:rFonts w:hint="eastAsia" w:ascii="宋体" w:hAnsi="宋体"/>
          <w:sz w:val="21"/>
        </w:rPr>
        <w:t xml:space="preserve">竣工结算审核，工程技术经济指标分析，竣工决算报告编制、审核，配合竣工结 </w:t>
      </w:r>
    </w:p>
    <w:p>
      <w:pPr>
        <w:pStyle w:val="7"/>
        <w:spacing w:line="500" w:lineRule="exact"/>
        <w:ind w:firstLine="630" w:firstLineChars="300"/>
        <w:rPr>
          <w:rFonts w:ascii="宋体" w:hAnsi="宋体"/>
          <w:sz w:val="21"/>
        </w:rPr>
      </w:pPr>
      <w:r>
        <w:rPr>
          <w:rFonts w:hint="eastAsia" w:ascii="宋体" w:hAnsi="宋体"/>
          <w:sz w:val="21"/>
        </w:rPr>
        <w:t>算审计；</w:t>
      </w:r>
    </w:p>
    <w:p>
      <w:pPr>
        <w:pStyle w:val="7"/>
        <w:spacing w:line="500" w:lineRule="exact"/>
        <w:ind w:left="630" w:leftChars="300" w:firstLine="420" w:firstLineChars="200"/>
      </w:pPr>
      <w:r>
        <w:rPr>
          <w:rFonts w:hint="eastAsia" w:ascii="宋体" w:hAnsi="宋体"/>
          <w:sz w:val="21"/>
        </w:rPr>
        <w:t>协助配合招标人完成设计概算的编制、审核，参与限额设计，参与造价测算，施工图预算编制、审核，参与、管控项目投资风险。</w:t>
      </w:r>
    </w:p>
    <w:p>
      <w:pPr>
        <w:pStyle w:val="7"/>
        <w:numPr>
          <w:ilvl w:val="0"/>
          <w:numId w:val="17"/>
        </w:numPr>
        <w:spacing w:line="500" w:lineRule="exact"/>
        <w:ind w:firstLine="420" w:firstLineChars="200"/>
        <w:rPr>
          <w:rFonts w:ascii="宋体" w:hAnsi="宋体"/>
          <w:sz w:val="21"/>
        </w:rPr>
      </w:pPr>
      <w:r>
        <w:rPr>
          <w:rFonts w:hint="eastAsia" w:ascii="宋体" w:hAnsi="宋体"/>
          <w:sz w:val="21"/>
        </w:rPr>
        <w:t>招标代理</w:t>
      </w:r>
    </w:p>
    <w:p>
      <w:pPr>
        <w:spacing w:line="500" w:lineRule="exact"/>
        <w:rPr>
          <w:rFonts w:ascii="宋体" w:hAnsi="宋体"/>
        </w:rPr>
      </w:pPr>
      <w:r>
        <w:rPr>
          <w:rFonts w:hint="eastAsia" w:ascii="宋体" w:hAnsi="宋体"/>
        </w:rPr>
        <w:t xml:space="preserve">        1）服务范围：承担代建项目全部施工、服务及货物招标工作。</w:t>
      </w:r>
    </w:p>
    <w:p>
      <w:pPr>
        <w:pStyle w:val="7"/>
        <w:spacing w:line="500" w:lineRule="exact"/>
        <w:ind w:firstLine="840" w:firstLineChars="400"/>
      </w:pPr>
      <w:r>
        <w:rPr>
          <w:rFonts w:hint="eastAsia" w:ascii="宋体" w:hAnsi="宋体"/>
          <w:sz w:val="21"/>
        </w:rPr>
        <w:t>2）工作内容：拟写招标公告；编制招标文件；组织答疑会并整理答疑会纪要；组织（或协助并主持）发标会、答疑会、开标评标会；协助招标人成立招标领导小组、组成评标委员会及发出中标通知书；协助招标人与中标人签订合同；拟写招标工作总结。</w:t>
      </w:r>
    </w:p>
    <w:p>
      <w:pPr>
        <w:spacing w:line="500" w:lineRule="exact"/>
        <w:ind w:left="360"/>
        <w:rPr>
          <w:rFonts w:ascii="宋体" w:hAnsi="宋体" w:cs="宋体"/>
          <w:sz w:val="24"/>
        </w:rPr>
      </w:pPr>
      <w:r>
        <w:rPr>
          <w:rFonts w:ascii="宋体" w:hAnsi="宋体" w:cs="宋体"/>
          <w:sz w:val="24"/>
        </w:rPr>
        <w:t>2.</w:t>
      </w:r>
      <w:r>
        <w:rPr>
          <w:rFonts w:hint="eastAsia" w:ascii="宋体" w:hAnsi="宋体" w:cs="宋体"/>
          <w:sz w:val="24"/>
          <w:lang w:val="en-US" w:eastAsia="zh-CN"/>
        </w:rPr>
        <w:t xml:space="preserve">2 </w:t>
      </w:r>
      <w:r>
        <w:rPr>
          <w:rFonts w:hint="eastAsia" w:ascii="宋体" w:hAnsi="宋体" w:cs="宋体"/>
          <w:sz w:val="24"/>
        </w:rPr>
        <w:t>适用规范标准</w:t>
      </w:r>
    </w:p>
    <w:p>
      <w:pPr>
        <w:numPr>
          <w:ilvl w:val="0"/>
          <w:numId w:val="19"/>
        </w:numPr>
        <w:tabs>
          <w:tab w:val="left" w:pos="1040"/>
        </w:tabs>
        <w:spacing w:line="500" w:lineRule="exact"/>
        <w:ind w:left="1040" w:hanging="260"/>
        <w:rPr>
          <w:rFonts w:eastAsia="Times New Roman"/>
        </w:rPr>
      </w:pPr>
      <w:r>
        <w:rPr>
          <w:rFonts w:ascii="宋体" w:hAnsi="宋体"/>
        </w:rPr>
        <w:t>国家、行业、项目所在地规范名录</w:t>
      </w:r>
    </w:p>
    <w:p>
      <w:pPr>
        <w:numPr>
          <w:ilvl w:val="0"/>
          <w:numId w:val="19"/>
        </w:numPr>
        <w:tabs>
          <w:tab w:val="left" w:pos="1040"/>
        </w:tabs>
        <w:spacing w:line="500" w:lineRule="exact"/>
        <w:ind w:left="1040" w:hanging="260"/>
        <w:rPr>
          <w:rFonts w:eastAsia="Times New Roman"/>
        </w:rPr>
      </w:pPr>
      <w:r>
        <w:rPr>
          <w:rFonts w:ascii="宋体" w:hAnsi="宋体"/>
        </w:rPr>
        <w:t>国家、行业、项目所在地标准名录</w:t>
      </w:r>
    </w:p>
    <w:p>
      <w:pPr>
        <w:numPr>
          <w:ilvl w:val="0"/>
          <w:numId w:val="19"/>
        </w:numPr>
        <w:tabs>
          <w:tab w:val="left" w:pos="1040"/>
        </w:tabs>
        <w:spacing w:line="500" w:lineRule="exact"/>
        <w:ind w:left="1040" w:hanging="260"/>
        <w:rPr>
          <w:rFonts w:eastAsia="Times New Roman"/>
        </w:rPr>
      </w:pPr>
      <w:r>
        <w:rPr>
          <w:rFonts w:ascii="宋体" w:hAnsi="宋体"/>
        </w:rPr>
        <w:t>国家、行业、项目所在地规程名录</w:t>
      </w:r>
    </w:p>
    <w:p>
      <w:pPr>
        <w:spacing w:line="500" w:lineRule="exact"/>
        <w:ind w:left="360"/>
        <w:rPr>
          <w:rFonts w:ascii="宋体" w:hAnsi="宋体" w:cs="宋体"/>
          <w:sz w:val="24"/>
        </w:rPr>
      </w:pPr>
      <w:r>
        <w:rPr>
          <w:rFonts w:ascii="宋体" w:hAnsi="宋体" w:cs="宋体"/>
          <w:sz w:val="24"/>
        </w:rPr>
        <w:t>2.</w:t>
      </w:r>
      <w:r>
        <w:rPr>
          <w:rFonts w:hint="eastAsia" w:ascii="宋体" w:hAnsi="宋体" w:cs="宋体"/>
          <w:sz w:val="24"/>
          <w:lang w:val="en-US" w:eastAsia="zh-CN"/>
        </w:rPr>
        <w:t xml:space="preserve">3 </w:t>
      </w:r>
      <w:r>
        <w:rPr>
          <w:rFonts w:hint="eastAsia" w:ascii="宋体" w:hAnsi="宋体" w:cs="宋体"/>
          <w:sz w:val="24"/>
        </w:rPr>
        <w:t>成果文件要求</w:t>
      </w:r>
    </w:p>
    <w:p>
      <w:pPr>
        <w:numPr>
          <w:ilvl w:val="0"/>
          <w:numId w:val="20"/>
        </w:numPr>
        <w:tabs>
          <w:tab w:val="left" w:pos="1040"/>
        </w:tabs>
        <w:spacing w:line="500" w:lineRule="exact"/>
        <w:ind w:left="1040" w:hanging="260"/>
        <w:rPr>
          <w:rFonts w:eastAsia="Times New Roman"/>
        </w:rPr>
      </w:pPr>
      <w:r>
        <w:rPr>
          <w:rFonts w:ascii="宋体" w:hAnsi="宋体"/>
        </w:rPr>
        <w:t>成果文件的组成：</w:t>
      </w:r>
      <w:r>
        <w:rPr>
          <w:rFonts w:hint="eastAsia" w:ascii="宋体" w:hAnsi="宋体"/>
        </w:rPr>
        <w:t>可研报告批复</w:t>
      </w:r>
      <w:r>
        <w:rPr>
          <w:rFonts w:ascii="宋体" w:hAnsi="宋体"/>
        </w:rPr>
        <w:t>、</w:t>
      </w:r>
      <w:r>
        <w:rPr>
          <w:rFonts w:hint="eastAsia" w:ascii="宋体" w:hAnsi="宋体"/>
        </w:rPr>
        <w:t>初步设计批复、设计施工</w:t>
      </w:r>
      <w:r>
        <w:rPr>
          <w:rFonts w:ascii="宋体" w:hAnsi="宋体"/>
        </w:rPr>
        <w:t>图纸</w:t>
      </w:r>
      <w:r>
        <w:rPr>
          <w:rFonts w:hint="eastAsia" w:ascii="宋体" w:hAnsi="宋体"/>
        </w:rPr>
        <w:t>、勘察报告、造价咨询成果文件、招标全过程资料、</w:t>
      </w:r>
      <w:r>
        <w:rPr>
          <w:rFonts w:ascii="宋体" w:hAnsi="宋体"/>
        </w:rPr>
        <w:t>项目管理过程资料等</w:t>
      </w:r>
      <w:r>
        <w:rPr>
          <w:rFonts w:hint="eastAsia" w:ascii="宋体" w:hAnsi="宋体"/>
        </w:rPr>
        <w:t>。</w:t>
      </w:r>
    </w:p>
    <w:p>
      <w:pPr>
        <w:numPr>
          <w:ilvl w:val="0"/>
          <w:numId w:val="20"/>
        </w:numPr>
        <w:tabs>
          <w:tab w:val="left" w:pos="1040"/>
        </w:tabs>
        <w:spacing w:line="500" w:lineRule="exact"/>
        <w:ind w:left="1040" w:hanging="260"/>
        <w:rPr>
          <w:rFonts w:eastAsia="Times New Roman"/>
        </w:rPr>
      </w:pPr>
      <w:r>
        <w:rPr>
          <w:rFonts w:ascii="宋体" w:hAnsi="宋体"/>
        </w:rPr>
        <w:t>成果文件的深度</w:t>
      </w:r>
    </w:p>
    <w:p>
      <w:pPr>
        <w:numPr>
          <w:ilvl w:val="0"/>
          <w:numId w:val="20"/>
        </w:numPr>
        <w:tabs>
          <w:tab w:val="left" w:pos="1040"/>
        </w:tabs>
        <w:spacing w:line="500" w:lineRule="exact"/>
        <w:ind w:left="1040" w:hanging="260"/>
        <w:rPr>
          <w:rFonts w:eastAsia="Times New Roman"/>
        </w:rPr>
      </w:pPr>
      <w:r>
        <w:rPr>
          <w:rFonts w:ascii="宋体" w:hAnsi="宋体"/>
        </w:rPr>
        <w:t>成果文件的格式要求</w:t>
      </w:r>
    </w:p>
    <w:p>
      <w:pPr>
        <w:numPr>
          <w:ilvl w:val="0"/>
          <w:numId w:val="20"/>
        </w:numPr>
        <w:tabs>
          <w:tab w:val="left" w:pos="1040"/>
        </w:tabs>
        <w:spacing w:line="500" w:lineRule="exact"/>
        <w:ind w:left="1040" w:hanging="260"/>
        <w:rPr>
          <w:rFonts w:eastAsia="Times New Roman"/>
        </w:rPr>
      </w:pPr>
      <w:r>
        <w:rPr>
          <w:rFonts w:ascii="宋体" w:hAnsi="宋体"/>
        </w:rPr>
        <w:t>成果文件的份数要求</w:t>
      </w:r>
    </w:p>
    <w:p>
      <w:pPr>
        <w:numPr>
          <w:ilvl w:val="0"/>
          <w:numId w:val="20"/>
        </w:numPr>
        <w:tabs>
          <w:tab w:val="left" w:pos="1040"/>
        </w:tabs>
        <w:spacing w:line="500" w:lineRule="exact"/>
        <w:ind w:left="1040" w:hanging="260"/>
        <w:rPr>
          <w:rFonts w:eastAsia="Times New Roman"/>
        </w:rPr>
      </w:pPr>
      <w:r>
        <w:rPr>
          <w:rFonts w:ascii="宋体" w:hAnsi="宋体"/>
        </w:rPr>
        <w:t>成果文件的载体要求</w:t>
      </w:r>
    </w:p>
    <w:p>
      <w:pPr>
        <w:spacing w:line="500" w:lineRule="exact"/>
        <w:ind w:left="780"/>
        <w:rPr>
          <w:rFonts w:eastAsia="Times New Roman"/>
        </w:rPr>
      </w:pPr>
      <w:r>
        <w:rPr>
          <w:rFonts w:ascii="宋体" w:hAnsi="宋体"/>
        </w:rPr>
        <w:t>（</w:t>
      </w:r>
      <w:r>
        <w:rPr>
          <w:rFonts w:eastAsia="Times New Roman"/>
        </w:rPr>
        <w:t>1</w:t>
      </w:r>
      <w:r>
        <w:rPr>
          <w:rFonts w:ascii="宋体" w:hAnsi="宋体"/>
        </w:rPr>
        <w:t>）纸质版的要求</w:t>
      </w:r>
    </w:p>
    <w:p>
      <w:pPr>
        <w:spacing w:line="500" w:lineRule="exact"/>
        <w:ind w:left="780"/>
        <w:rPr>
          <w:rFonts w:eastAsia="Times New Roman"/>
        </w:rPr>
      </w:pPr>
      <w:r>
        <w:rPr>
          <w:rFonts w:ascii="宋体" w:hAnsi="宋体"/>
        </w:rPr>
        <w:t>（</w:t>
      </w:r>
      <w:r>
        <w:rPr>
          <w:rFonts w:eastAsia="Times New Roman"/>
        </w:rPr>
        <w:t>2</w:t>
      </w:r>
      <w:r>
        <w:rPr>
          <w:rFonts w:ascii="宋体" w:hAnsi="宋体"/>
        </w:rPr>
        <w:t>）电子版的要求</w:t>
      </w:r>
    </w:p>
    <w:p>
      <w:pPr>
        <w:spacing w:line="500" w:lineRule="exact"/>
        <w:ind w:left="780"/>
        <w:rPr>
          <w:rFonts w:eastAsia="Times New Roman"/>
        </w:rPr>
      </w:pPr>
      <w:bookmarkStart w:id="901" w:name="page77"/>
      <w:bookmarkEnd w:id="901"/>
      <w:r>
        <w:rPr>
          <w:rFonts w:ascii="宋体" w:hAnsi="宋体"/>
        </w:rPr>
        <w:t>（</w:t>
      </w:r>
      <w:r>
        <w:rPr>
          <w:rFonts w:eastAsia="Times New Roman"/>
        </w:rPr>
        <w:t>3</w:t>
      </w:r>
      <w:r>
        <w:rPr>
          <w:rFonts w:ascii="宋体" w:hAnsi="宋体"/>
        </w:rPr>
        <w:t>）其他要求</w:t>
      </w:r>
    </w:p>
    <w:p>
      <w:pPr>
        <w:spacing w:line="500" w:lineRule="exact"/>
        <w:ind w:left="360"/>
        <w:rPr>
          <w:rFonts w:ascii="宋体" w:hAnsi="宋体" w:cs="宋体"/>
          <w:sz w:val="24"/>
        </w:rPr>
      </w:pPr>
      <w:r>
        <w:rPr>
          <w:rFonts w:ascii="宋体" w:hAnsi="宋体" w:cs="宋体"/>
          <w:sz w:val="24"/>
        </w:rPr>
        <w:t>2.</w:t>
      </w:r>
      <w:r>
        <w:rPr>
          <w:rFonts w:hint="eastAsia" w:ascii="宋体" w:hAnsi="宋体" w:cs="宋体"/>
          <w:sz w:val="24"/>
          <w:lang w:val="en-US" w:eastAsia="zh-CN"/>
        </w:rPr>
        <w:t xml:space="preserve">4 </w:t>
      </w:r>
      <w:r>
        <w:rPr>
          <w:rFonts w:hint="eastAsia" w:ascii="宋体" w:hAnsi="宋体" w:cs="宋体"/>
          <w:sz w:val="24"/>
        </w:rPr>
        <w:t>发包人提供的资料</w:t>
      </w:r>
    </w:p>
    <w:p>
      <w:pPr>
        <w:spacing w:line="500" w:lineRule="exact"/>
        <w:ind w:firstLine="735" w:firstLineChars="350"/>
        <w:rPr>
          <w:rFonts w:ascii="宋体" w:hAnsi="宋体"/>
        </w:rPr>
      </w:pPr>
      <w:r>
        <w:rPr>
          <w:rFonts w:hint="eastAsia" w:ascii="宋体" w:hAnsi="宋体"/>
        </w:rPr>
        <w:t>1.项目</w:t>
      </w:r>
      <w:r>
        <w:rPr>
          <w:rFonts w:ascii="宋体" w:hAnsi="宋体"/>
        </w:rPr>
        <w:t>建议书</w:t>
      </w:r>
    </w:p>
    <w:p>
      <w:pPr>
        <w:spacing w:line="500" w:lineRule="exact"/>
        <w:ind w:left="360"/>
        <w:rPr>
          <w:rFonts w:ascii="宋体" w:hAnsi="宋体" w:cs="宋体"/>
          <w:sz w:val="24"/>
        </w:rPr>
      </w:pPr>
      <w:r>
        <w:rPr>
          <w:rFonts w:ascii="宋体" w:hAnsi="宋体" w:cs="宋体"/>
          <w:sz w:val="24"/>
        </w:rPr>
        <w:t>2.</w:t>
      </w:r>
      <w:r>
        <w:rPr>
          <w:rFonts w:hint="eastAsia" w:ascii="宋体" w:hAnsi="宋体" w:cs="宋体"/>
          <w:sz w:val="24"/>
          <w:lang w:val="en-US" w:eastAsia="zh-CN"/>
        </w:rPr>
        <w:t xml:space="preserve">5 </w:t>
      </w:r>
      <w:r>
        <w:rPr>
          <w:rFonts w:hint="eastAsia" w:ascii="宋体" w:hAnsi="宋体" w:cs="宋体"/>
          <w:sz w:val="24"/>
        </w:rPr>
        <w:t>发包人提供的便利条件</w:t>
      </w:r>
    </w:p>
    <w:p>
      <w:pPr>
        <w:spacing w:line="500" w:lineRule="exact"/>
        <w:ind w:left="360"/>
        <w:rPr>
          <w:rFonts w:ascii="宋体" w:hAnsi="宋体" w:cs="宋体"/>
          <w:sz w:val="24"/>
        </w:rPr>
      </w:pPr>
      <w:r>
        <w:rPr>
          <w:rFonts w:ascii="宋体" w:hAnsi="宋体" w:cs="宋体"/>
          <w:sz w:val="24"/>
        </w:rPr>
        <w:t>2.</w:t>
      </w:r>
      <w:r>
        <w:rPr>
          <w:rFonts w:hint="eastAsia" w:ascii="宋体" w:hAnsi="宋体" w:cs="宋体"/>
          <w:sz w:val="24"/>
          <w:lang w:val="en-US" w:eastAsia="zh-CN"/>
        </w:rPr>
        <w:t xml:space="preserve">6 </w:t>
      </w:r>
      <w:r>
        <w:rPr>
          <w:rFonts w:hint="eastAsia" w:ascii="宋体" w:hAnsi="宋体" w:cs="宋体"/>
          <w:sz w:val="24"/>
        </w:rPr>
        <w:t>项目实施人需要自备的工作条件</w:t>
      </w:r>
    </w:p>
    <w:p>
      <w:pPr>
        <w:spacing w:line="500" w:lineRule="exact"/>
        <w:ind w:left="360"/>
        <w:rPr>
          <w:rFonts w:ascii="宋体" w:hAnsi="宋体" w:cs="宋体"/>
          <w:sz w:val="24"/>
        </w:rPr>
      </w:pPr>
      <w:r>
        <w:rPr>
          <w:rFonts w:ascii="宋体" w:hAnsi="宋体" w:cs="宋体"/>
          <w:sz w:val="24"/>
        </w:rPr>
        <w:t>2.</w:t>
      </w:r>
      <w:r>
        <w:rPr>
          <w:rFonts w:hint="eastAsia" w:ascii="宋体" w:hAnsi="宋体" w:cs="宋体"/>
          <w:sz w:val="24"/>
          <w:lang w:val="en-US" w:eastAsia="zh-CN"/>
        </w:rPr>
        <w:t xml:space="preserve">7 </w:t>
      </w:r>
      <w:r>
        <w:rPr>
          <w:rFonts w:hint="eastAsia" w:ascii="宋体" w:hAnsi="宋体" w:cs="宋体"/>
          <w:sz w:val="24"/>
        </w:rPr>
        <w:t>发包人的其他要求</w:t>
      </w:r>
    </w:p>
    <w:p>
      <w:pPr>
        <w:spacing w:line="500" w:lineRule="exact"/>
        <w:ind w:left="780"/>
        <w:rPr>
          <w:rFonts w:ascii="宋体" w:hAnsi="宋体"/>
        </w:rPr>
      </w:pPr>
      <w:r>
        <w:rPr>
          <w:rFonts w:ascii="宋体" w:hAnsi="宋体"/>
        </w:rPr>
        <w:t>发包人的其他要求</w:t>
      </w:r>
      <w:r>
        <w:rPr>
          <w:rFonts w:hint="eastAsia" w:ascii="宋体" w:hAnsi="宋体"/>
        </w:rPr>
        <w:t>：</w:t>
      </w:r>
    </w:p>
    <w:p>
      <w:pPr>
        <w:pStyle w:val="2"/>
        <w:outlineLvl w:val="9"/>
      </w:pPr>
    </w:p>
    <w:p>
      <w:pPr>
        <w:pStyle w:val="2"/>
        <w:outlineLvl w:val="9"/>
      </w:pPr>
    </w:p>
    <w:p>
      <w:pPr>
        <w:pStyle w:val="2"/>
        <w:outlineLvl w:val="9"/>
      </w:pPr>
    </w:p>
    <w:p>
      <w:pPr>
        <w:rPr>
          <w:rFonts w:hint="eastAsia"/>
        </w:rPr>
      </w:pPr>
      <w:bookmarkStart w:id="902" w:name="_Toc247527826"/>
      <w:bookmarkStart w:id="903" w:name="_Toc247514245"/>
    </w:p>
    <w:p>
      <w:pPr>
        <w:rPr>
          <w:rFonts w:hint="eastAsia"/>
        </w:rPr>
      </w:pPr>
      <w:r>
        <w:rPr>
          <w:rFonts w:hint="eastAsia"/>
        </w:rPr>
        <w:br w:type="page"/>
      </w:r>
    </w:p>
    <w:p>
      <w:pPr>
        <w:pStyle w:val="4"/>
        <w:jc w:val="center"/>
      </w:pPr>
      <w:bookmarkStart w:id="904" w:name="_Toc1030"/>
      <w:r>
        <w:rPr>
          <w:rFonts w:hint="eastAsia"/>
        </w:rPr>
        <w:t>第六章 投标文件格式</w:t>
      </w:r>
      <w:bookmarkEnd w:id="896"/>
      <w:bookmarkEnd w:id="897"/>
      <w:bookmarkEnd w:id="898"/>
      <w:bookmarkEnd w:id="902"/>
      <w:bookmarkEnd w:id="903"/>
      <w:bookmarkEnd w:id="904"/>
    </w:p>
    <w:p>
      <w:pPr>
        <w:spacing w:line="440" w:lineRule="exact"/>
        <w:rPr>
          <w:rFonts w:eastAsia="黑体"/>
          <w:sz w:val="20"/>
          <w:szCs w:val="20"/>
        </w:rPr>
      </w:pPr>
    </w:p>
    <w:p>
      <w:pPr>
        <w:spacing w:line="440" w:lineRule="exact"/>
        <w:rPr>
          <w:rFonts w:eastAsia="黑体"/>
          <w:sz w:val="20"/>
          <w:szCs w:val="20"/>
        </w:rPr>
      </w:pPr>
    </w:p>
    <w:p>
      <w:pPr>
        <w:jc w:val="center"/>
        <w:rPr>
          <w:rFonts w:eastAsia="黑体"/>
          <w:sz w:val="28"/>
          <w:szCs w:val="28"/>
        </w:rPr>
      </w:pPr>
      <w:r>
        <w:rPr>
          <w:rFonts w:hint="eastAsia" w:eastAsia="黑体"/>
          <w:sz w:val="28"/>
          <w:szCs w:val="28"/>
          <w:u w:val="single"/>
        </w:rPr>
        <w:t xml:space="preserve">            </w:t>
      </w:r>
      <w:r>
        <w:rPr>
          <w:rFonts w:eastAsia="黑体"/>
          <w:sz w:val="28"/>
          <w:szCs w:val="28"/>
        </w:rPr>
        <w:t>（项目名称）</w:t>
      </w:r>
      <w:r>
        <w:rPr>
          <w:rFonts w:hint="eastAsia" w:eastAsia="黑体"/>
          <w:sz w:val="28"/>
          <w:szCs w:val="28"/>
        </w:rPr>
        <w:t>代建单位招标</w:t>
      </w:r>
    </w:p>
    <w:p>
      <w:pPr>
        <w:jc w:val="center"/>
        <w:rPr>
          <w:rFonts w:eastAsia="黑体"/>
          <w:sz w:val="28"/>
          <w:szCs w:val="28"/>
        </w:rPr>
      </w:pPr>
    </w:p>
    <w:p>
      <w:pPr>
        <w:rPr>
          <w:rFonts w:eastAsia="黑体"/>
          <w:sz w:val="20"/>
          <w:szCs w:val="20"/>
        </w:rPr>
      </w:pPr>
    </w:p>
    <w:p>
      <w:pPr>
        <w:rPr>
          <w:rFonts w:eastAsia="黑体"/>
          <w:sz w:val="20"/>
          <w:szCs w:val="20"/>
        </w:rPr>
      </w:pPr>
    </w:p>
    <w:p>
      <w:pPr>
        <w:jc w:val="center"/>
        <w:rPr>
          <w:rFonts w:eastAsia="黑体"/>
          <w:sz w:val="72"/>
          <w:szCs w:val="72"/>
        </w:rPr>
      </w:pPr>
      <w:r>
        <w:rPr>
          <w:rFonts w:eastAsia="黑体"/>
          <w:sz w:val="72"/>
          <w:szCs w:val="72"/>
        </w:rPr>
        <w:t>投  标  文  件</w:t>
      </w:r>
    </w:p>
    <w:p>
      <w:pPr>
        <w:jc w:val="center"/>
        <w:rPr>
          <w:rFonts w:eastAsia="黑体"/>
          <w:sz w:val="44"/>
          <w:szCs w:val="44"/>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r>
        <w:rPr>
          <w:rFonts w:hint="eastAsia" w:eastAsia="黑体"/>
          <w:sz w:val="28"/>
          <w:szCs w:val="28"/>
        </w:rPr>
        <w:t>或盖章</w:t>
      </w:r>
      <w:r>
        <w:rPr>
          <w:rFonts w:eastAsia="黑体"/>
          <w:sz w:val="28"/>
          <w:szCs w:val="28"/>
        </w:rPr>
        <w:t>）</w:t>
      </w:r>
    </w:p>
    <w:p>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line="400" w:lineRule="exact"/>
      </w:pPr>
    </w:p>
    <w:p>
      <w:pPr>
        <w:rPr>
          <w:rFonts w:hint="eastAsia"/>
        </w:rPr>
      </w:pPr>
      <w:bookmarkStart w:id="905" w:name="_Toc247527827"/>
      <w:bookmarkStart w:id="906" w:name="_Toc144974856"/>
      <w:bookmarkStart w:id="907" w:name="_Toc247514246"/>
      <w:bookmarkStart w:id="908" w:name="_Toc3997913"/>
      <w:bookmarkStart w:id="909" w:name="_Toc152045787"/>
      <w:bookmarkStart w:id="910" w:name="_Toc152042576"/>
      <w:r>
        <w:rPr>
          <w:rFonts w:hint="eastAsia"/>
        </w:rPr>
        <w:br w:type="page"/>
      </w:r>
    </w:p>
    <w:p>
      <w:pPr>
        <w:pStyle w:val="4"/>
        <w:bidi w:val="0"/>
        <w:jc w:val="center"/>
        <w:rPr>
          <w:rFonts w:hint="eastAsia"/>
        </w:rPr>
      </w:pPr>
      <w:bookmarkStart w:id="911" w:name="_Toc24524"/>
    </w:p>
    <w:p>
      <w:pPr>
        <w:pStyle w:val="4"/>
        <w:bidi w:val="0"/>
        <w:jc w:val="center"/>
        <w:rPr>
          <w:rFonts w:hint="eastAsia"/>
        </w:rPr>
      </w:pPr>
    </w:p>
    <w:p>
      <w:pPr>
        <w:pStyle w:val="4"/>
        <w:bidi w:val="0"/>
        <w:jc w:val="center"/>
      </w:pPr>
      <w:r>
        <w:rPr>
          <w:rFonts w:hint="eastAsia"/>
        </w:rPr>
        <w:t>目    录</w:t>
      </w:r>
      <w:bookmarkEnd w:id="905"/>
      <w:bookmarkEnd w:id="906"/>
      <w:bookmarkEnd w:id="907"/>
      <w:bookmarkEnd w:id="908"/>
      <w:bookmarkEnd w:id="909"/>
      <w:bookmarkEnd w:id="910"/>
      <w:bookmarkEnd w:id="911"/>
    </w:p>
    <w:p>
      <w:pPr>
        <w:spacing w:line="540" w:lineRule="exact"/>
      </w:pPr>
    </w:p>
    <w:p>
      <w:pPr>
        <w:spacing w:line="540" w:lineRule="exact"/>
      </w:pPr>
      <w:r>
        <w:rPr>
          <w:rFonts w:hint="eastAsia"/>
        </w:rPr>
        <w:t>一、投标函及投标函附录</w:t>
      </w:r>
    </w:p>
    <w:p>
      <w:pPr>
        <w:spacing w:line="540" w:lineRule="exact"/>
      </w:pPr>
      <w:r>
        <w:rPr>
          <w:rFonts w:hint="eastAsia"/>
        </w:rPr>
        <w:t>二、法定代表人身份证明</w:t>
      </w:r>
    </w:p>
    <w:p>
      <w:pPr>
        <w:spacing w:line="540" w:lineRule="exact"/>
      </w:pPr>
      <w:r>
        <w:rPr>
          <w:rFonts w:hint="eastAsia"/>
        </w:rPr>
        <w:t>三、法定代表人授权委托书</w:t>
      </w:r>
    </w:p>
    <w:p>
      <w:pPr>
        <w:spacing w:line="540" w:lineRule="exact"/>
      </w:pPr>
      <w:r>
        <w:rPr>
          <w:rFonts w:hint="eastAsia"/>
        </w:rPr>
        <w:t xml:space="preserve">四、投标保证金 </w:t>
      </w:r>
    </w:p>
    <w:p>
      <w:pPr>
        <w:spacing w:line="540" w:lineRule="exact"/>
      </w:pPr>
      <w:r>
        <w:rPr>
          <w:rFonts w:hint="eastAsia"/>
        </w:rPr>
        <w:t>五、投标报价书</w:t>
      </w:r>
    </w:p>
    <w:p>
      <w:pPr>
        <w:spacing w:line="540" w:lineRule="exact"/>
      </w:pPr>
      <w:r>
        <w:rPr>
          <w:rFonts w:hint="eastAsia"/>
        </w:rPr>
        <w:t>六、资格审查资料</w:t>
      </w:r>
    </w:p>
    <w:p>
      <w:pPr>
        <w:spacing w:line="540" w:lineRule="exact"/>
      </w:pPr>
      <w:r>
        <w:rPr>
          <w:rFonts w:hint="eastAsia"/>
        </w:rPr>
        <w:t>七、技术部分</w:t>
      </w:r>
    </w:p>
    <w:p>
      <w:pPr>
        <w:spacing w:line="540" w:lineRule="exact"/>
      </w:pPr>
      <w:r>
        <w:rPr>
          <w:rFonts w:hint="eastAsia"/>
        </w:rPr>
        <w:t>八、投标人须知前附表规定的其他资料</w:t>
      </w:r>
    </w:p>
    <w:p>
      <w:pPr>
        <w:spacing w:line="540" w:lineRule="exact"/>
      </w:pPr>
    </w:p>
    <w:p>
      <w:pPr>
        <w:spacing w:line="540" w:lineRule="exact"/>
        <w:rPr>
          <w:rFonts w:eastAsia="黑体"/>
          <w:sz w:val="20"/>
          <w:szCs w:val="20"/>
        </w:rPr>
      </w:pPr>
    </w:p>
    <w:p>
      <w:pPr>
        <w:pStyle w:val="7"/>
        <w:rPr>
          <w:rFonts w:eastAsia="黑体"/>
          <w:sz w:val="20"/>
          <w:szCs w:val="20"/>
        </w:rPr>
      </w:pPr>
    </w:p>
    <w:p>
      <w:pPr>
        <w:rPr>
          <w:rFonts w:eastAsia="黑体"/>
          <w:sz w:val="20"/>
          <w:szCs w:val="20"/>
        </w:rPr>
      </w:pPr>
    </w:p>
    <w:p>
      <w:pPr>
        <w:pStyle w:val="7"/>
        <w:rPr>
          <w:rFonts w:eastAsia="黑体"/>
          <w:sz w:val="20"/>
          <w:szCs w:val="20"/>
        </w:rPr>
      </w:pPr>
    </w:p>
    <w:p>
      <w:pPr>
        <w:rPr>
          <w:rFonts w:eastAsia="黑体"/>
          <w:sz w:val="20"/>
          <w:szCs w:val="20"/>
        </w:rPr>
      </w:pPr>
    </w:p>
    <w:p>
      <w:pPr>
        <w:pStyle w:val="7"/>
        <w:rPr>
          <w:rFonts w:eastAsia="黑体"/>
          <w:sz w:val="20"/>
          <w:szCs w:val="20"/>
        </w:rPr>
      </w:pPr>
    </w:p>
    <w:p>
      <w:pPr>
        <w:rPr>
          <w:rFonts w:eastAsia="黑体"/>
          <w:sz w:val="20"/>
          <w:szCs w:val="20"/>
        </w:rPr>
      </w:pPr>
    </w:p>
    <w:p>
      <w:pPr>
        <w:pStyle w:val="7"/>
        <w:rPr>
          <w:rFonts w:eastAsia="黑体"/>
          <w:sz w:val="20"/>
          <w:szCs w:val="20"/>
        </w:rPr>
      </w:pPr>
    </w:p>
    <w:p>
      <w:pPr>
        <w:rPr>
          <w:rFonts w:eastAsia="黑体"/>
          <w:sz w:val="20"/>
          <w:szCs w:val="20"/>
        </w:rPr>
      </w:pPr>
    </w:p>
    <w:p>
      <w:pPr>
        <w:pStyle w:val="7"/>
        <w:rPr>
          <w:rFonts w:eastAsia="黑体"/>
          <w:sz w:val="20"/>
          <w:szCs w:val="20"/>
        </w:rPr>
      </w:pPr>
    </w:p>
    <w:p>
      <w:pPr>
        <w:rPr>
          <w:rFonts w:eastAsia="黑体"/>
          <w:sz w:val="20"/>
          <w:szCs w:val="20"/>
        </w:rPr>
      </w:pPr>
    </w:p>
    <w:p>
      <w:pPr>
        <w:pStyle w:val="4"/>
        <w:bidi w:val="0"/>
        <w:jc w:val="center"/>
      </w:pPr>
      <w:bookmarkStart w:id="912" w:name="_Toc152045788"/>
      <w:bookmarkStart w:id="913" w:name="_Toc144974857"/>
      <w:bookmarkStart w:id="914" w:name="_Toc247527828"/>
      <w:bookmarkStart w:id="915" w:name="_Toc247514247"/>
      <w:bookmarkStart w:id="916" w:name="_Toc152042577"/>
      <w:bookmarkStart w:id="917" w:name="_Toc3997914"/>
      <w:bookmarkStart w:id="918" w:name="_Toc5180"/>
      <w:r>
        <w:t>一、投标函及投标函附录</w:t>
      </w:r>
      <w:bookmarkEnd w:id="912"/>
      <w:bookmarkEnd w:id="913"/>
      <w:bookmarkEnd w:id="914"/>
      <w:bookmarkEnd w:id="915"/>
      <w:bookmarkEnd w:id="916"/>
      <w:bookmarkEnd w:id="917"/>
      <w:bookmarkEnd w:id="918"/>
    </w:p>
    <w:p>
      <w:pPr>
        <w:keepNext w:val="0"/>
        <w:keepLines w:val="0"/>
        <w:pageBreakBefore w:val="0"/>
        <w:widowControl w:val="0"/>
        <w:kinsoku/>
        <w:wordWrap/>
        <w:overflowPunct/>
        <w:topLinePunct w:val="0"/>
        <w:autoSpaceDE/>
        <w:autoSpaceDN/>
        <w:bidi w:val="0"/>
        <w:adjustRightInd/>
        <w:snapToGrid/>
        <w:spacing w:line="400" w:lineRule="exact"/>
        <w:textAlignment w:val="auto"/>
      </w:pPr>
      <w:bookmarkStart w:id="919" w:name="_Toc144974858"/>
      <w:bookmarkStart w:id="920" w:name="_Toc152042578"/>
      <w:bookmarkStart w:id="921" w:name="_Toc247514248"/>
      <w:bookmarkStart w:id="922" w:name="_Toc3997915"/>
      <w:bookmarkStart w:id="923" w:name="_Toc152045789"/>
      <w:bookmarkStart w:id="924" w:name="_Toc247527829"/>
      <w:r>
        <w:t>（一）投标函</w:t>
      </w:r>
      <w:bookmarkEnd w:id="919"/>
      <w:bookmarkEnd w:id="920"/>
      <w:bookmarkEnd w:id="921"/>
      <w:bookmarkEnd w:id="922"/>
      <w:bookmarkEnd w:id="923"/>
      <w:bookmarkEnd w:id="924"/>
    </w:p>
    <w:p>
      <w:pPr>
        <w:keepNext w:val="0"/>
        <w:keepLines w:val="0"/>
        <w:pageBreakBefore w:val="0"/>
        <w:widowControl w:val="0"/>
        <w:kinsoku/>
        <w:wordWrap/>
        <w:overflowPunct/>
        <w:topLinePunct w:val="0"/>
        <w:autoSpaceDE/>
        <w:autoSpaceDN/>
        <w:bidi w:val="0"/>
        <w:adjustRightInd/>
        <w:snapToGrid/>
        <w:spacing w:line="400" w:lineRule="exact"/>
        <w:textAlignment w:val="auto"/>
        <w:rPr>
          <w:szCs w:val="21"/>
        </w:rPr>
      </w:pPr>
      <w:r>
        <w:rPr>
          <w:szCs w:val="21"/>
          <w:u w:val="single"/>
        </w:rPr>
        <w:t xml:space="preserve">                        </w:t>
      </w:r>
      <w:r>
        <w:rPr>
          <w:rFonts w:hint="eastAsia"/>
          <w:i/>
          <w:szCs w:val="21"/>
        </w:rPr>
        <w:t>（招标人名称）</w:t>
      </w:r>
      <w:r>
        <w:rPr>
          <w:szCs w:val="21"/>
        </w:rPr>
        <w:t>：</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firstLine="420" w:firstLineChars="200"/>
        <w:textAlignment w:val="auto"/>
        <w:rPr>
          <w:szCs w:val="21"/>
        </w:rPr>
      </w:pPr>
      <w:r>
        <w:rPr>
          <w:szCs w:val="21"/>
        </w:rPr>
        <w:t>我方已仔</w:t>
      </w:r>
      <w:r>
        <w:rPr>
          <w:rFonts w:hint="eastAsia" w:ascii="宋体" w:hAnsi="宋体" w:eastAsia="宋体" w:cs="宋体"/>
          <w:szCs w:val="21"/>
        </w:rPr>
        <w:t>细研究了</w:t>
      </w:r>
      <w:r>
        <w:rPr>
          <w:rFonts w:hint="eastAsia" w:ascii="宋体" w:hAnsi="宋体" w:eastAsia="宋体" w:cs="宋体"/>
          <w:szCs w:val="21"/>
          <w:u w:val="single"/>
        </w:rPr>
        <w:t xml:space="preserve">               </w:t>
      </w:r>
      <w:r>
        <w:rPr>
          <w:rFonts w:hint="eastAsia" w:ascii="宋体" w:hAnsi="宋体" w:eastAsia="宋体" w:cs="宋体"/>
          <w:szCs w:val="21"/>
        </w:rPr>
        <w:t>（项目名称）代建项目招标文件的全部内容，愿意以：项目管理报价（下浮率）</w:t>
      </w:r>
      <w:r>
        <w:rPr>
          <w:rFonts w:hint="eastAsia" w:ascii="宋体" w:hAnsi="宋体" w:eastAsia="宋体" w:cs="宋体"/>
          <w:szCs w:val="21"/>
          <w:u w:val="single"/>
        </w:rPr>
        <w:t xml:space="preserve">      </w:t>
      </w:r>
      <w:r>
        <w:rPr>
          <w:rFonts w:hint="eastAsia" w:ascii="宋体" w:hAnsi="宋体" w:eastAsia="宋体" w:cs="宋体"/>
          <w:szCs w:val="21"/>
        </w:rPr>
        <w:t>%；可行性研究报告编制报价（下浮率）</w:t>
      </w:r>
      <w:r>
        <w:rPr>
          <w:rFonts w:hint="eastAsia" w:ascii="宋体" w:hAnsi="宋体" w:eastAsia="宋体" w:cs="宋体"/>
          <w:szCs w:val="21"/>
          <w:u w:val="single"/>
        </w:rPr>
        <w:t xml:space="preserve">     </w:t>
      </w:r>
      <w:r>
        <w:rPr>
          <w:rFonts w:hint="eastAsia" w:ascii="宋体" w:hAnsi="宋体" w:eastAsia="宋体" w:cs="宋体"/>
          <w:szCs w:val="21"/>
        </w:rPr>
        <w:t>%；勘察报价（下浮率）</w:t>
      </w:r>
      <w:r>
        <w:rPr>
          <w:rFonts w:hint="eastAsia" w:ascii="宋体" w:hAnsi="宋体" w:eastAsia="宋体" w:cs="宋体"/>
          <w:szCs w:val="21"/>
          <w:u w:val="single"/>
        </w:rPr>
        <w:t xml:space="preserve">      </w:t>
      </w:r>
      <w:r>
        <w:rPr>
          <w:rFonts w:hint="eastAsia" w:ascii="宋体" w:hAnsi="宋体" w:eastAsia="宋体" w:cs="宋体"/>
          <w:szCs w:val="21"/>
        </w:rPr>
        <w:t>%；造价咨询报价（下浮率）</w:t>
      </w:r>
      <w:r>
        <w:rPr>
          <w:rFonts w:hint="eastAsia" w:ascii="宋体" w:hAnsi="宋体" w:eastAsia="宋体" w:cs="宋体"/>
          <w:szCs w:val="21"/>
          <w:u w:val="single"/>
        </w:rPr>
        <w:t xml:space="preserve">      </w:t>
      </w:r>
      <w:r>
        <w:rPr>
          <w:rFonts w:hint="eastAsia" w:ascii="宋体" w:hAnsi="宋体" w:eastAsia="宋体" w:cs="宋体"/>
          <w:szCs w:val="21"/>
        </w:rPr>
        <w:t>%；招标代理报价（下浮率）</w:t>
      </w:r>
      <w:r>
        <w:rPr>
          <w:rFonts w:hint="eastAsia" w:ascii="宋体" w:hAnsi="宋体" w:eastAsia="宋体" w:cs="宋体"/>
          <w:szCs w:val="21"/>
          <w:u w:val="single"/>
        </w:rPr>
        <w:t xml:space="preserve">      </w:t>
      </w:r>
      <w:r>
        <w:rPr>
          <w:rFonts w:hint="eastAsia" w:ascii="宋体" w:hAnsi="宋体" w:eastAsia="宋体" w:cs="宋体"/>
          <w:szCs w:val="21"/>
        </w:rPr>
        <w:t>%的投标报价（下浮率），服务周期</w:t>
      </w:r>
      <w:r>
        <w:rPr>
          <w:rFonts w:hint="eastAsia" w:ascii="宋体" w:hAnsi="宋体" w:eastAsia="宋体" w:cs="宋体"/>
          <w:szCs w:val="21"/>
          <w:u w:val="single"/>
        </w:rPr>
        <w:t xml:space="preserve">          </w:t>
      </w:r>
      <w:r>
        <w:rPr>
          <w:rFonts w:hint="eastAsia" w:ascii="宋体" w:hAnsi="宋体" w:eastAsia="宋体" w:cs="宋体"/>
          <w:szCs w:val="21"/>
        </w:rPr>
        <w:t xml:space="preserve"> 日历天，按合同约定履行合同义务，实现工程目的。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szCs w:val="21"/>
        </w:rPr>
      </w:pPr>
      <w:r>
        <w:rPr>
          <w:szCs w:val="21"/>
        </w:rPr>
        <w:t>2．我方承诺在</w:t>
      </w:r>
      <w:r>
        <w:rPr>
          <w:rFonts w:hint="eastAsia"/>
          <w:szCs w:val="21"/>
        </w:rPr>
        <w:t>招标文件规定的</w:t>
      </w:r>
      <w:r>
        <w:rPr>
          <w:szCs w:val="21"/>
        </w:rPr>
        <w:t>投标有效期内不修改、撤销投标文件</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szCs w:val="21"/>
        </w:rPr>
      </w:pPr>
      <w:r>
        <w:rPr>
          <w:szCs w:val="21"/>
        </w:rPr>
        <w:t>3．随同本投标函提交投标保证金一份，金额为人民币（大写）</w:t>
      </w:r>
      <w:r>
        <w:rPr>
          <w:szCs w:val="21"/>
          <w:u w:val="single"/>
        </w:rPr>
        <w:t xml:space="preserve">        </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szCs w:val="21"/>
        </w:rPr>
      </w:pPr>
      <w:r>
        <w:rPr>
          <w:szCs w:val="21"/>
        </w:rPr>
        <w:t>4．如我方中标：</w:t>
      </w:r>
    </w:p>
    <w:p>
      <w:pPr>
        <w:keepNext w:val="0"/>
        <w:keepLines w:val="0"/>
        <w:pageBreakBefore w:val="0"/>
        <w:widowControl w:val="0"/>
        <w:kinsoku/>
        <w:wordWrap/>
        <w:overflowPunct/>
        <w:topLinePunct w:val="0"/>
        <w:autoSpaceDE/>
        <w:autoSpaceDN/>
        <w:bidi w:val="0"/>
        <w:adjustRightInd/>
        <w:snapToGrid/>
        <w:spacing w:line="400" w:lineRule="exact"/>
        <w:ind w:firstLine="718" w:firstLineChars="342"/>
        <w:textAlignment w:val="auto"/>
        <w:rPr>
          <w:szCs w:val="21"/>
        </w:rPr>
      </w:pPr>
      <w:r>
        <w:rPr>
          <w:szCs w:val="21"/>
        </w:rPr>
        <w:t>（1）我方承诺在收到中标通知书后，在中标通知书规定的期限内与你方签订合同。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spacing w:line="400" w:lineRule="exact"/>
        <w:ind w:firstLine="718" w:firstLineChars="342"/>
        <w:textAlignment w:val="auto"/>
        <w:rPr>
          <w:szCs w:val="21"/>
        </w:rPr>
      </w:pPr>
      <w:r>
        <w:rPr>
          <w:szCs w:val="21"/>
        </w:rPr>
        <w:t>（2）随同本投标函递交的投标函附录属于合同文件的组成部分。</w:t>
      </w:r>
    </w:p>
    <w:p>
      <w:pPr>
        <w:keepNext w:val="0"/>
        <w:keepLines w:val="0"/>
        <w:pageBreakBefore w:val="0"/>
        <w:widowControl w:val="0"/>
        <w:kinsoku/>
        <w:wordWrap/>
        <w:overflowPunct/>
        <w:topLinePunct w:val="0"/>
        <w:autoSpaceDE/>
        <w:autoSpaceDN/>
        <w:bidi w:val="0"/>
        <w:adjustRightInd/>
        <w:snapToGrid/>
        <w:spacing w:line="400" w:lineRule="exact"/>
        <w:ind w:firstLine="718" w:firstLineChars="342"/>
        <w:textAlignment w:val="auto"/>
        <w:rPr>
          <w:szCs w:val="21"/>
        </w:rPr>
      </w:pPr>
      <w:r>
        <w:rPr>
          <w:szCs w:val="21"/>
        </w:rPr>
        <w:t>（3）我方承诺按照招标文件规定向你方递交履约担保。</w:t>
      </w:r>
    </w:p>
    <w:p>
      <w:pPr>
        <w:keepNext w:val="0"/>
        <w:keepLines w:val="0"/>
        <w:pageBreakBefore w:val="0"/>
        <w:widowControl w:val="0"/>
        <w:kinsoku/>
        <w:wordWrap/>
        <w:overflowPunct/>
        <w:topLinePunct w:val="0"/>
        <w:autoSpaceDE/>
        <w:autoSpaceDN/>
        <w:bidi w:val="0"/>
        <w:adjustRightInd/>
        <w:snapToGrid/>
        <w:spacing w:line="400" w:lineRule="exact"/>
        <w:ind w:firstLine="718" w:firstLineChars="342"/>
        <w:textAlignment w:val="auto"/>
        <w:rPr>
          <w:szCs w:val="21"/>
        </w:rPr>
      </w:pPr>
      <w:r>
        <w:rPr>
          <w:szCs w:val="21"/>
        </w:rPr>
        <w:t>（4）</w:t>
      </w:r>
      <w:r>
        <w:rPr>
          <w:rFonts w:hint="eastAsia"/>
          <w:szCs w:val="21"/>
        </w:rPr>
        <w:t>我方承诺在合同约定的期限内完成并移交全部合同工程，并确保所移交工程全部符合合同条件</w:t>
      </w:r>
      <w:r>
        <w:rPr>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szCs w:val="21"/>
        </w:rPr>
      </w:pPr>
      <w:r>
        <w:rPr>
          <w:szCs w:val="21"/>
        </w:rPr>
        <w:t>5．</w:t>
      </w:r>
      <w:r>
        <w:rPr>
          <w:rFonts w:hint="eastAsia"/>
        </w:rPr>
        <w:t>我方在此声明，所递交的投标文件及有关资料内容完整、真实、有效和准确，且不存在第二章“投标人须知”第1.4.3项和第1.4.4项规定的任何一种情形。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szCs w:val="21"/>
        </w:rPr>
      </w:pPr>
      <w:r>
        <w:rPr>
          <w:rFonts w:hint="eastAsia"/>
          <w:szCs w:val="21"/>
        </w:rPr>
        <w:t>6．</w:t>
      </w:r>
      <w:r>
        <w:rPr>
          <w:szCs w:val="21"/>
          <w:u w:val="single"/>
        </w:rPr>
        <w:t xml:space="preserve">                                       </w:t>
      </w:r>
      <w:r>
        <w:rPr>
          <w:szCs w:val="21"/>
        </w:rPr>
        <w:t>（</w:t>
      </w:r>
      <w:r>
        <w:rPr>
          <w:rFonts w:hint="eastAsia"/>
          <w:szCs w:val="21"/>
        </w:rPr>
        <w:t>其他</w:t>
      </w:r>
      <w:r>
        <w:rPr>
          <w:szCs w:val="21"/>
        </w:rPr>
        <w:t>补充说明）。</w:t>
      </w:r>
    </w:p>
    <w:p>
      <w:pPr>
        <w:keepNext w:val="0"/>
        <w:keepLines w:val="0"/>
        <w:pageBreakBefore w:val="0"/>
        <w:widowControl w:val="0"/>
        <w:kinsoku/>
        <w:wordWrap/>
        <w:overflowPunct/>
        <w:topLinePunct w:val="0"/>
        <w:autoSpaceDE/>
        <w:autoSpaceDN/>
        <w:bidi w:val="0"/>
        <w:adjustRightInd/>
        <w:snapToGrid/>
        <w:spacing w:line="400" w:lineRule="exact"/>
        <w:ind w:firstLine="3675" w:firstLineChars="1750"/>
        <w:textAlignment w:val="auto"/>
        <w:rPr>
          <w:szCs w:val="21"/>
        </w:rPr>
      </w:pPr>
      <w:r>
        <w:rPr>
          <w:szCs w:val="21"/>
        </w:rPr>
        <w:t>投 标 人：</w:t>
      </w:r>
      <w:r>
        <w:rPr>
          <w:szCs w:val="21"/>
          <w:u w:val="single"/>
        </w:rPr>
        <w:t xml:space="preserve">                      </w:t>
      </w:r>
      <w:r>
        <w:rPr>
          <w:szCs w:val="21"/>
        </w:rPr>
        <w:t>（盖单位章）</w:t>
      </w:r>
    </w:p>
    <w:p>
      <w:pPr>
        <w:keepNext w:val="0"/>
        <w:keepLines w:val="0"/>
        <w:pageBreakBefore w:val="0"/>
        <w:widowControl w:val="0"/>
        <w:kinsoku/>
        <w:wordWrap/>
        <w:overflowPunct/>
        <w:topLinePunct w:val="0"/>
        <w:autoSpaceDE/>
        <w:autoSpaceDN/>
        <w:bidi w:val="0"/>
        <w:adjustRightInd/>
        <w:snapToGrid/>
        <w:spacing w:line="400" w:lineRule="exact"/>
        <w:ind w:firstLine="3675" w:firstLineChars="1750"/>
        <w:textAlignment w:val="auto"/>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r>
        <w:rPr>
          <w:rFonts w:hint="eastAsia"/>
          <w:szCs w:val="21"/>
        </w:rPr>
        <w:t>或</w:t>
      </w:r>
      <w:r>
        <w:rPr>
          <w:szCs w:val="21"/>
        </w:rPr>
        <w:t>盖章）</w:t>
      </w:r>
    </w:p>
    <w:p>
      <w:pPr>
        <w:keepNext w:val="0"/>
        <w:keepLines w:val="0"/>
        <w:pageBreakBefore w:val="0"/>
        <w:widowControl w:val="0"/>
        <w:kinsoku/>
        <w:wordWrap/>
        <w:overflowPunct/>
        <w:topLinePunct w:val="0"/>
        <w:autoSpaceDE/>
        <w:autoSpaceDN/>
        <w:bidi w:val="0"/>
        <w:adjustRightInd/>
        <w:snapToGrid/>
        <w:spacing w:line="400" w:lineRule="exact"/>
        <w:ind w:firstLine="3675" w:firstLineChars="1750"/>
        <w:textAlignment w:val="auto"/>
        <w:rPr>
          <w:szCs w:val="21"/>
        </w:rPr>
      </w:pPr>
      <w:r>
        <w:rPr>
          <w:szCs w:val="21"/>
        </w:rPr>
        <w:t>地址：</w:t>
      </w:r>
      <w:r>
        <w:rPr>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3675" w:firstLineChars="1750"/>
        <w:textAlignment w:val="auto"/>
        <w:rPr>
          <w:szCs w:val="21"/>
        </w:rPr>
      </w:pPr>
      <w:r>
        <w:rPr>
          <w:szCs w:val="21"/>
        </w:rPr>
        <w:t>网址：</w:t>
      </w:r>
      <w:r>
        <w:rPr>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3675" w:firstLineChars="1750"/>
        <w:textAlignment w:val="auto"/>
        <w:rPr>
          <w:szCs w:val="21"/>
        </w:rPr>
      </w:pPr>
      <w:r>
        <w:rPr>
          <w:szCs w:val="21"/>
        </w:rPr>
        <w:t>电话：</w:t>
      </w:r>
      <w:r>
        <w:rPr>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3675" w:firstLineChars="1750"/>
        <w:textAlignment w:val="auto"/>
        <w:rPr>
          <w:szCs w:val="21"/>
        </w:rPr>
      </w:pPr>
      <w:r>
        <w:rPr>
          <w:szCs w:val="21"/>
        </w:rPr>
        <w:t>传真：</w:t>
      </w:r>
      <w:r>
        <w:rPr>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3675" w:firstLineChars="1750"/>
        <w:textAlignment w:val="auto"/>
        <w:rPr>
          <w:szCs w:val="21"/>
        </w:rPr>
      </w:pPr>
      <w:r>
        <w:rPr>
          <w:szCs w:val="21"/>
        </w:rPr>
        <w:t>邮政编码：</w:t>
      </w:r>
      <w:r>
        <w:rPr>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775" w:firstLineChars="2750"/>
        <w:textAlignment w:val="auto"/>
        <w:rPr>
          <w:szCs w:val="21"/>
          <w:u w:val="single"/>
        </w:rPr>
      </w:pPr>
    </w:p>
    <w:p>
      <w:pPr>
        <w:keepNext w:val="0"/>
        <w:keepLines w:val="0"/>
        <w:pageBreakBefore w:val="0"/>
        <w:widowControl w:val="0"/>
        <w:kinsoku/>
        <w:wordWrap/>
        <w:overflowPunct/>
        <w:topLinePunct w:val="0"/>
        <w:autoSpaceDE/>
        <w:autoSpaceDN/>
        <w:bidi w:val="0"/>
        <w:adjustRightInd/>
        <w:snapToGrid/>
        <w:spacing w:line="400" w:lineRule="exact"/>
        <w:ind w:firstLine="5775" w:firstLineChars="2750"/>
        <w:textAlignment w:val="auto"/>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16" w:lineRule="auto"/>
        <w:jc w:val="left"/>
      </w:pPr>
      <w:bookmarkStart w:id="925" w:name="_Toc247527831"/>
      <w:bookmarkStart w:id="926" w:name="_Toc144974860"/>
      <w:bookmarkStart w:id="927" w:name="_Toc247514283"/>
      <w:bookmarkStart w:id="928" w:name="_Toc152042580"/>
      <w:bookmarkStart w:id="929" w:name="_Toc152045791"/>
      <w:bookmarkStart w:id="930" w:name="_Toc3997917"/>
    </w:p>
    <w:p>
      <w:pPr>
        <w:spacing w:line="416" w:lineRule="auto"/>
        <w:jc w:val="left"/>
      </w:pPr>
      <w:r>
        <w:rPr>
          <w:rFonts w:hint="eastAsia"/>
        </w:rPr>
        <w:t>（二）</w:t>
      </w:r>
      <w:r>
        <w:t>投标函附录</w:t>
      </w:r>
    </w:p>
    <w:tbl>
      <w:tblPr>
        <w:tblStyle w:val="22"/>
        <w:tblW w:w="8308" w:type="dxa"/>
        <w:jc w:val="center"/>
        <w:tblLayout w:type="fixed"/>
        <w:tblCellMar>
          <w:top w:w="0" w:type="dxa"/>
          <w:left w:w="0" w:type="dxa"/>
          <w:bottom w:w="0" w:type="dxa"/>
          <w:right w:w="0" w:type="dxa"/>
        </w:tblCellMar>
      </w:tblPr>
      <w:tblGrid>
        <w:gridCol w:w="972"/>
        <w:gridCol w:w="2182"/>
        <w:gridCol w:w="1718"/>
        <w:gridCol w:w="1863"/>
        <w:gridCol w:w="1573"/>
      </w:tblGrid>
      <w:tr>
        <w:tblPrEx>
          <w:tblCellMar>
            <w:top w:w="0" w:type="dxa"/>
            <w:left w:w="0" w:type="dxa"/>
            <w:bottom w:w="0" w:type="dxa"/>
            <w:right w:w="0" w:type="dxa"/>
          </w:tblCellMar>
        </w:tblPrEx>
        <w:trPr>
          <w:trHeight w:val="1134" w:hRule="atLeast"/>
          <w:jc w:val="center"/>
        </w:trPr>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b/>
                <w:szCs w:val="21"/>
              </w:rPr>
            </w:pPr>
            <w:r>
              <w:rPr>
                <w:rFonts w:hint="eastAsia" w:ascii="宋体" w:hAnsi="宋体" w:cs="宋体"/>
                <w:b/>
                <w:kern w:val="0"/>
                <w:szCs w:val="21"/>
              </w:rPr>
              <w:t>序号</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b/>
                <w:szCs w:val="21"/>
              </w:rPr>
            </w:pPr>
            <w:r>
              <w:rPr>
                <w:rFonts w:hint="eastAsia" w:ascii="宋体" w:hAnsi="宋体" w:cs="宋体"/>
                <w:b/>
                <w:kern w:val="0"/>
                <w:szCs w:val="21"/>
              </w:rPr>
              <w:t>条款名称</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b/>
                <w:szCs w:val="21"/>
              </w:rPr>
            </w:pPr>
            <w:r>
              <w:rPr>
                <w:rFonts w:hint="eastAsia" w:ascii="宋体" w:hAnsi="宋体" w:cs="宋体"/>
                <w:b/>
                <w:kern w:val="0"/>
                <w:szCs w:val="21"/>
              </w:rPr>
              <w:t>合同条款号</w:t>
            </w: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b/>
                <w:szCs w:val="21"/>
              </w:rPr>
            </w:pPr>
            <w:r>
              <w:rPr>
                <w:rFonts w:hint="eastAsia" w:ascii="宋体" w:hAnsi="宋体" w:cs="宋体"/>
                <w:b/>
                <w:kern w:val="0"/>
                <w:szCs w:val="21"/>
              </w:rPr>
              <w:t>约定内容</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b/>
                <w:szCs w:val="21"/>
              </w:rPr>
            </w:pPr>
            <w:r>
              <w:rPr>
                <w:rFonts w:hint="eastAsia" w:ascii="宋体" w:hAnsi="宋体" w:cs="宋体"/>
                <w:b/>
                <w:kern w:val="0"/>
                <w:szCs w:val="21"/>
              </w:rPr>
              <w:t>备注</w:t>
            </w:r>
          </w:p>
        </w:tc>
      </w:tr>
      <w:tr>
        <w:tblPrEx>
          <w:tblCellMar>
            <w:top w:w="0" w:type="dxa"/>
            <w:left w:w="0" w:type="dxa"/>
            <w:bottom w:w="0" w:type="dxa"/>
            <w:right w:w="0" w:type="dxa"/>
          </w:tblCellMar>
        </w:tblPrEx>
        <w:trPr>
          <w:trHeight w:val="1134" w:hRule="atLeast"/>
          <w:jc w:val="center"/>
        </w:trPr>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szCs w:val="21"/>
              </w:rPr>
            </w:pPr>
            <w:r>
              <w:rPr>
                <w:kern w:val="0"/>
                <w:szCs w:val="21"/>
              </w:rPr>
              <w:t>1</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szCs w:val="21"/>
              </w:rPr>
            </w:pPr>
            <w:r>
              <w:rPr>
                <w:rFonts w:hint="eastAsia" w:ascii="宋体" w:hAnsi="宋体" w:cs="宋体"/>
                <w:szCs w:val="21"/>
              </w:rPr>
              <w:t>代建项目经理</w:t>
            </w:r>
          </w:p>
          <w:p>
            <w:pPr>
              <w:widowControl/>
              <w:jc w:val="center"/>
              <w:textAlignment w:val="bottom"/>
              <w:rPr>
                <w:rFonts w:ascii="宋体" w:hAnsi="宋体" w:cs="宋体"/>
                <w:szCs w:val="21"/>
              </w:rPr>
            </w:pPr>
            <w:r>
              <w:rPr>
                <w:rFonts w:hint="eastAsia" w:ascii="宋体" w:hAnsi="宋体" w:cs="宋体"/>
                <w:szCs w:val="21"/>
              </w:rPr>
              <w:t>（专业负责人）</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szCs w:val="21"/>
              </w:rPr>
            </w:pP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bottom"/>
              <w:rPr>
                <w:rFonts w:ascii="宋体" w:hAnsi="宋体" w:cs="宋体"/>
                <w:szCs w:val="21"/>
              </w:rPr>
            </w:pPr>
            <w:r>
              <w:rPr>
                <w:rFonts w:hint="eastAsia" w:ascii="宋体" w:hAnsi="宋体" w:cs="宋体"/>
                <w:kern w:val="0"/>
                <w:szCs w:val="21"/>
              </w:rPr>
              <w:t>姓名：</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rPr>
            </w:pPr>
          </w:p>
        </w:tc>
      </w:tr>
      <w:tr>
        <w:tblPrEx>
          <w:tblCellMar>
            <w:top w:w="0" w:type="dxa"/>
            <w:left w:w="0" w:type="dxa"/>
            <w:bottom w:w="0" w:type="dxa"/>
            <w:right w:w="0" w:type="dxa"/>
          </w:tblCellMar>
        </w:tblPrEx>
        <w:trPr>
          <w:trHeight w:val="1134" w:hRule="atLeast"/>
          <w:jc w:val="center"/>
        </w:trPr>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szCs w:val="21"/>
              </w:rPr>
            </w:pPr>
            <w:r>
              <w:rPr>
                <w:kern w:val="0"/>
                <w:szCs w:val="21"/>
              </w:rPr>
              <w:t>2</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szCs w:val="21"/>
              </w:rPr>
            </w:pPr>
            <w:r>
              <w:rPr>
                <w:rFonts w:hint="eastAsia" w:ascii="宋体" w:hAnsi="宋体" w:cs="宋体"/>
                <w:kern w:val="0"/>
                <w:szCs w:val="21"/>
              </w:rPr>
              <w:t>服务期限</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szCs w:val="21"/>
              </w:rPr>
            </w:pP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sz w:val="24"/>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日历天</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rPr>
            </w:pPr>
          </w:p>
        </w:tc>
      </w:tr>
      <w:tr>
        <w:tblPrEx>
          <w:tblCellMar>
            <w:top w:w="0" w:type="dxa"/>
            <w:left w:w="0" w:type="dxa"/>
            <w:bottom w:w="0" w:type="dxa"/>
            <w:right w:w="0" w:type="dxa"/>
          </w:tblCellMar>
        </w:tblPrEx>
        <w:trPr>
          <w:trHeight w:val="1134" w:hRule="atLeast"/>
          <w:jc w:val="center"/>
        </w:trPr>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szCs w:val="21"/>
              </w:rPr>
            </w:pPr>
            <w:r>
              <w:rPr>
                <w:kern w:val="0"/>
                <w:szCs w:val="21"/>
              </w:rPr>
              <w:t>3</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szCs w:val="21"/>
              </w:rPr>
            </w:pPr>
            <w:r>
              <w:rPr>
                <w:rFonts w:hint="eastAsia" w:ascii="宋体" w:hAnsi="宋体" w:cs="宋体"/>
                <w:kern w:val="0"/>
                <w:szCs w:val="21"/>
              </w:rPr>
              <w:t>合同价款确定方式</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szCs w:val="21"/>
              </w:rPr>
            </w:pP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19"/>
                <w:szCs w:val="19"/>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19"/>
                <w:szCs w:val="19"/>
              </w:rPr>
            </w:pPr>
          </w:p>
        </w:tc>
      </w:tr>
      <w:tr>
        <w:tblPrEx>
          <w:tblCellMar>
            <w:top w:w="0" w:type="dxa"/>
            <w:left w:w="0" w:type="dxa"/>
            <w:bottom w:w="0" w:type="dxa"/>
            <w:right w:w="0" w:type="dxa"/>
          </w:tblCellMar>
        </w:tblPrEx>
        <w:trPr>
          <w:trHeight w:val="1134" w:hRule="atLeast"/>
          <w:jc w:val="center"/>
        </w:trPr>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kern w:val="0"/>
                <w:szCs w:val="21"/>
              </w:rPr>
            </w:pPr>
            <w:r>
              <w:rPr>
                <w:rFonts w:hint="eastAsia"/>
                <w:kern w:val="0"/>
                <w:szCs w:val="21"/>
              </w:rPr>
              <w:t>4</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kern w:val="0"/>
                <w:szCs w:val="21"/>
              </w:rPr>
            </w:pPr>
            <w:r>
              <w:rPr>
                <w:rFonts w:hint="eastAsia" w:ascii="宋体" w:hAnsi="宋体" w:cs="宋体"/>
                <w:kern w:val="0"/>
                <w:szCs w:val="21"/>
              </w:rPr>
              <w:t>……</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szCs w:val="21"/>
              </w:rPr>
            </w:pP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19"/>
                <w:szCs w:val="19"/>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19"/>
                <w:szCs w:val="19"/>
              </w:rPr>
            </w:pPr>
          </w:p>
        </w:tc>
      </w:tr>
      <w:tr>
        <w:tblPrEx>
          <w:tblCellMar>
            <w:top w:w="0" w:type="dxa"/>
            <w:left w:w="0" w:type="dxa"/>
            <w:bottom w:w="0" w:type="dxa"/>
            <w:right w:w="0" w:type="dxa"/>
          </w:tblCellMar>
        </w:tblPrEx>
        <w:trPr>
          <w:trHeight w:val="1134" w:hRule="atLeast"/>
          <w:jc w:val="center"/>
        </w:trPr>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kern w:val="0"/>
                <w:szCs w:val="21"/>
              </w:rPr>
            </w:pPr>
            <w:r>
              <w:rPr>
                <w:rFonts w:hint="eastAsia"/>
                <w:kern w:val="0"/>
                <w:szCs w:val="21"/>
              </w:rPr>
              <w:t>5</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kern w:val="0"/>
                <w:szCs w:val="21"/>
              </w:rPr>
            </w:pPr>
            <w:r>
              <w:rPr>
                <w:rFonts w:hint="eastAsia" w:ascii="宋体" w:hAnsi="宋体" w:cs="宋体"/>
                <w:kern w:val="0"/>
                <w:szCs w:val="21"/>
              </w:rPr>
              <w:t>……</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szCs w:val="21"/>
              </w:rPr>
            </w:pP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19"/>
                <w:szCs w:val="19"/>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19"/>
                <w:szCs w:val="19"/>
              </w:rPr>
            </w:pPr>
          </w:p>
        </w:tc>
      </w:tr>
      <w:tr>
        <w:tblPrEx>
          <w:tblCellMar>
            <w:top w:w="0" w:type="dxa"/>
            <w:left w:w="0" w:type="dxa"/>
            <w:bottom w:w="0" w:type="dxa"/>
            <w:right w:w="0" w:type="dxa"/>
          </w:tblCellMar>
        </w:tblPrEx>
        <w:trPr>
          <w:trHeight w:val="1134" w:hRule="atLeast"/>
          <w:jc w:val="center"/>
        </w:trPr>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kern w:val="0"/>
                <w:szCs w:val="21"/>
              </w:rPr>
            </w:pPr>
            <w:r>
              <w:rPr>
                <w:rFonts w:hint="eastAsia"/>
                <w:kern w:val="0"/>
                <w:szCs w:val="21"/>
              </w:rPr>
              <w:t>6</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kern w:val="0"/>
                <w:szCs w:val="21"/>
              </w:rPr>
            </w:pPr>
            <w:r>
              <w:rPr>
                <w:rFonts w:hint="eastAsia" w:ascii="宋体" w:hAnsi="宋体" w:cs="宋体"/>
                <w:kern w:val="0"/>
                <w:szCs w:val="21"/>
              </w:rPr>
              <w:t>……</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szCs w:val="21"/>
              </w:rPr>
            </w:pP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19"/>
                <w:szCs w:val="19"/>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19"/>
                <w:szCs w:val="19"/>
              </w:rPr>
            </w:pPr>
          </w:p>
        </w:tc>
      </w:tr>
    </w:tbl>
    <w:p>
      <w:pPr>
        <w:keepNext/>
        <w:keepLines/>
        <w:spacing w:line="416" w:lineRule="auto"/>
        <w:jc w:val="center"/>
      </w:pPr>
    </w:p>
    <w:p>
      <w:pPr>
        <w:widowControl/>
        <w:jc w:val="left"/>
        <w:textAlignment w:val="bottom"/>
        <w:rPr>
          <w:rFonts w:ascii="宋体" w:hAnsi="宋体" w:cs="宋体"/>
          <w:kern w:val="0"/>
          <w:szCs w:val="21"/>
        </w:rPr>
      </w:pPr>
      <w:r>
        <w:rPr>
          <w:rFonts w:hint="eastAsia" w:ascii="宋体" w:hAnsi="宋体" w:cs="宋体"/>
          <w:kern w:val="0"/>
          <w:szCs w:val="21"/>
        </w:rPr>
        <w:t>注：各业务类型（项目管理、可行性研究报告编制、勘察、造价咨询、招标代理）需分别填写。</w:t>
      </w:r>
    </w:p>
    <w:p>
      <w:pPr>
        <w:keepNext/>
        <w:keepLines/>
        <w:spacing w:line="416" w:lineRule="auto"/>
        <w:jc w:val="center"/>
      </w:pPr>
    </w:p>
    <w:p/>
    <w:p/>
    <w:p>
      <w:pPr>
        <w:pStyle w:val="4"/>
        <w:bidi w:val="0"/>
        <w:jc w:val="center"/>
      </w:pPr>
      <w:bookmarkStart w:id="931" w:name="_Toc26897"/>
      <w:r>
        <w:t>二、法定代表人身份证明</w:t>
      </w:r>
      <w:bookmarkEnd w:id="925"/>
      <w:bookmarkEnd w:id="926"/>
      <w:bookmarkEnd w:id="927"/>
      <w:bookmarkEnd w:id="928"/>
      <w:bookmarkEnd w:id="929"/>
      <w:bookmarkEnd w:id="930"/>
      <w:bookmarkEnd w:id="931"/>
    </w:p>
    <w:p>
      <w:pPr>
        <w:spacing w:line="440" w:lineRule="exact"/>
        <w:rPr>
          <w:sz w:val="20"/>
          <w:szCs w:val="20"/>
        </w:rPr>
      </w:pPr>
    </w:p>
    <w:p>
      <w:pPr>
        <w:spacing w:line="440" w:lineRule="exact"/>
        <w:rPr>
          <w:szCs w:val="21"/>
        </w:rPr>
      </w:pPr>
    </w:p>
    <w:p>
      <w:pPr>
        <w:spacing w:line="440" w:lineRule="exact"/>
        <w:rPr>
          <w:szCs w:val="21"/>
        </w:rPr>
      </w:pPr>
      <w:r>
        <w:rPr>
          <w:szCs w:val="21"/>
        </w:rPr>
        <w:t>投标人名称：</w:t>
      </w:r>
      <w:r>
        <w:rPr>
          <w:szCs w:val="21"/>
          <w:u w:val="single"/>
        </w:rPr>
        <w:t xml:space="preserve">                            </w:t>
      </w:r>
      <w:r>
        <w:rPr>
          <w:szCs w:val="21"/>
        </w:rPr>
        <w:t xml:space="preserve"> </w:t>
      </w:r>
    </w:p>
    <w:p>
      <w:pPr>
        <w:spacing w:line="440" w:lineRule="exact"/>
        <w:rPr>
          <w:szCs w:val="21"/>
        </w:rPr>
      </w:pPr>
      <w:r>
        <w:rPr>
          <w:szCs w:val="21"/>
        </w:rPr>
        <w:t>单位性质：</w:t>
      </w:r>
      <w:r>
        <w:rPr>
          <w:szCs w:val="21"/>
          <w:u w:val="single"/>
        </w:rPr>
        <w:t xml:space="preserve">                               </w:t>
      </w:r>
      <w:r>
        <w:rPr>
          <w:szCs w:val="21"/>
        </w:rPr>
        <w:t xml:space="preserve"> </w:t>
      </w:r>
    </w:p>
    <w:p>
      <w:pPr>
        <w:spacing w:line="440" w:lineRule="exact"/>
        <w:rPr>
          <w:szCs w:val="21"/>
        </w:rPr>
      </w:pPr>
      <w:r>
        <w:rPr>
          <w:szCs w:val="21"/>
        </w:rPr>
        <w:t>地址：</w:t>
      </w:r>
      <w:r>
        <w:rPr>
          <w:szCs w:val="21"/>
          <w:u w:val="single"/>
        </w:rPr>
        <w:t xml:space="preserve">                                   </w:t>
      </w:r>
    </w:p>
    <w:p>
      <w:pPr>
        <w:spacing w:line="44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40" w:lineRule="exact"/>
        <w:rPr>
          <w:szCs w:val="21"/>
        </w:rPr>
      </w:pPr>
      <w:r>
        <w:rPr>
          <w:szCs w:val="21"/>
        </w:rPr>
        <w:t>经营期限：</w:t>
      </w:r>
      <w:r>
        <w:rPr>
          <w:szCs w:val="21"/>
          <w:u w:val="single"/>
        </w:rPr>
        <w:t xml:space="preserve">                               </w:t>
      </w:r>
    </w:p>
    <w:p>
      <w:pPr>
        <w:spacing w:line="440" w:lineRule="exact"/>
        <w:rPr>
          <w:szCs w:val="21"/>
        </w:rPr>
      </w:pPr>
      <w:r>
        <w:rPr>
          <w:szCs w:val="21"/>
        </w:rPr>
        <w:t>姓名：</w:t>
      </w:r>
      <w:r>
        <w:rPr>
          <w:szCs w:val="21"/>
          <w:u w:val="single"/>
        </w:rPr>
        <w:t xml:space="preserve">        </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szCs w:val="21"/>
          <w:u w:val="single"/>
        </w:rPr>
        <w:t xml:space="preserve">        </w:t>
      </w:r>
    </w:p>
    <w:p>
      <w:pPr>
        <w:spacing w:line="440" w:lineRule="exact"/>
        <w:rPr>
          <w:szCs w:val="21"/>
        </w:rPr>
      </w:pPr>
      <w:r>
        <w:rPr>
          <w:szCs w:val="21"/>
        </w:rPr>
        <w:t>系</w:t>
      </w:r>
      <w:r>
        <w:rPr>
          <w:szCs w:val="21"/>
          <w:u w:val="single"/>
        </w:rPr>
        <w:t xml:space="preserve">                             </w:t>
      </w:r>
      <w:r>
        <w:rPr>
          <w:szCs w:val="21"/>
        </w:rPr>
        <w:t xml:space="preserve"> </w:t>
      </w:r>
      <w:r>
        <w:rPr>
          <w:rFonts w:hint="eastAsia"/>
          <w:i/>
          <w:szCs w:val="21"/>
        </w:rPr>
        <w:t>（</w:t>
      </w:r>
      <w:r>
        <w:rPr>
          <w:i/>
          <w:szCs w:val="21"/>
        </w:rPr>
        <w:t>投标人名称</w:t>
      </w:r>
      <w:r>
        <w:rPr>
          <w:rFonts w:hint="eastAsia"/>
          <w:i/>
          <w:szCs w:val="21"/>
        </w:rPr>
        <w:t>）</w:t>
      </w:r>
      <w:r>
        <w:rPr>
          <w:szCs w:val="21"/>
        </w:rPr>
        <w:t>的法定代表人。</w:t>
      </w:r>
    </w:p>
    <w:p>
      <w:pPr>
        <w:spacing w:line="440" w:lineRule="exact"/>
        <w:ind w:firstLine="420" w:firstLineChars="200"/>
        <w:rPr>
          <w:szCs w:val="21"/>
        </w:rPr>
      </w:pPr>
      <w:r>
        <w:rPr>
          <w:szCs w:val="21"/>
        </w:rPr>
        <w:t>特此证明。</w:t>
      </w:r>
    </w:p>
    <w:p>
      <w:pPr>
        <w:spacing w:line="440" w:lineRule="exact"/>
        <w:rPr>
          <w:szCs w:val="21"/>
        </w:rPr>
      </w:pPr>
    </w:p>
    <w:p>
      <w:pPr>
        <w:spacing w:line="440" w:lineRule="exact"/>
        <w:rPr>
          <w:szCs w:val="21"/>
        </w:rPr>
      </w:pPr>
      <w:r>
        <w:rPr>
          <w:rFonts w:hint="eastAsia"/>
          <w:szCs w:val="21"/>
        </w:rPr>
        <w:t>附：法定代表人身份证复印件。</w:t>
      </w:r>
    </w:p>
    <w:p>
      <w:pPr>
        <w:spacing w:line="440" w:lineRule="exact"/>
        <w:rPr>
          <w:szCs w:val="21"/>
        </w:rPr>
      </w:pPr>
    </w:p>
    <w:p>
      <w:pPr>
        <w:spacing w:line="440" w:lineRule="exact"/>
        <w:rPr>
          <w:szCs w:val="21"/>
        </w:rPr>
      </w:pPr>
      <w:r>
        <w:rPr>
          <w:szCs w:val="21"/>
        </w:rPr>
        <w:t xml:space="preserve">                          投标人：</w:t>
      </w:r>
      <w:r>
        <w:rPr>
          <w:szCs w:val="21"/>
          <w:u w:val="single"/>
        </w:rPr>
        <w:t xml:space="preserve">                 </w:t>
      </w:r>
      <w:r>
        <w:rPr>
          <w:szCs w:val="21"/>
        </w:rPr>
        <w:t>（盖单位章）</w:t>
      </w:r>
    </w:p>
    <w:p>
      <w:pPr>
        <w:spacing w:line="440" w:lineRule="exact"/>
        <w:rPr>
          <w:szCs w:val="21"/>
        </w:rPr>
      </w:pPr>
      <w:r>
        <w:rPr>
          <w:szCs w:val="21"/>
        </w:rPr>
        <w:t xml:space="preserve">                           </w:t>
      </w:r>
    </w:p>
    <w:p>
      <w:pPr>
        <w:spacing w:line="440" w:lineRule="exact"/>
        <w:ind w:firstLine="3360" w:firstLineChars="1600"/>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 日           </w:t>
      </w:r>
    </w:p>
    <w:p>
      <w:pPr>
        <w:spacing w:line="440" w:lineRule="exact"/>
        <w:jc w:val="center"/>
        <w:rPr>
          <w:rFonts w:eastAsia="黑体"/>
          <w:sz w:val="20"/>
          <w:szCs w:val="20"/>
        </w:rPr>
      </w:pPr>
    </w:p>
    <w:p>
      <w:pPr>
        <w:rPr>
          <w:rFonts w:hint="eastAsia"/>
          <w:bCs w:val="0"/>
        </w:rPr>
      </w:pPr>
      <w:bookmarkStart w:id="932" w:name="_Toc152045792"/>
      <w:bookmarkStart w:id="933" w:name="_Toc3997918"/>
      <w:bookmarkStart w:id="934" w:name="_Toc152042581"/>
      <w:bookmarkStart w:id="935" w:name="_Toc144974861"/>
      <w:bookmarkStart w:id="936" w:name="_Toc247514284"/>
      <w:bookmarkStart w:id="937" w:name="_Toc247527832"/>
      <w:r>
        <w:rPr>
          <w:rFonts w:hint="eastAsia"/>
          <w:bCs w:val="0"/>
        </w:rPr>
        <w:br w:type="page"/>
      </w:r>
    </w:p>
    <w:p>
      <w:pPr>
        <w:pStyle w:val="4"/>
        <w:bidi w:val="0"/>
        <w:jc w:val="center"/>
        <w:rPr>
          <w:rFonts w:hint="eastAsia"/>
        </w:rPr>
      </w:pPr>
      <w:bookmarkStart w:id="938" w:name="_Toc30675"/>
    </w:p>
    <w:p>
      <w:pPr>
        <w:pStyle w:val="4"/>
        <w:bidi w:val="0"/>
        <w:jc w:val="center"/>
      </w:pPr>
      <w:r>
        <w:rPr>
          <w:rFonts w:hint="eastAsia"/>
        </w:rPr>
        <w:t>三</w:t>
      </w:r>
      <w:r>
        <w:t>、</w:t>
      </w:r>
      <w:bookmarkEnd w:id="932"/>
      <w:bookmarkEnd w:id="933"/>
      <w:bookmarkEnd w:id="934"/>
      <w:bookmarkEnd w:id="935"/>
      <w:bookmarkEnd w:id="936"/>
      <w:bookmarkEnd w:id="937"/>
      <w:r>
        <w:rPr>
          <w:rFonts w:hint="eastAsia"/>
        </w:rPr>
        <w:t>法定代表人授权委托书</w:t>
      </w:r>
      <w:bookmarkEnd w:id="938"/>
    </w:p>
    <w:p>
      <w:pPr>
        <w:spacing w:line="440" w:lineRule="exact"/>
        <w:rPr>
          <w:rFonts w:eastAsia="黑体"/>
          <w:szCs w:val="21"/>
        </w:rPr>
      </w:pPr>
    </w:p>
    <w:p>
      <w:pPr>
        <w:topLinePunct/>
        <w:spacing w:line="440" w:lineRule="exact"/>
        <w:ind w:firstLine="420" w:firstLineChars="200"/>
        <w:rPr>
          <w:szCs w:val="21"/>
        </w:rPr>
      </w:pPr>
      <w:r>
        <w:rPr>
          <w:rFonts w:hint="eastAsia"/>
          <w:szCs w:val="21"/>
        </w:rPr>
        <w:t>本授权委托书声明：本人</w:t>
      </w:r>
      <w:r>
        <w:rPr>
          <w:rFonts w:hint="eastAsia"/>
          <w:szCs w:val="21"/>
          <w:u w:val="single"/>
        </w:rPr>
        <w:t xml:space="preserve">     </w:t>
      </w:r>
      <w:r>
        <w:rPr>
          <w:rFonts w:hint="eastAsia"/>
          <w:i/>
          <w:szCs w:val="21"/>
        </w:rPr>
        <w:t>（姓名）</w:t>
      </w:r>
      <w:r>
        <w:rPr>
          <w:rFonts w:hint="eastAsia"/>
          <w:szCs w:val="21"/>
        </w:rPr>
        <w:t xml:space="preserve">系 </w:t>
      </w:r>
      <w:r>
        <w:rPr>
          <w:rFonts w:hint="eastAsia"/>
          <w:szCs w:val="21"/>
          <w:u w:val="single"/>
        </w:rPr>
        <w:t xml:space="preserve">           </w:t>
      </w:r>
      <w:r>
        <w:rPr>
          <w:rFonts w:hint="eastAsia"/>
          <w:i/>
          <w:szCs w:val="21"/>
          <w:u w:val="single"/>
        </w:rPr>
        <w:t>（投标人名称）</w:t>
      </w:r>
      <w:r>
        <w:rPr>
          <w:rFonts w:hint="eastAsia"/>
          <w:szCs w:val="21"/>
        </w:rPr>
        <w:t>法定代表人，现授权委托</w:t>
      </w:r>
      <w:r>
        <w:rPr>
          <w:rFonts w:hint="eastAsia"/>
          <w:szCs w:val="21"/>
          <w:u w:val="single"/>
        </w:rPr>
        <w:t xml:space="preserve">          </w:t>
      </w:r>
      <w:r>
        <w:rPr>
          <w:rFonts w:hint="eastAsia"/>
          <w:i/>
          <w:szCs w:val="21"/>
        </w:rPr>
        <w:t>（姓名）</w:t>
      </w:r>
      <w:r>
        <w:rPr>
          <w:rFonts w:hint="eastAsia"/>
          <w:szCs w:val="21"/>
        </w:rPr>
        <w:t>为我单位（或联合体）代理人，</w:t>
      </w:r>
      <w:r>
        <w:rPr>
          <w:szCs w:val="21"/>
        </w:rPr>
        <w:t>代理人根据授权，</w:t>
      </w:r>
      <w:r>
        <w:rPr>
          <w:rFonts w:hint="eastAsia"/>
          <w:szCs w:val="21"/>
        </w:rPr>
        <w:t>以本单位（或联合体）名义</w:t>
      </w:r>
      <w:r>
        <w:rPr>
          <w:szCs w:val="21"/>
        </w:rPr>
        <w:t>签署、澄清</w:t>
      </w:r>
      <w:r>
        <w:rPr>
          <w:rFonts w:hint="eastAsia"/>
          <w:szCs w:val="21"/>
        </w:rPr>
        <w:t>、说明、补正</w:t>
      </w:r>
      <w:r>
        <w:rPr>
          <w:szCs w:val="21"/>
        </w:rPr>
        <w:t>、递交、撤回、修改</w:t>
      </w:r>
      <w:r>
        <w:rPr>
          <w:rFonts w:hint="eastAsia"/>
          <w:i/>
          <w:szCs w:val="21"/>
          <w:u w:val="single"/>
        </w:rPr>
        <w:t>（项目名称）</w:t>
      </w:r>
      <w:r>
        <w:rPr>
          <w:rFonts w:hint="eastAsia"/>
          <w:szCs w:val="21"/>
        </w:rPr>
        <w:t>代建服务招标的投标文件、签订合同和处理的与之有关的一切事务，其法律后果由我方承担。</w:t>
      </w:r>
    </w:p>
    <w:p>
      <w:pPr>
        <w:spacing w:line="440" w:lineRule="exact"/>
        <w:rPr>
          <w:szCs w:val="21"/>
        </w:rPr>
      </w:pPr>
      <w:r>
        <w:rPr>
          <w:szCs w:val="21"/>
        </w:rPr>
        <w:t xml:space="preserve">    委托期限：</w:t>
      </w:r>
      <w:r>
        <w:rPr>
          <w:szCs w:val="21"/>
          <w:u w:val="single"/>
        </w:rPr>
        <w:t xml:space="preserve">  </w:t>
      </w:r>
      <w:r>
        <w:rPr>
          <w:rFonts w:hint="eastAsia"/>
          <w:szCs w:val="21"/>
          <w:u w:val="single"/>
        </w:rPr>
        <w:t>自开标之日起90日历天</w:t>
      </w:r>
      <w:r>
        <w:rPr>
          <w:szCs w:val="21"/>
          <w:u w:val="single"/>
        </w:rPr>
        <w:t xml:space="preserve">  </w:t>
      </w:r>
      <w:r>
        <w:rPr>
          <w:rFonts w:hint="eastAsia"/>
          <w:szCs w:val="21"/>
        </w:rPr>
        <w:t xml:space="preserve">。  </w:t>
      </w:r>
    </w:p>
    <w:p>
      <w:pPr>
        <w:topLinePunct/>
        <w:spacing w:line="440" w:lineRule="exact"/>
        <w:ind w:firstLine="420" w:firstLineChars="200"/>
        <w:rPr>
          <w:szCs w:val="21"/>
        </w:rPr>
      </w:pPr>
      <w:r>
        <w:rPr>
          <w:rFonts w:hint="eastAsia"/>
          <w:szCs w:val="21"/>
        </w:rPr>
        <w:t>代理人无转委托权。</w:t>
      </w:r>
    </w:p>
    <w:p>
      <w:pPr>
        <w:topLinePunct/>
        <w:spacing w:line="440" w:lineRule="exact"/>
        <w:ind w:firstLine="420" w:firstLineChars="200"/>
        <w:rPr>
          <w:szCs w:val="21"/>
        </w:rPr>
      </w:pPr>
      <w:r>
        <w:rPr>
          <w:rFonts w:hint="eastAsia"/>
          <w:szCs w:val="21"/>
        </w:rPr>
        <w:t xml:space="preserve">特此委托。            </w:t>
      </w:r>
    </w:p>
    <w:p>
      <w:pPr>
        <w:topLinePunct/>
        <w:spacing w:line="440" w:lineRule="exact"/>
        <w:ind w:firstLine="420" w:firstLineChars="200"/>
        <w:rPr>
          <w:szCs w:val="21"/>
        </w:rPr>
      </w:pPr>
    </w:p>
    <w:p>
      <w:pPr>
        <w:topLinePunct/>
        <w:spacing w:line="440" w:lineRule="exact"/>
        <w:ind w:firstLine="420" w:firstLineChars="200"/>
        <w:rPr>
          <w:szCs w:val="21"/>
          <w:u w:val="single"/>
        </w:rPr>
      </w:pPr>
      <w:r>
        <w:rPr>
          <w:rFonts w:hint="eastAsia"/>
          <w:szCs w:val="21"/>
        </w:rPr>
        <w:t xml:space="preserve">     代理人姓名：</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 xml:space="preserve">  身份证号： </w:t>
      </w:r>
      <w:r>
        <w:rPr>
          <w:rFonts w:hint="eastAsia"/>
          <w:szCs w:val="21"/>
          <w:u w:val="single"/>
        </w:rPr>
        <w:t xml:space="preserve">            </w:t>
      </w:r>
    </w:p>
    <w:p>
      <w:pPr>
        <w:topLinePunct/>
        <w:spacing w:line="440" w:lineRule="exact"/>
        <w:ind w:firstLine="420" w:firstLineChars="200"/>
        <w:rPr>
          <w:szCs w:val="21"/>
          <w:u w:val="single"/>
        </w:rPr>
      </w:pPr>
      <w:r>
        <w:rPr>
          <w:rFonts w:hint="eastAsia"/>
          <w:szCs w:val="21"/>
        </w:rPr>
        <w:t xml:space="preserve">     委托人姓名：</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 xml:space="preserve">  身份证号： </w:t>
      </w:r>
      <w:r>
        <w:rPr>
          <w:rFonts w:hint="eastAsia"/>
          <w:szCs w:val="21"/>
          <w:u w:val="single"/>
        </w:rPr>
        <w:t xml:space="preserve">            </w:t>
      </w:r>
    </w:p>
    <w:p>
      <w:pPr>
        <w:topLinePunct/>
        <w:spacing w:line="440" w:lineRule="exact"/>
        <w:ind w:firstLine="420" w:firstLineChars="200"/>
        <w:rPr>
          <w:szCs w:val="21"/>
        </w:rPr>
      </w:pPr>
      <w:r>
        <w:rPr>
          <w:rFonts w:hint="eastAsia"/>
          <w:szCs w:val="21"/>
        </w:rPr>
        <w:t xml:space="preserve">          </w:t>
      </w:r>
    </w:p>
    <w:p>
      <w:pPr>
        <w:topLinePunct/>
        <w:spacing w:line="440" w:lineRule="exact"/>
        <w:ind w:firstLine="420" w:firstLineChars="200"/>
        <w:rPr>
          <w:rFonts w:ascii="Calibri"/>
          <w:szCs w:val="21"/>
        </w:rPr>
      </w:pPr>
    </w:p>
    <w:p>
      <w:pPr>
        <w:rPr>
          <w:rFonts w:ascii="Calibri" w:hAnsi="仿宋" w:eastAsia="仿宋" w:cs="仿宋"/>
          <w:sz w:val="24"/>
        </w:rPr>
      </w:pPr>
    </w:p>
    <w:p>
      <w:pPr>
        <w:rPr>
          <w:rFonts w:ascii="Calibri" w:hAnsi="Calibri" w:eastAsia="仿宋" w:cs="Calibri"/>
          <w:sz w:val="24"/>
        </w:rPr>
      </w:pPr>
    </w:p>
    <w:p>
      <w:pPr>
        <w:topLinePunct/>
        <w:spacing w:line="440" w:lineRule="exact"/>
        <w:ind w:firstLine="480" w:firstLineChars="200"/>
        <w:rPr>
          <w:szCs w:val="21"/>
        </w:rPr>
      </w:pPr>
      <w:r>
        <w:rPr>
          <w:rFonts w:ascii="Calibri" w:hAnsi="Calibri" w:eastAsia="仿宋" w:cs="Calibri"/>
          <w:sz w:val="24"/>
        </w:rPr>
        <w:t xml:space="preserve">                        </w:t>
      </w:r>
      <w:r>
        <w:rPr>
          <w:szCs w:val="21"/>
        </w:rPr>
        <w:t>投标人（或联合体牵头人）：</w:t>
      </w:r>
      <w:r>
        <w:rPr>
          <w:szCs w:val="21"/>
          <w:u w:val="single"/>
        </w:rPr>
        <w:t xml:space="preserve">（盖章）  </w:t>
      </w:r>
      <w:r>
        <w:rPr>
          <w:szCs w:val="21"/>
        </w:rPr>
        <w:t xml:space="preserve"> </w:t>
      </w:r>
    </w:p>
    <w:p>
      <w:pPr>
        <w:topLinePunct/>
        <w:spacing w:line="440" w:lineRule="exact"/>
        <w:ind w:firstLine="420" w:firstLineChars="200"/>
        <w:rPr>
          <w:szCs w:val="21"/>
        </w:rPr>
      </w:pPr>
    </w:p>
    <w:p>
      <w:pPr>
        <w:topLinePunct/>
        <w:spacing w:line="440" w:lineRule="exact"/>
        <w:ind w:firstLine="420" w:firstLineChars="200"/>
        <w:rPr>
          <w:szCs w:val="21"/>
        </w:rPr>
      </w:pPr>
      <w:r>
        <w:rPr>
          <w:szCs w:val="21"/>
        </w:rPr>
        <w:t xml:space="preserve">                  投标人（或联合体牵头人）法定代表人： </w:t>
      </w:r>
      <w:r>
        <w:rPr>
          <w:szCs w:val="21"/>
          <w:u w:val="single"/>
        </w:rPr>
        <w:t xml:space="preserve">   （签字或盖章）  </w:t>
      </w:r>
      <w:r>
        <w:rPr>
          <w:szCs w:val="21"/>
        </w:rPr>
        <w:t xml:space="preserve"> </w:t>
      </w:r>
    </w:p>
    <w:p>
      <w:pPr>
        <w:topLinePunct/>
        <w:spacing w:line="440" w:lineRule="exact"/>
        <w:ind w:firstLine="420" w:firstLineChars="200"/>
        <w:rPr>
          <w:szCs w:val="21"/>
        </w:rPr>
      </w:pPr>
    </w:p>
    <w:p>
      <w:pPr>
        <w:topLinePunct/>
        <w:spacing w:line="440" w:lineRule="exact"/>
        <w:ind w:firstLine="420" w:firstLineChars="200"/>
        <w:rPr>
          <w:szCs w:val="21"/>
        </w:rPr>
      </w:pPr>
      <w:r>
        <w:rPr>
          <w:szCs w:val="21"/>
        </w:rPr>
        <w:t xml:space="preserve">                                   </w:t>
      </w:r>
      <w:r>
        <w:rPr>
          <w:rFonts w:hint="eastAsia"/>
          <w:szCs w:val="21"/>
          <w:lang w:val="en-US" w:eastAsia="zh-CN"/>
        </w:rPr>
        <w:t xml:space="preserve">              </w:t>
      </w:r>
      <w:r>
        <w:rPr>
          <w:szCs w:val="21"/>
        </w:rPr>
        <w:t xml:space="preserve">   年       月      日</w:t>
      </w:r>
    </w:p>
    <w:p>
      <w:pPr>
        <w:topLinePunct/>
        <w:spacing w:line="440" w:lineRule="exact"/>
        <w:ind w:firstLine="420" w:firstLineChars="200"/>
        <w:rPr>
          <w:szCs w:val="21"/>
        </w:rPr>
      </w:pPr>
    </w:p>
    <w:p>
      <w:pPr>
        <w:topLinePunct/>
        <w:spacing w:line="440" w:lineRule="exact"/>
        <w:ind w:firstLine="420" w:firstLineChars="200"/>
        <w:rPr>
          <w:szCs w:val="21"/>
        </w:rPr>
      </w:pPr>
      <w:r>
        <w:rPr>
          <w:szCs w:val="21"/>
        </w:rPr>
        <w:t>附：法定代表人身份证复印件</w:t>
      </w:r>
    </w:p>
    <w:p>
      <w:pPr>
        <w:topLinePunct/>
        <w:spacing w:line="440" w:lineRule="exact"/>
        <w:ind w:firstLine="420" w:firstLineChars="200"/>
        <w:rPr>
          <w:szCs w:val="21"/>
        </w:rPr>
      </w:pPr>
      <w:r>
        <w:rPr>
          <w:szCs w:val="21"/>
        </w:rPr>
        <w:t xml:space="preserve">     代理人身份证复印件</w:t>
      </w:r>
    </w:p>
    <w:p>
      <w:pPr>
        <w:topLinePunct/>
        <w:spacing w:line="440" w:lineRule="exact"/>
        <w:ind w:firstLine="420" w:firstLineChars="200"/>
        <w:rPr>
          <w:szCs w:val="21"/>
        </w:rPr>
      </w:pPr>
    </w:p>
    <w:p>
      <w:pPr>
        <w:topLinePunct/>
        <w:spacing w:line="440" w:lineRule="exact"/>
        <w:ind w:firstLine="420" w:firstLineChars="200"/>
        <w:rPr>
          <w:szCs w:val="21"/>
        </w:rPr>
      </w:pPr>
    </w:p>
    <w:p>
      <w:pPr>
        <w:pStyle w:val="2"/>
        <w:outlineLvl w:val="9"/>
        <w:rPr>
          <w:szCs w:val="21"/>
        </w:rPr>
      </w:pPr>
    </w:p>
    <w:p>
      <w:pPr>
        <w:pStyle w:val="2"/>
        <w:outlineLvl w:val="9"/>
        <w:rPr>
          <w:szCs w:val="21"/>
        </w:rPr>
      </w:pPr>
    </w:p>
    <w:p>
      <w:pPr>
        <w:pStyle w:val="4"/>
        <w:bidi w:val="0"/>
        <w:jc w:val="center"/>
        <w:rPr>
          <w:rFonts w:hint="eastAsia"/>
        </w:rPr>
      </w:pPr>
      <w:bookmarkStart w:id="939" w:name="_Toc152045794"/>
      <w:bookmarkStart w:id="940" w:name="_Toc3997919"/>
      <w:bookmarkStart w:id="941" w:name="_Toc247527834"/>
      <w:bookmarkStart w:id="942" w:name="_Toc152042583"/>
      <w:bookmarkStart w:id="943" w:name="_Toc247514286"/>
      <w:bookmarkStart w:id="944" w:name="_Toc144974862"/>
      <w:bookmarkStart w:id="945" w:name="_Toc14525"/>
      <w:r>
        <w:rPr>
          <w:rFonts w:hint="eastAsia"/>
        </w:rPr>
        <w:t>四、投标保证金</w:t>
      </w:r>
      <w:bookmarkEnd w:id="939"/>
      <w:bookmarkEnd w:id="940"/>
      <w:bookmarkEnd w:id="941"/>
      <w:bookmarkEnd w:id="942"/>
      <w:bookmarkEnd w:id="943"/>
      <w:bookmarkEnd w:id="944"/>
      <w:bookmarkEnd w:id="945"/>
    </w:p>
    <w:p>
      <w:pPr>
        <w:jc w:val="left"/>
      </w:pPr>
      <w:r>
        <w:rPr>
          <w:rFonts w:hint="eastAsia"/>
        </w:rPr>
        <w:t>附：缴纳保证金</w:t>
      </w:r>
      <w:r>
        <w:rPr>
          <w:rFonts w:hint="eastAsia" w:ascii="宋体" w:hAnsi="宋体"/>
          <w:szCs w:val="21"/>
        </w:rPr>
        <w:t>回执单及开户许可证加盖公章的复印件。</w:t>
      </w:r>
    </w:p>
    <w:p>
      <w:pPr>
        <w:pStyle w:val="4"/>
        <w:bidi w:val="0"/>
        <w:jc w:val="center"/>
        <w:rPr>
          <w:rFonts w:hint="eastAsia"/>
        </w:rPr>
      </w:pPr>
      <w:bookmarkStart w:id="946" w:name="_Toc152042584"/>
      <w:bookmarkStart w:id="947" w:name="_Toc247527835"/>
      <w:bookmarkStart w:id="948" w:name="_Toc247514287"/>
      <w:bookmarkStart w:id="949" w:name="_Toc152045795"/>
      <w:bookmarkStart w:id="950" w:name="_Toc144974863"/>
      <w:bookmarkStart w:id="951" w:name="_Toc3997920"/>
      <w:bookmarkStart w:id="952" w:name="_Toc12195"/>
      <w:r>
        <w:rPr>
          <w:rFonts w:hint="eastAsia"/>
        </w:rPr>
        <w:t>五、</w:t>
      </w:r>
      <w:bookmarkEnd w:id="946"/>
      <w:bookmarkEnd w:id="947"/>
      <w:bookmarkEnd w:id="948"/>
      <w:bookmarkEnd w:id="949"/>
      <w:bookmarkEnd w:id="950"/>
      <w:bookmarkEnd w:id="951"/>
      <w:r>
        <w:rPr>
          <w:rFonts w:hint="eastAsia"/>
        </w:rPr>
        <w:t>投标报价（下浮率）书</w:t>
      </w:r>
      <w:bookmarkEnd w:id="952"/>
    </w:p>
    <w:p>
      <w:pPr>
        <w:spacing w:line="416" w:lineRule="auto"/>
      </w:pPr>
      <w:bookmarkStart w:id="953" w:name="_Toc3997921"/>
      <w:r>
        <w:rPr>
          <w:rFonts w:hint="eastAsia"/>
        </w:rPr>
        <w:t>（一）投标报价（</w:t>
      </w:r>
      <w:r>
        <w:rPr>
          <w:rFonts w:hint="eastAsia"/>
          <w:szCs w:val="21"/>
        </w:rPr>
        <w:t>下浮率</w:t>
      </w:r>
      <w:r>
        <w:rPr>
          <w:rFonts w:hint="eastAsia"/>
        </w:rPr>
        <w:t>）书说明</w:t>
      </w:r>
      <w:bookmarkEnd w:id="953"/>
    </w:p>
    <w:p>
      <w:pPr>
        <w:spacing w:line="440" w:lineRule="exact"/>
        <w:ind w:firstLine="420" w:firstLineChars="200"/>
        <w:rPr>
          <w:szCs w:val="21"/>
        </w:rPr>
      </w:pPr>
      <w:r>
        <w:rPr>
          <w:rFonts w:hint="eastAsia"/>
          <w:szCs w:val="21"/>
        </w:rPr>
        <w:t>1.</w:t>
      </w:r>
      <w:r>
        <w:rPr>
          <w:szCs w:val="21"/>
        </w:rPr>
        <w:t>1</w:t>
      </w:r>
      <w:r>
        <w:rPr>
          <w:rFonts w:hint="eastAsia"/>
        </w:rPr>
        <w:t>投标报价（</w:t>
      </w:r>
      <w:r>
        <w:rPr>
          <w:rFonts w:hint="eastAsia"/>
          <w:szCs w:val="21"/>
        </w:rPr>
        <w:t>下浮率</w:t>
      </w:r>
      <w:r>
        <w:rPr>
          <w:rFonts w:hint="eastAsia"/>
        </w:rPr>
        <w:t>）书</w:t>
      </w:r>
      <w:r>
        <w:rPr>
          <w:rFonts w:hint="eastAsia"/>
          <w:szCs w:val="21"/>
        </w:rPr>
        <w:t>列出的任何数量，不视为要求承包人实施的实际或准确的服务内容。在</w:t>
      </w:r>
      <w:r>
        <w:rPr>
          <w:rFonts w:hint="eastAsia"/>
        </w:rPr>
        <w:t>投标报价（下浮率）书</w:t>
      </w:r>
      <w:r>
        <w:rPr>
          <w:rFonts w:hint="eastAsia"/>
          <w:szCs w:val="21"/>
        </w:rPr>
        <w:t>中列出的任何服务内容和价格数据应仅限用于合同约定的变更和支付的参考资料，而不能用于其他目的。</w:t>
      </w:r>
    </w:p>
    <w:p>
      <w:pPr>
        <w:spacing w:line="440" w:lineRule="exact"/>
        <w:ind w:firstLine="420" w:firstLineChars="200"/>
        <w:rPr>
          <w:szCs w:val="21"/>
        </w:rPr>
      </w:pPr>
      <w:r>
        <w:rPr>
          <w:rFonts w:hint="eastAsia"/>
          <w:szCs w:val="21"/>
        </w:rPr>
        <w:t>1.</w:t>
      </w:r>
      <w:r>
        <w:rPr>
          <w:szCs w:val="21"/>
        </w:rPr>
        <w:t>2</w:t>
      </w:r>
      <w:r>
        <w:rPr>
          <w:rFonts w:hint="eastAsia"/>
          <w:szCs w:val="21"/>
        </w:rPr>
        <w:t>本</w:t>
      </w:r>
      <w:r>
        <w:rPr>
          <w:rFonts w:hint="eastAsia"/>
        </w:rPr>
        <w:t>投标报价（下浮率）书</w:t>
      </w:r>
      <w:r>
        <w:rPr>
          <w:rFonts w:hint="eastAsia"/>
          <w:szCs w:val="21"/>
        </w:rPr>
        <w:t>应与</w:t>
      </w:r>
      <w:r>
        <w:rPr>
          <w:szCs w:val="21"/>
        </w:rPr>
        <w:t>招标文件中投标人须知、</w:t>
      </w:r>
      <w:r>
        <w:rPr>
          <w:rFonts w:hint="eastAsia"/>
          <w:szCs w:val="21"/>
        </w:rPr>
        <w:t>专用</w:t>
      </w:r>
      <w:r>
        <w:rPr>
          <w:szCs w:val="21"/>
        </w:rPr>
        <w:t>合同条款、</w:t>
      </w:r>
      <w:r>
        <w:rPr>
          <w:rFonts w:hint="eastAsia"/>
          <w:szCs w:val="21"/>
        </w:rPr>
        <w:t>通用合同条款、发包人要求等一起阅读和理解。</w:t>
      </w:r>
    </w:p>
    <w:p>
      <w:pPr>
        <w:spacing w:line="440" w:lineRule="exact"/>
        <w:ind w:firstLine="420" w:firstLineChars="200"/>
        <w:rPr>
          <w:szCs w:val="21"/>
        </w:rPr>
      </w:pPr>
      <w:r>
        <w:rPr>
          <w:rFonts w:hint="eastAsia"/>
          <w:szCs w:val="21"/>
        </w:rPr>
        <w:t>1.3项目管理报价</w:t>
      </w:r>
      <w:r>
        <w:rPr>
          <w:rFonts w:hint="eastAsia"/>
        </w:rPr>
        <w:t>（下浮率）</w:t>
      </w:r>
      <w:r>
        <w:rPr>
          <w:rFonts w:hint="eastAsia"/>
          <w:szCs w:val="21"/>
        </w:rPr>
        <w:t>的说明：</w:t>
      </w:r>
      <w:r>
        <w:rPr>
          <w:rFonts w:hint="eastAsia"/>
          <w:szCs w:val="21"/>
          <w:u w:val="single"/>
        </w:rPr>
        <w:t xml:space="preserve">                                    </w:t>
      </w:r>
      <w:r>
        <w:rPr>
          <w:rFonts w:hint="eastAsia"/>
          <w:szCs w:val="21"/>
        </w:rPr>
        <w:t>。</w:t>
      </w:r>
    </w:p>
    <w:p>
      <w:pPr>
        <w:spacing w:line="440" w:lineRule="exact"/>
        <w:ind w:firstLine="420" w:firstLineChars="200"/>
        <w:rPr>
          <w:szCs w:val="21"/>
        </w:rPr>
      </w:pPr>
      <w:r>
        <w:rPr>
          <w:rFonts w:hint="eastAsia"/>
          <w:szCs w:val="21"/>
        </w:rPr>
        <w:t>1.4可行性研究报告编制报价</w:t>
      </w:r>
      <w:r>
        <w:rPr>
          <w:rFonts w:hint="eastAsia"/>
        </w:rPr>
        <w:t>（下浮率）</w:t>
      </w:r>
      <w:r>
        <w:rPr>
          <w:rFonts w:hint="eastAsia"/>
          <w:szCs w:val="21"/>
        </w:rPr>
        <w:t>的说明：</w:t>
      </w:r>
      <w:r>
        <w:rPr>
          <w:rFonts w:hint="eastAsia"/>
          <w:szCs w:val="21"/>
          <w:u w:val="single"/>
        </w:rPr>
        <w:t xml:space="preserve">                          </w:t>
      </w:r>
      <w:r>
        <w:rPr>
          <w:rFonts w:hint="eastAsia"/>
          <w:szCs w:val="21"/>
        </w:rPr>
        <w:t>。</w:t>
      </w:r>
    </w:p>
    <w:p>
      <w:pPr>
        <w:spacing w:line="440" w:lineRule="exact"/>
        <w:ind w:firstLine="420" w:firstLineChars="200"/>
        <w:rPr>
          <w:szCs w:val="21"/>
        </w:rPr>
      </w:pPr>
      <w:r>
        <w:rPr>
          <w:rFonts w:hint="eastAsia"/>
          <w:szCs w:val="21"/>
        </w:rPr>
        <w:t>1.5勘察报价</w:t>
      </w:r>
      <w:r>
        <w:rPr>
          <w:rFonts w:hint="eastAsia"/>
        </w:rPr>
        <w:t>（下浮率）</w:t>
      </w:r>
      <w:r>
        <w:rPr>
          <w:rFonts w:hint="eastAsia"/>
          <w:szCs w:val="21"/>
        </w:rPr>
        <w:t>的说明：</w:t>
      </w:r>
      <w:r>
        <w:rPr>
          <w:rFonts w:hint="eastAsia"/>
          <w:szCs w:val="21"/>
          <w:u w:val="single"/>
        </w:rPr>
        <w:t xml:space="preserve">                                        </w:t>
      </w:r>
      <w:r>
        <w:rPr>
          <w:rFonts w:hint="eastAsia"/>
          <w:szCs w:val="21"/>
        </w:rPr>
        <w:t>。</w:t>
      </w:r>
    </w:p>
    <w:p>
      <w:pPr>
        <w:spacing w:line="440" w:lineRule="exact"/>
        <w:ind w:firstLine="420" w:firstLineChars="200"/>
        <w:rPr>
          <w:szCs w:val="21"/>
        </w:rPr>
      </w:pPr>
      <w:r>
        <w:rPr>
          <w:rFonts w:hint="eastAsia"/>
          <w:szCs w:val="21"/>
        </w:rPr>
        <w:t>1.6造价咨询报价</w:t>
      </w:r>
      <w:r>
        <w:rPr>
          <w:rFonts w:hint="eastAsia"/>
        </w:rPr>
        <w:t>（下浮率）</w:t>
      </w:r>
      <w:r>
        <w:rPr>
          <w:rFonts w:hint="eastAsia"/>
          <w:szCs w:val="21"/>
        </w:rPr>
        <w:t>的说明：</w:t>
      </w:r>
      <w:r>
        <w:rPr>
          <w:rFonts w:hint="eastAsia"/>
          <w:szCs w:val="21"/>
          <w:u w:val="single"/>
        </w:rPr>
        <w:t xml:space="preserve">                                    </w:t>
      </w:r>
      <w:r>
        <w:rPr>
          <w:rFonts w:hint="eastAsia"/>
          <w:szCs w:val="21"/>
        </w:rPr>
        <w:t>。</w:t>
      </w:r>
    </w:p>
    <w:p>
      <w:pPr>
        <w:spacing w:line="440" w:lineRule="exact"/>
        <w:ind w:firstLine="420" w:firstLineChars="200"/>
        <w:rPr>
          <w:szCs w:val="21"/>
        </w:rPr>
      </w:pPr>
      <w:r>
        <w:rPr>
          <w:rFonts w:hint="eastAsia"/>
          <w:szCs w:val="21"/>
        </w:rPr>
        <w:t>1.7招标代理报价</w:t>
      </w:r>
      <w:r>
        <w:rPr>
          <w:rFonts w:hint="eastAsia"/>
        </w:rPr>
        <w:t>（下浮率）</w:t>
      </w:r>
      <w:r>
        <w:rPr>
          <w:rFonts w:hint="eastAsia"/>
          <w:szCs w:val="21"/>
        </w:rPr>
        <w:t>的说明：</w:t>
      </w:r>
      <w:r>
        <w:rPr>
          <w:rFonts w:hint="eastAsia"/>
          <w:szCs w:val="21"/>
          <w:u w:val="single"/>
        </w:rPr>
        <w:t xml:space="preserve">                                    </w:t>
      </w:r>
      <w:r>
        <w:rPr>
          <w:rFonts w:hint="eastAsia"/>
          <w:szCs w:val="21"/>
        </w:rPr>
        <w:t>。</w:t>
      </w:r>
    </w:p>
    <w:p>
      <w:pPr>
        <w:pStyle w:val="7"/>
      </w:pPr>
    </w:p>
    <w:p>
      <w:pPr>
        <w:pStyle w:val="7"/>
        <w:ind w:firstLine="422" w:firstLineChars="200"/>
        <w:rPr>
          <w:rFonts w:ascii="Times New Roman" w:hAnsi="Times New Roman"/>
          <w:b/>
          <w:bCs/>
          <w:sz w:val="21"/>
          <w:szCs w:val="21"/>
        </w:rPr>
      </w:pPr>
      <w:r>
        <w:rPr>
          <w:rFonts w:hint="eastAsia" w:ascii="Times New Roman" w:hAnsi="Times New Roman"/>
          <w:b/>
          <w:bCs/>
          <w:sz w:val="21"/>
          <w:szCs w:val="21"/>
        </w:rPr>
        <w:t xml:space="preserve"> 报价说明内容包含但不限于：报价（下浮率）内容、服务内容。</w:t>
      </w:r>
    </w:p>
    <w:p>
      <w:pPr>
        <w:spacing w:line="440" w:lineRule="exact"/>
        <w:ind w:firstLine="420" w:firstLineChars="200"/>
        <w:rPr>
          <w:szCs w:val="21"/>
        </w:rPr>
      </w:pPr>
    </w:p>
    <w:p>
      <w:bookmarkStart w:id="954" w:name="_Toc3997922"/>
      <w:r>
        <w:br w:type="page"/>
      </w:r>
    </w:p>
    <w:p>
      <w:pPr>
        <w:spacing w:line="416" w:lineRule="auto"/>
      </w:pPr>
      <w:r>
        <w:rPr>
          <w:rFonts w:hint="eastAsia"/>
        </w:rPr>
        <w:t>（二）</w:t>
      </w:r>
      <w:bookmarkEnd w:id="954"/>
      <w:r>
        <w:rPr>
          <w:rFonts w:hint="eastAsia"/>
        </w:rPr>
        <w:t>投标报价（下浮率）书</w:t>
      </w:r>
    </w:p>
    <w:p>
      <w:pPr>
        <w:ind w:firstLine="420" w:firstLineChars="200"/>
        <w:rPr>
          <w:szCs w:val="21"/>
        </w:rPr>
      </w:pPr>
      <w:r>
        <w:rPr>
          <w:rFonts w:hint="eastAsia"/>
        </w:rPr>
        <w:t>2.1</w:t>
      </w:r>
      <w:r>
        <w:rPr>
          <w:rFonts w:hint="eastAsia"/>
          <w:szCs w:val="21"/>
        </w:rPr>
        <w:t>项目管理报价</w:t>
      </w:r>
      <w:r>
        <w:rPr>
          <w:rFonts w:hint="eastAsia"/>
        </w:rPr>
        <w:t>（下浮率）</w:t>
      </w:r>
      <w:r>
        <w:rPr>
          <w:rFonts w:hint="eastAsia"/>
          <w:szCs w:val="21"/>
        </w:rPr>
        <w:t>清单</w:t>
      </w:r>
    </w:p>
    <w:p>
      <w:pPr>
        <w:pStyle w:val="2"/>
        <w:outlineLvl w:val="9"/>
      </w:pPr>
    </w:p>
    <w:tbl>
      <w:tblPr>
        <w:tblStyle w:val="22"/>
        <w:tblW w:w="8522" w:type="dxa"/>
        <w:jc w:val="center"/>
        <w:tblLayout w:type="fixed"/>
        <w:tblCellMar>
          <w:top w:w="0" w:type="dxa"/>
          <w:left w:w="108" w:type="dxa"/>
          <w:bottom w:w="0" w:type="dxa"/>
          <w:right w:w="108" w:type="dxa"/>
        </w:tblCellMar>
      </w:tblPr>
      <w:tblGrid>
        <w:gridCol w:w="916"/>
        <w:gridCol w:w="2430"/>
        <w:gridCol w:w="1140"/>
        <w:gridCol w:w="2132"/>
        <w:gridCol w:w="1904"/>
      </w:tblGrid>
      <w:tr>
        <w:tblPrEx>
          <w:tblCellMar>
            <w:top w:w="0" w:type="dxa"/>
            <w:left w:w="108" w:type="dxa"/>
            <w:bottom w:w="0" w:type="dxa"/>
            <w:right w:w="108" w:type="dxa"/>
          </w:tblCellMar>
        </w:tblPrEx>
        <w:trPr>
          <w:trHeight w:val="1701"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序号</w:t>
            </w: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 xml:space="preserve">项目名称 </w:t>
            </w: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工作内容</w:t>
            </w:r>
          </w:p>
        </w:tc>
        <w:tc>
          <w:tcPr>
            <w:tcW w:w="2132"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下浮率</w:t>
            </w:r>
            <w:r>
              <w:rPr>
                <w:kern w:val="0"/>
                <w:szCs w:val="21"/>
              </w:rPr>
              <w:t>（</w:t>
            </w:r>
            <w:r>
              <w:rPr>
                <w:rFonts w:hint="eastAsia"/>
                <w:kern w:val="0"/>
                <w:szCs w:val="21"/>
              </w:rPr>
              <w:t>%</w:t>
            </w:r>
            <w:r>
              <w:rPr>
                <w:kern w:val="0"/>
                <w:szCs w:val="21"/>
              </w:rPr>
              <w:t>）</w:t>
            </w:r>
          </w:p>
        </w:tc>
        <w:tc>
          <w:tcPr>
            <w:tcW w:w="1904"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备注</w:t>
            </w:r>
          </w:p>
        </w:tc>
      </w:tr>
      <w:tr>
        <w:tblPrEx>
          <w:tblCellMar>
            <w:top w:w="0" w:type="dxa"/>
            <w:left w:w="108" w:type="dxa"/>
            <w:bottom w:w="0" w:type="dxa"/>
            <w:right w:w="108" w:type="dxa"/>
          </w:tblCellMar>
        </w:tblPrEx>
        <w:trPr>
          <w:trHeight w:val="1210"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37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32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197"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3346" w:type="dxa"/>
            <w:gridSpan w:val="2"/>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hint="eastAsia"/>
              </w:rPr>
              <w:t>合计报价（下浮率）</w:t>
            </w:r>
          </w:p>
        </w:tc>
        <w:tc>
          <w:tcPr>
            <w:tcW w:w="5176" w:type="dxa"/>
            <w:gridSpan w:val="3"/>
            <w:tcBorders>
              <w:top w:val="single" w:color="auto" w:sz="4" w:space="0"/>
              <w:left w:val="nil"/>
              <w:bottom w:val="single" w:color="auto" w:sz="4" w:space="0"/>
              <w:right w:val="single" w:color="auto" w:sz="4" w:space="0"/>
            </w:tcBorders>
            <w:vAlign w:val="center"/>
          </w:tcPr>
          <w:p>
            <w:pPr>
              <w:widowControl/>
              <w:jc w:val="right"/>
              <w:rPr>
                <w:kern w:val="0"/>
                <w:szCs w:val="21"/>
              </w:rPr>
            </w:pPr>
          </w:p>
        </w:tc>
      </w:tr>
    </w:tbl>
    <w:p>
      <w:pPr>
        <w:rPr>
          <w:rFonts w:hint="eastAsia"/>
        </w:rPr>
      </w:pPr>
      <w:r>
        <w:rPr>
          <w:rFonts w:hint="eastAsia"/>
        </w:rPr>
        <w:br w:type="page"/>
      </w:r>
    </w:p>
    <w:p>
      <w:pPr>
        <w:ind w:firstLine="420" w:firstLineChars="200"/>
        <w:rPr>
          <w:rFonts w:hint="eastAsia"/>
          <w:szCs w:val="21"/>
        </w:rPr>
      </w:pPr>
      <w:r>
        <w:rPr>
          <w:rFonts w:hint="eastAsia"/>
        </w:rPr>
        <w:t>2.2</w:t>
      </w:r>
      <w:r>
        <w:rPr>
          <w:rFonts w:hint="eastAsia"/>
          <w:szCs w:val="21"/>
        </w:rPr>
        <w:t>可行性研究报告编制报价（下浮率）清单</w:t>
      </w:r>
    </w:p>
    <w:p>
      <w:pPr>
        <w:pStyle w:val="2"/>
      </w:pPr>
    </w:p>
    <w:tbl>
      <w:tblPr>
        <w:tblStyle w:val="22"/>
        <w:tblW w:w="8522" w:type="dxa"/>
        <w:jc w:val="center"/>
        <w:tblLayout w:type="fixed"/>
        <w:tblCellMar>
          <w:top w:w="0" w:type="dxa"/>
          <w:left w:w="108" w:type="dxa"/>
          <w:bottom w:w="0" w:type="dxa"/>
          <w:right w:w="108" w:type="dxa"/>
        </w:tblCellMar>
      </w:tblPr>
      <w:tblGrid>
        <w:gridCol w:w="916"/>
        <w:gridCol w:w="2430"/>
        <w:gridCol w:w="1140"/>
        <w:gridCol w:w="2132"/>
        <w:gridCol w:w="1904"/>
      </w:tblGrid>
      <w:tr>
        <w:tblPrEx>
          <w:tblCellMar>
            <w:top w:w="0" w:type="dxa"/>
            <w:left w:w="108" w:type="dxa"/>
            <w:bottom w:w="0" w:type="dxa"/>
            <w:right w:w="108" w:type="dxa"/>
          </w:tblCellMar>
        </w:tblPrEx>
        <w:trPr>
          <w:trHeight w:val="1701"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序号</w:t>
            </w: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 xml:space="preserve">项目名称 </w:t>
            </w: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工作内容</w:t>
            </w:r>
          </w:p>
        </w:tc>
        <w:tc>
          <w:tcPr>
            <w:tcW w:w="2132"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下浮率</w:t>
            </w:r>
            <w:r>
              <w:rPr>
                <w:kern w:val="0"/>
                <w:szCs w:val="21"/>
              </w:rPr>
              <w:t>（</w:t>
            </w:r>
            <w:r>
              <w:rPr>
                <w:rFonts w:hint="eastAsia"/>
                <w:kern w:val="0"/>
                <w:szCs w:val="21"/>
              </w:rPr>
              <w:t>%</w:t>
            </w:r>
            <w:r>
              <w:rPr>
                <w:kern w:val="0"/>
                <w:szCs w:val="21"/>
              </w:rPr>
              <w:t>）</w:t>
            </w:r>
          </w:p>
        </w:tc>
        <w:tc>
          <w:tcPr>
            <w:tcW w:w="1904"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备注</w:t>
            </w:r>
          </w:p>
        </w:tc>
      </w:tr>
      <w:tr>
        <w:tblPrEx>
          <w:tblCellMar>
            <w:top w:w="0" w:type="dxa"/>
            <w:left w:w="108" w:type="dxa"/>
            <w:bottom w:w="0" w:type="dxa"/>
            <w:right w:w="108" w:type="dxa"/>
          </w:tblCellMar>
        </w:tblPrEx>
        <w:trPr>
          <w:trHeight w:val="1545"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42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390"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36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3346" w:type="dxa"/>
            <w:gridSpan w:val="2"/>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合计报价</w:t>
            </w:r>
            <w:r>
              <w:rPr>
                <w:rFonts w:hint="eastAsia"/>
              </w:rPr>
              <w:t>（下浮率）</w:t>
            </w:r>
          </w:p>
        </w:tc>
        <w:tc>
          <w:tcPr>
            <w:tcW w:w="5176" w:type="dxa"/>
            <w:gridSpan w:val="3"/>
            <w:tcBorders>
              <w:top w:val="single" w:color="auto" w:sz="4" w:space="0"/>
              <w:left w:val="nil"/>
              <w:bottom w:val="single" w:color="auto" w:sz="4" w:space="0"/>
              <w:right w:val="single" w:color="auto" w:sz="4" w:space="0"/>
            </w:tcBorders>
            <w:vAlign w:val="center"/>
          </w:tcPr>
          <w:p>
            <w:pPr>
              <w:widowControl/>
              <w:jc w:val="right"/>
              <w:rPr>
                <w:kern w:val="0"/>
                <w:szCs w:val="21"/>
              </w:rPr>
            </w:pPr>
          </w:p>
        </w:tc>
      </w:tr>
    </w:tbl>
    <w:p/>
    <w:p>
      <w:pPr>
        <w:rPr>
          <w:rFonts w:hint="eastAsia"/>
          <w:szCs w:val="21"/>
        </w:rPr>
      </w:pPr>
      <w:r>
        <w:rPr>
          <w:rFonts w:hint="eastAsia"/>
          <w:szCs w:val="21"/>
        </w:rPr>
        <w:br w:type="page"/>
      </w:r>
    </w:p>
    <w:p>
      <w:pPr>
        <w:spacing w:line="440" w:lineRule="exact"/>
        <w:ind w:firstLine="420" w:firstLineChars="200"/>
        <w:rPr>
          <w:rFonts w:hint="eastAsia"/>
          <w:szCs w:val="21"/>
        </w:rPr>
      </w:pPr>
      <w:r>
        <w:rPr>
          <w:rFonts w:hint="eastAsia"/>
          <w:szCs w:val="21"/>
        </w:rPr>
        <w:t>2.3 勘察报价（下浮率）清单</w:t>
      </w:r>
    </w:p>
    <w:p>
      <w:pPr>
        <w:pStyle w:val="2"/>
      </w:pPr>
    </w:p>
    <w:tbl>
      <w:tblPr>
        <w:tblStyle w:val="22"/>
        <w:tblW w:w="8522" w:type="dxa"/>
        <w:jc w:val="center"/>
        <w:tblLayout w:type="fixed"/>
        <w:tblCellMar>
          <w:top w:w="0" w:type="dxa"/>
          <w:left w:w="108" w:type="dxa"/>
          <w:bottom w:w="0" w:type="dxa"/>
          <w:right w:w="108" w:type="dxa"/>
        </w:tblCellMar>
      </w:tblPr>
      <w:tblGrid>
        <w:gridCol w:w="916"/>
        <w:gridCol w:w="2430"/>
        <w:gridCol w:w="1140"/>
        <w:gridCol w:w="2132"/>
        <w:gridCol w:w="1904"/>
      </w:tblGrid>
      <w:tr>
        <w:tblPrEx>
          <w:tblCellMar>
            <w:top w:w="0" w:type="dxa"/>
            <w:left w:w="108" w:type="dxa"/>
            <w:bottom w:w="0" w:type="dxa"/>
            <w:right w:w="108" w:type="dxa"/>
          </w:tblCellMar>
        </w:tblPrEx>
        <w:trPr>
          <w:trHeight w:val="1701"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序号</w:t>
            </w: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 xml:space="preserve">项目名称 </w:t>
            </w: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工作内容</w:t>
            </w:r>
          </w:p>
        </w:tc>
        <w:tc>
          <w:tcPr>
            <w:tcW w:w="2132"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下浮率</w:t>
            </w:r>
            <w:r>
              <w:rPr>
                <w:kern w:val="0"/>
                <w:szCs w:val="21"/>
              </w:rPr>
              <w:t>（</w:t>
            </w:r>
            <w:r>
              <w:rPr>
                <w:rFonts w:hint="eastAsia"/>
                <w:kern w:val="0"/>
                <w:szCs w:val="21"/>
              </w:rPr>
              <w:t>%</w:t>
            </w:r>
            <w:r>
              <w:rPr>
                <w:kern w:val="0"/>
                <w:szCs w:val="21"/>
              </w:rPr>
              <w:t>）</w:t>
            </w:r>
          </w:p>
        </w:tc>
        <w:tc>
          <w:tcPr>
            <w:tcW w:w="1904"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备注</w:t>
            </w:r>
          </w:p>
        </w:tc>
      </w:tr>
      <w:tr>
        <w:tblPrEx>
          <w:tblCellMar>
            <w:top w:w="0" w:type="dxa"/>
            <w:left w:w="108" w:type="dxa"/>
            <w:bottom w:w="0" w:type="dxa"/>
            <w:right w:w="108" w:type="dxa"/>
          </w:tblCellMar>
        </w:tblPrEx>
        <w:trPr>
          <w:trHeight w:val="1045"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050"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280"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36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37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3346" w:type="dxa"/>
            <w:gridSpan w:val="2"/>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合计报价</w:t>
            </w:r>
            <w:r>
              <w:rPr>
                <w:rFonts w:hint="eastAsia"/>
              </w:rPr>
              <w:t>（下浮率）</w:t>
            </w:r>
          </w:p>
        </w:tc>
        <w:tc>
          <w:tcPr>
            <w:tcW w:w="5176" w:type="dxa"/>
            <w:gridSpan w:val="3"/>
            <w:tcBorders>
              <w:top w:val="single" w:color="auto" w:sz="4" w:space="0"/>
              <w:left w:val="nil"/>
              <w:bottom w:val="single" w:color="auto" w:sz="4" w:space="0"/>
              <w:right w:val="single" w:color="auto" w:sz="4" w:space="0"/>
            </w:tcBorders>
            <w:vAlign w:val="center"/>
          </w:tcPr>
          <w:p>
            <w:pPr>
              <w:widowControl/>
              <w:jc w:val="right"/>
              <w:rPr>
                <w:kern w:val="0"/>
                <w:szCs w:val="21"/>
              </w:rPr>
            </w:pPr>
          </w:p>
        </w:tc>
      </w:tr>
    </w:tbl>
    <w:p>
      <w:pPr>
        <w:spacing w:line="440" w:lineRule="exact"/>
        <w:ind w:firstLine="420" w:firstLineChars="200"/>
        <w:rPr>
          <w:szCs w:val="21"/>
        </w:rPr>
      </w:pPr>
    </w:p>
    <w:p>
      <w:pPr>
        <w:pStyle w:val="7"/>
        <w:rPr>
          <w:szCs w:val="21"/>
        </w:rPr>
      </w:pPr>
    </w:p>
    <w:p/>
    <w:p>
      <w:pPr>
        <w:rPr>
          <w:rFonts w:hint="eastAsia"/>
          <w:szCs w:val="21"/>
        </w:rPr>
      </w:pPr>
      <w:r>
        <w:rPr>
          <w:rFonts w:hint="eastAsia"/>
          <w:szCs w:val="21"/>
        </w:rPr>
        <w:br w:type="page"/>
      </w:r>
    </w:p>
    <w:p>
      <w:pPr>
        <w:spacing w:line="440" w:lineRule="exact"/>
        <w:ind w:firstLine="420" w:firstLineChars="200"/>
        <w:rPr>
          <w:rFonts w:hint="eastAsia"/>
          <w:szCs w:val="21"/>
        </w:rPr>
      </w:pPr>
      <w:r>
        <w:rPr>
          <w:rFonts w:hint="eastAsia"/>
          <w:szCs w:val="21"/>
        </w:rPr>
        <w:t>2.4</w:t>
      </w:r>
      <w:r>
        <w:rPr>
          <w:rFonts w:hint="eastAsia" w:ascii="Calibri" w:hAnsi="Calibri"/>
          <w:szCs w:val="21"/>
        </w:rPr>
        <w:t>造价咨询报价</w:t>
      </w:r>
      <w:r>
        <w:rPr>
          <w:rFonts w:hint="eastAsia"/>
          <w:szCs w:val="21"/>
        </w:rPr>
        <w:t>（下浮率）清单</w:t>
      </w:r>
    </w:p>
    <w:p>
      <w:pPr>
        <w:pStyle w:val="2"/>
      </w:pPr>
    </w:p>
    <w:tbl>
      <w:tblPr>
        <w:tblStyle w:val="22"/>
        <w:tblW w:w="8522" w:type="dxa"/>
        <w:jc w:val="center"/>
        <w:tblLayout w:type="fixed"/>
        <w:tblCellMar>
          <w:top w:w="0" w:type="dxa"/>
          <w:left w:w="108" w:type="dxa"/>
          <w:bottom w:w="0" w:type="dxa"/>
          <w:right w:w="108" w:type="dxa"/>
        </w:tblCellMar>
      </w:tblPr>
      <w:tblGrid>
        <w:gridCol w:w="916"/>
        <w:gridCol w:w="2430"/>
        <w:gridCol w:w="1140"/>
        <w:gridCol w:w="2132"/>
        <w:gridCol w:w="1904"/>
      </w:tblGrid>
      <w:tr>
        <w:tblPrEx>
          <w:tblCellMar>
            <w:top w:w="0" w:type="dxa"/>
            <w:left w:w="108" w:type="dxa"/>
            <w:bottom w:w="0" w:type="dxa"/>
            <w:right w:w="108" w:type="dxa"/>
          </w:tblCellMar>
        </w:tblPrEx>
        <w:trPr>
          <w:trHeight w:val="1701"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序号</w:t>
            </w: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 xml:space="preserve">项目名称 </w:t>
            </w: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工作内容</w:t>
            </w:r>
          </w:p>
        </w:tc>
        <w:tc>
          <w:tcPr>
            <w:tcW w:w="2132"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下浮率</w:t>
            </w:r>
            <w:r>
              <w:rPr>
                <w:kern w:val="0"/>
                <w:szCs w:val="21"/>
              </w:rPr>
              <w:t>（</w:t>
            </w:r>
            <w:r>
              <w:rPr>
                <w:rFonts w:hint="eastAsia"/>
                <w:kern w:val="0"/>
                <w:szCs w:val="21"/>
              </w:rPr>
              <w:t>%</w:t>
            </w:r>
            <w:r>
              <w:rPr>
                <w:kern w:val="0"/>
                <w:szCs w:val="21"/>
              </w:rPr>
              <w:t>）</w:t>
            </w:r>
          </w:p>
        </w:tc>
        <w:tc>
          <w:tcPr>
            <w:tcW w:w="1904"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备注</w:t>
            </w:r>
          </w:p>
        </w:tc>
      </w:tr>
      <w:tr>
        <w:tblPrEx>
          <w:tblCellMar>
            <w:top w:w="0" w:type="dxa"/>
            <w:left w:w="108" w:type="dxa"/>
            <w:bottom w:w="0" w:type="dxa"/>
            <w:right w:w="108" w:type="dxa"/>
          </w:tblCellMar>
        </w:tblPrEx>
        <w:trPr>
          <w:trHeight w:val="108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26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170"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335"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435"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3346" w:type="dxa"/>
            <w:gridSpan w:val="2"/>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合计报价</w:t>
            </w:r>
            <w:r>
              <w:rPr>
                <w:rFonts w:hint="eastAsia"/>
              </w:rPr>
              <w:t>（下浮率）</w:t>
            </w:r>
          </w:p>
        </w:tc>
        <w:tc>
          <w:tcPr>
            <w:tcW w:w="5176" w:type="dxa"/>
            <w:gridSpan w:val="3"/>
            <w:tcBorders>
              <w:top w:val="single" w:color="auto" w:sz="4" w:space="0"/>
              <w:left w:val="nil"/>
              <w:bottom w:val="single" w:color="auto" w:sz="4" w:space="0"/>
              <w:right w:val="single" w:color="auto" w:sz="4" w:space="0"/>
            </w:tcBorders>
            <w:vAlign w:val="center"/>
          </w:tcPr>
          <w:p>
            <w:pPr>
              <w:widowControl/>
              <w:jc w:val="right"/>
              <w:rPr>
                <w:kern w:val="0"/>
                <w:szCs w:val="21"/>
              </w:rPr>
            </w:pPr>
          </w:p>
        </w:tc>
      </w:tr>
    </w:tbl>
    <w:p>
      <w:pPr>
        <w:pStyle w:val="7"/>
        <w:rPr>
          <w:szCs w:val="21"/>
        </w:rPr>
      </w:pPr>
    </w:p>
    <w:p>
      <w:pPr>
        <w:spacing w:line="440" w:lineRule="exact"/>
        <w:ind w:firstLine="420" w:firstLineChars="200"/>
        <w:rPr>
          <w:szCs w:val="21"/>
        </w:rPr>
      </w:pPr>
    </w:p>
    <w:p/>
    <w:p>
      <w:pPr>
        <w:rPr>
          <w:rFonts w:hint="eastAsia" w:ascii="Calibri" w:hAnsi="Calibri"/>
          <w:szCs w:val="21"/>
        </w:rPr>
      </w:pPr>
      <w:r>
        <w:rPr>
          <w:rFonts w:hint="eastAsia" w:ascii="Calibri" w:hAnsi="Calibri"/>
          <w:szCs w:val="21"/>
        </w:rPr>
        <w:br w:type="page"/>
      </w:r>
    </w:p>
    <w:p>
      <w:pPr>
        <w:spacing w:line="440" w:lineRule="exact"/>
        <w:ind w:firstLine="420" w:firstLineChars="200"/>
        <w:rPr>
          <w:rFonts w:hint="eastAsia"/>
          <w:szCs w:val="21"/>
        </w:rPr>
      </w:pPr>
      <w:r>
        <w:rPr>
          <w:rFonts w:hint="eastAsia" w:ascii="Calibri" w:hAnsi="Calibri"/>
          <w:szCs w:val="21"/>
        </w:rPr>
        <w:t>2.5</w:t>
      </w:r>
      <w:r>
        <w:rPr>
          <w:rFonts w:hint="eastAsia"/>
          <w:szCs w:val="21"/>
        </w:rPr>
        <w:t>招标代理报价（下浮率）清单</w:t>
      </w:r>
    </w:p>
    <w:p>
      <w:pPr>
        <w:pStyle w:val="2"/>
      </w:pPr>
    </w:p>
    <w:tbl>
      <w:tblPr>
        <w:tblStyle w:val="22"/>
        <w:tblW w:w="8522" w:type="dxa"/>
        <w:jc w:val="center"/>
        <w:tblLayout w:type="fixed"/>
        <w:tblCellMar>
          <w:top w:w="0" w:type="dxa"/>
          <w:left w:w="108" w:type="dxa"/>
          <w:bottom w:w="0" w:type="dxa"/>
          <w:right w:w="108" w:type="dxa"/>
        </w:tblCellMar>
      </w:tblPr>
      <w:tblGrid>
        <w:gridCol w:w="916"/>
        <w:gridCol w:w="2430"/>
        <w:gridCol w:w="1140"/>
        <w:gridCol w:w="2132"/>
        <w:gridCol w:w="1904"/>
      </w:tblGrid>
      <w:tr>
        <w:tblPrEx>
          <w:tblCellMar>
            <w:top w:w="0" w:type="dxa"/>
            <w:left w:w="108" w:type="dxa"/>
            <w:bottom w:w="0" w:type="dxa"/>
            <w:right w:w="108" w:type="dxa"/>
          </w:tblCellMar>
        </w:tblPrEx>
        <w:trPr>
          <w:trHeight w:val="1701"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序号</w:t>
            </w: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 xml:space="preserve">项目名称 </w:t>
            </w: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工作内容</w:t>
            </w:r>
          </w:p>
        </w:tc>
        <w:tc>
          <w:tcPr>
            <w:tcW w:w="2132"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下浮率</w:t>
            </w:r>
            <w:r>
              <w:rPr>
                <w:kern w:val="0"/>
                <w:szCs w:val="21"/>
              </w:rPr>
              <w:t>（</w:t>
            </w:r>
            <w:r>
              <w:rPr>
                <w:rFonts w:hint="eastAsia"/>
                <w:kern w:val="0"/>
                <w:szCs w:val="21"/>
              </w:rPr>
              <w:t>%</w:t>
            </w:r>
            <w:r>
              <w:rPr>
                <w:kern w:val="0"/>
                <w:szCs w:val="21"/>
              </w:rPr>
              <w:t>）</w:t>
            </w:r>
          </w:p>
        </w:tc>
        <w:tc>
          <w:tcPr>
            <w:tcW w:w="1904"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备注</w:t>
            </w:r>
          </w:p>
        </w:tc>
      </w:tr>
      <w:tr>
        <w:tblPrEx>
          <w:tblCellMar>
            <w:top w:w="0" w:type="dxa"/>
            <w:left w:w="108" w:type="dxa"/>
            <w:bottom w:w="0" w:type="dxa"/>
            <w:right w:w="108" w:type="dxa"/>
          </w:tblCellMar>
        </w:tblPrEx>
        <w:trPr>
          <w:trHeight w:val="1335" w:hRule="atLeast"/>
          <w:jc w:val="center"/>
        </w:trPr>
        <w:tc>
          <w:tcPr>
            <w:tcW w:w="9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Cs w:val="21"/>
              </w:rPr>
            </w:pPr>
          </w:p>
        </w:tc>
        <w:tc>
          <w:tcPr>
            <w:tcW w:w="24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Cs w:val="21"/>
              </w:rPr>
            </w:pP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Cs w:val="21"/>
              </w:rPr>
            </w:pPr>
          </w:p>
        </w:tc>
        <w:tc>
          <w:tcPr>
            <w:tcW w:w="2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kern w:val="0"/>
                <w:szCs w:val="21"/>
              </w:rPr>
            </w:pPr>
          </w:p>
        </w:tc>
        <w:tc>
          <w:tcPr>
            <w:tcW w:w="1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kern w:val="0"/>
                <w:szCs w:val="21"/>
              </w:rPr>
            </w:pPr>
          </w:p>
        </w:tc>
      </w:tr>
      <w:tr>
        <w:tblPrEx>
          <w:tblCellMar>
            <w:top w:w="0" w:type="dxa"/>
            <w:left w:w="108" w:type="dxa"/>
            <w:bottom w:w="0" w:type="dxa"/>
            <w:right w:w="108" w:type="dxa"/>
          </w:tblCellMar>
        </w:tblPrEx>
        <w:trPr>
          <w:trHeight w:val="1188" w:hRule="atLeast"/>
          <w:jc w:val="center"/>
        </w:trPr>
        <w:tc>
          <w:tcPr>
            <w:tcW w:w="9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Cs w:val="21"/>
              </w:rPr>
            </w:pPr>
          </w:p>
        </w:tc>
        <w:tc>
          <w:tcPr>
            <w:tcW w:w="24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Cs w:val="21"/>
              </w:rPr>
            </w:pP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Cs w:val="21"/>
              </w:rPr>
            </w:pPr>
          </w:p>
        </w:tc>
        <w:tc>
          <w:tcPr>
            <w:tcW w:w="2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kern w:val="0"/>
                <w:szCs w:val="21"/>
              </w:rPr>
            </w:pPr>
          </w:p>
        </w:tc>
        <w:tc>
          <w:tcPr>
            <w:tcW w:w="1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kern w:val="0"/>
                <w:szCs w:val="21"/>
              </w:rPr>
            </w:pPr>
          </w:p>
        </w:tc>
      </w:tr>
      <w:tr>
        <w:tblPrEx>
          <w:tblCellMar>
            <w:top w:w="0" w:type="dxa"/>
            <w:left w:w="108" w:type="dxa"/>
            <w:bottom w:w="0" w:type="dxa"/>
            <w:right w:w="108" w:type="dxa"/>
          </w:tblCellMar>
        </w:tblPrEx>
        <w:trPr>
          <w:trHeight w:val="1233" w:hRule="atLeast"/>
          <w:jc w:val="center"/>
        </w:trPr>
        <w:tc>
          <w:tcPr>
            <w:tcW w:w="9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Cs w:val="21"/>
              </w:rPr>
            </w:pPr>
          </w:p>
        </w:tc>
        <w:tc>
          <w:tcPr>
            <w:tcW w:w="24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Cs w:val="21"/>
              </w:rPr>
            </w:pP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Cs w:val="21"/>
              </w:rPr>
            </w:pPr>
          </w:p>
        </w:tc>
        <w:tc>
          <w:tcPr>
            <w:tcW w:w="2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kern w:val="0"/>
                <w:szCs w:val="21"/>
              </w:rPr>
            </w:pPr>
          </w:p>
        </w:tc>
        <w:tc>
          <w:tcPr>
            <w:tcW w:w="1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kern w:val="0"/>
                <w:szCs w:val="21"/>
              </w:rPr>
            </w:pPr>
          </w:p>
        </w:tc>
      </w:tr>
      <w:tr>
        <w:tblPrEx>
          <w:tblCellMar>
            <w:top w:w="0" w:type="dxa"/>
            <w:left w:w="108" w:type="dxa"/>
            <w:bottom w:w="0" w:type="dxa"/>
            <w:right w:w="108" w:type="dxa"/>
          </w:tblCellMar>
        </w:tblPrEx>
        <w:trPr>
          <w:trHeight w:val="1005" w:hRule="atLeast"/>
          <w:jc w:val="center"/>
        </w:trPr>
        <w:tc>
          <w:tcPr>
            <w:tcW w:w="9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Cs w:val="21"/>
              </w:rPr>
            </w:pPr>
          </w:p>
        </w:tc>
        <w:tc>
          <w:tcPr>
            <w:tcW w:w="24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Cs w:val="21"/>
              </w:rPr>
            </w:pP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Cs w:val="21"/>
              </w:rPr>
            </w:pPr>
          </w:p>
        </w:tc>
        <w:tc>
          <w:tcPr>
            <w:tcW w:w="2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kern w:val="0"/>
                <w:szCs w:val="21"/>
              </w:rPr>
            </w:pPr>
          </w:p>
        </w:tc>
        <w:tc>
          <w:tcPr>
            <w:tcW w:w="1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kern w:val="0"/>
                <w:szCs w:val="21"/>
              </w:rPr>
            </w:pPr>
          </w:p>
        </w:tc>
      </w:tr>
      <w:tr>
        <w:tblPrEx>
          <w:tblCellMar>
            <w:top w:w="0" w:type="dxa"/>
            <w:left w:w="108" w:type="dxa"/>
            <w:bottom w:w="0" w:type="dxa"/>
            <w:right w:w="108" w:type="dxa"/>
          </w:tblCellMar>
        </w:tblPrEx>
        <w:trPr>
          <w:trHeight w:val="1426" w:hRule="atLeast"/>
          <w:jc w:val="center"/>
        </w:trPr>
        <w:tc>
          <w:tcPr>
            <w:tcW w:w="9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Cs w:val="21"/>
              </w:rPr>
            </w:pPr>
          </w:p>
        </w:tc>
        <w:tc>
          <w:tcPr>
            <w:tcW w:w="24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Cs w:val="21"/>
              </w:rPr>
            </w:pP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kern w:val="0"/>
                <w:szCs w:val="21"/>
              </w:rPr>
            </w:pPr>
          </w:p>
        </w:tc>
        <w:tc>
          <w:tcPr>
            <w:tcW w:w="2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kern w:val="0"/>
                <w:szCs w:val="21"/>
              </w:rPr>
            </w:pPr>
          </w:p>
        </w:tc>
        <w:tc>
          <w:tcPr>
            <w:tcW w:w="1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kern w:val="0"/>
                <w:szCs w:val="21"/>
              </w:rPr>
            </w:pPr>
          </w:p>
        </w:tc>
      </w:tr>
      <w:tr>
        <w:tblPrEx>
          <w:tblCellMar>
            <w:top w:w="0" w:type="dxa"/>
            <w:left w:w="108" w:type="dxa"/>
            <w:bottom w:w="0" w:type="dxa"/>
            <w:right w:w="108" w:type="dxa"/>
          </w:tblCellMar>
        </w:tblPrEx>
        <w:trPr>
          <w:trHeight w:val="1701" w:hRule="atLeast"/>
          <w:jc w:val="center"/>
        </w:trPr>
        <w:tc>
          <w:tcPr>
            <w:tcW w:w="3346" w:type="dxa"/>
            <w:gridSpan w:val="2"/>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合计报价</w:t>
            </w:r>
            <w:r>
              <w:rPr>
                <w:rFonts w:hint="eastAsia"/>
              </w:rPr>
              <w:t>（下浮率）</w:t>
            </w:r>
          </w:p>
        </w:tc>
        <w:tc>
          <w:tcPr>
            <w:tcW w:w="5176" w:type="dxa"/>
            <w:gridSpan w:val="3"/>
            <w:tcBorders>
              <w:top w:val="single" w:color="auto" w:sz="4" w:space="0"/>
              <w:left w:val="nil"/>
              <w:bottom w:val="single" w:color="auto" w:sz="4" w:space="0"/>
              <w:right w:val="single" w:color="auto" w:sz="4" w:space="0"/>
            </w:tcBorders>
            <w:vAlign w:val="center"/>
          </w:tcPr>
          <w:p>
            <w:pPr>
              <w:widowControl/>
              <w:jc w:val="right"/>
              <w:rPr>
                <w:kern w:val="0"/>
                <w:szCs w:val="21"/>
              </w:rPr>
            </w:pPr>
          </w:p>
        </w:tc>
      </w:tr>
    </w:tbl>
    <w:p>
      <w:pPr>
        <w:spacing w:line="440" w:lineRule="exact"/>
        <w:ind w:firstLine="420" w:firstLineChars="200"/>
        <w:rPr>
          <w:szCs w:val="21"/>
        </w:rPr>
      </w:pPr>
    </w:p>
    <w:p>
      <w:pPr>
        <w:pStyle w:val="2"/>
        <w:outlineLvl w:val="9"/>
      </w:pPr>
    </w:p>
    <w:p>
      <w:pPr>
        <w:rPr>
          <w:szCs w:val="21"/>
        </w:rPr>
      </w:pPr>
    </w:p>
    <w:p>
      <w:pPr>
        <w:rPr>
          <w:rFonts w:hint="eastAsia" w:ascii="黑体" w:hAnsi="宋体" w:eastAsia="黑体"/>
          <w:bCs/>
          <w:sz w:val="28"/>
          <w:szCs w:val="28"/>
        </w:rPr>
      </w:pPr>
      <w:r>
        <w:rPr>
          <w:rFonts w:hint="eastAsia" w:ascii="黑体" w:hAnsi="宋体" w:eastAsia="黑体"/>
          <w:bCs/>
          <w:sz w:val="28"/>
          <w:szCs w:val="28"/>
        </w:rPr>
        <w:br w:type="page"/>
      </w:r>
    </w:p>
    <w:p>
      <w:pPr>
        <w:rPr>
          <w:rFonts w:ascii="黑体" w:hAnsi="宋体" w:eastAsia="黑体"/>
          <w:bCs/>
          <w:sz w:val="28"/>
          <w:szCs w:val="28"/>
        </w:rPr>
      </w:pPr>
      <w:r>
        <w:rPr>
          <w:rFonts w:hint="eastAsia" w:ascii="黑体" w:hAnsi="宋体" w:eastAsia="黑体"/>
          <w:bCs/>
          <w:sz w:val="28"/>
          <w:szCs w:val="28"/>
        </w:rPr>
        <w:t>（三）投标报价（下浮率）汇总</w:t>
      </w:r>
    </w:p>
    <w:p>
      <w:pPr>
        <w:rPr>
          <w:szCs w:val="21"/>
        </w:rPr>
      </w:pPr>
    </w:p>
    <w:tbl>
      <w:tblPr>
        <w:tblStyle w:val="22"/>
        <w:tblW w:w="0" w:type="auto"/>
        <w:jc w:val="center"/>
        <w:tblLayout w:type="fixed"/>
        <w:tblCellMar>
          <w:top w:w="0" w:type="dxa"/>
          <w:left w:w="108" w:type="dxa"/>
          <w:bottom w:w="0" w:type="dxa"/>
          <w:right w:w="108" w:type="dxa"/>
        </w:tblCellMar>
      </w:tblPr>
      <w:tblGrid>
        <w:gridCol w:w="915"/>
        <w:gridCol w:w="2773"/>
        <w:gridCol w:w="2272"/>
        <w:gridCol w:w="2562"/>
      </w:tblGrid>
      <w:tr>
        <w:tblPrEx>
          <w:tblCellMar>
            <w:top w:w="0" w:type="dxa"/>
            <w:left w:w="108" w:type="dxa"/>
            <w:bottom w:w="0" w:type="dxa"/>
            <w:right w:w="108" w:type="dxa"/>
          </w:tblCellMar>
        </w:tblPrEx>
        <w:trPr>
          <w:trHeight w:val="1701"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序号</w:t>
            </w: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 xml:space="preserve">项目名称 </w:t>
            </w:r>
          </w:p>
        </w:tc>
        <w:tc>
          <w:tcPr>
            <w:tcW w:w="2272"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下浮率</w:t>
            </w:r>
            <w:r>
              <w:rPr>
                <w:kern w:val="0"/>
                <w:szCs w:val="21"/>
              </w:rPr>
              <w:t>（</w:t>
            </w:r>
            <w:r>
              <w:rPr>
                <w:rFonts w:hint="eastAsia"/>
                <w:kern w:val="0"/>
                <w:szCs w:val="21"/>
              </w:rPr>
              <w:t>%</w:t>
            </w:r>
            <w:r>
              <w:rPr>
                <w:kern w:val="0"/>
                <w:szCs w:val="21"/>
              </w:rPr>
              <w:t>）</w:t>
            </w:r>
          </w:p>
        </w:tc>
        <w:tc>
          <w:tcPr>
            <w:tcW w:w="2562"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备注</w:t>
            </w:r>
          </w:p>
        </w:tc>
      </w:tr>
      <w:tr>
        <w:tblPrEx>
          <w:tblCellMar>
            <w:top w:w="0" w:type="dxa"/>
            <w:left w:w="108" w:type="dxa"/>
            <w:bottom w:w="0" w:type="dxa"/>
            <w:right w:w="108" w:type="dxa"/>
          </w:tblCellMar>
        </w:tblPrEx>
        <w:trPr>
          <w:trHeight w:val="1701"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272" w:type="dxa"/>
            <w:tcBorders>
              <w:top w:val="nil"/>
              <w:left w:val="nil"/>
              <w:bottom w:val="single" w:color="auto" w:sz="4" w:space="0"/>
              <w:right w:val="single" w:color="auto" w:sz="4" w:space="0"/>
            </w:tcBorders>
            <w:vAlign w:val="center"/>
          </w:tcPr>
          <w:p>
            <w:pPr>
              <w:widowControl/>
              <w:jc w:val="right"/>
              <w:rPr>
                <w:kern w:val="0"/>
                <w:szCs w:val="21"/>
              </w:rPr>
            </w:pPr>
          </w:p>
        </w:tc>
        <w:tc>
          <w:tcPr>
            <w:tcW w:w="2562"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272" w:type="dxa"/>
            <w:tcBorders>
              <w:top w:val="nil"/>
              <w:left w:val="nil"/>
              <w:bottom w:val="single" w:color="auto" w:sz="4" w:space="0"/>
              <w:right w:val="single" w:color="auto" w:sz="4" w:space="0"/>
            </w:tcBorders>
            <w:vAlign w:val="center"/>
          </w:tcPr>
          <w:p>
            <w:pPr>
              <w:widowControl/>
              <w:jc w:val="right"/>
              <w:rPr>
                <w:kern w:val="0"/>
                <w:szCs w:val="21"/>
              </w:rPr>
            </w:pPr>
          </w:p>
        </w:tc>
        <w:tc>
          <w:tcPr>
            <w:tcW w:w="2562"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272" w:type="dxa"/>
            <w:tcBorders>
              <w:top w:val="nil"/>
              <w:left w:val="nil"/>
              <w:bottom w:val="single" w:color="auto" w:sz="4" w:space="0"/>
              <w:right w:val="single" w:color="auto" w:sz="4" w:space="0"/>
            </w:tcBorders>
            <w:vAlign w:val="center"/>
          </w:tcPr>
          <w:p>
            <w:pPr>
              <w:widowControl/>
              <w:jc w:val="right"/>
              <w:rPr>
                <w:kern w:val="0"/>
                <w:szCs w:val="21"/>
              </w:rPr>
            </w:pPr>
          </w:p>
        </w:tc>
        <w:tc>
          <w:tcPr>
            <w:tcW w:w="2562"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272" w:type="dxa"/>
            <w:tcBorders>
              <w:top w:val="nil"/>
              <w:left w:val="nil"/>
              <w:bottom w:val="single" w:color="auto" w:sz="4" w:space="0"/>
              <w:right w:val="single" w:color="auto" w:sz="4" w:space="0"/>
            </w:tcBorders>
            <w:vAlign w:val="center"/>
          </w:tcPr>
          <w:p>
            <w:pPr>
              <w:widowControl/>
              <w:jc w:val="right"/>
              <w:rPr>
                <w:kern w:val="0"/>
                <w:szCs w:val="21"/>
              </w:rPr>
            </w:pPr>
          </w:p>
        </w:tc>
        <w:tc>
          <w:tcPr>
            <w:tcW w:w="2562"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272" w:type="dxa"/>
            <w:tcBorders>
              <w:top w:val="nil"/>
              <w:left w:val="nil"/>
              <w:bottom w:val="single" w:color="auto" w:sz="4" w:space="0"/>
              <w:right w:val="single" w:color="auto" w:sz="4" w:space="0"/>
            </w:tcBorders>
            <w:vAlign w:val="center"/>
          </w:tcPr>
          <w:p>
            <w:pPr>
              <w:widowControl/>
              <w:jc w:val="right"/>
              <w:rPr>
                <w:kern w:val="0"/>
                <w:szCs w:val="21"/>
              </w:rPr>
            </w:pPr>
          </w:p>
        </w:tc>
        <w:tc>
          <w:tcPr>
            <w:tcW w:w="2562" w:type="dxa"/>
            <w:tcBorders>
              <w:top w:val="nil"/>
              <w:left w:val="nil"/>
              <w:bottom w:val="single" w:color="auto" w:sz="4" w:space="0"/>
              <w:right w:val="single" w:color="auto" w:sz="4" w:space="0"/>
            </w:tcBorders>
            <w:vAlign w:val="center"/>
          </w:tcPr>
          <w:p>
            <w:pPr>
              <w:widowControl/>
              <w:jc w:val="right"/>
              <w:rPr>
                <w:kern w:val="0"/>
                <w:szCs w:val="21"/>
              </w:rPr>
            </w:pPr>
          </w:p>
        </w:tc>
      </w:tr>
    </w:tbl>
    <w:p>
      <w:pPr>
        <w:jc w:val="center"/>
      </w:pPr>
    </w:p>
    <w:p>
      <w:pPr>
        <w:pStyle w:val="2"/>
        <w:outlineLvl w:val="9"/>
      </w:pPr>
    </w:p>
    <w:p>
      <w:pPr>
        <w:pStyle w:val="4"/>
        <w:pageBreakBefore w:val="0"/>
        <w:widowControl w:val="0"/>
        <w:kinsoku/>
        <w:wordWrap/>
        <w:overflowPunct/>
        <w:topLinePunct w:val="0"/>
        <w:autoSpaceDE/>
        <w:autoSpaceDN/>
        <w:bidi w:val="0"/>
        <w:adjustRightInd/>
        <w:snapToGrid/>
        <w:spacing w:line="460" w:lineRule="exact"/>
        <w:jc w:val="center"/>
        <w:textAlignment w:val="auto"/>
        <w:rPr>
          <w:rFonts w:hint="eastAsia"/>
        </w:rPr>
      </w:pPr>
      <w:bookmarkStart w:id="955" w:name="_Toc23155"/>
      <w:r>
        <w:rPr>
          <w:rFonts w:hint="eastAsia"/>
          <w:lang w:eastAsia="zh-CN"/>
        </w:rPr>
        <w:t>六、</w:t>
      </w:r>
      <w:r>
        <w:rPr>
          <w:rFonts w:hint="eastAsia"/>
        </w:rPr>
        <w:t>资格审查资料</w:t>
      </w:r>
      <w:bookmarkEnd w:id="955"/>
    </w:p>
    <w:p>
      <w:pPr>
        <w:pageBreakBefore w:val="0"/>
        <w:widowControl w:val="0"/>
        <w:kinsoku/>
        <w:wordWrap/>
        <w:overflowPunct/>
        <w:topLinePunct w:val="0"/>
        <w:autoSpaceDE/>
        <w:autoSpaceDN/>
        <w:bidi w:val="0"/>
        <w:adjustRightInd/>
        <w:snapToGrid/>
        <w:spacing w:line="460" w:lineRule="exact"/>
        <w:jc w:val="center"/>
        <w:textAlignment w:val="auto"/>
        <w:rPr>
          <w:rFonts w:ascii="宋体" w:hAnsi="宋体"/>
          <w:b/>
          <w:sz w:val="28"/>
          <w:szCs w:val="28"/>
        </w:rPr>
      </w:pPr>
      <w:r>
        <w:rPr>
          <w:rFonts w:hint="eastAsia" w:ascii="宋体" w:hAnsi="宋体"/>
          <w:b/>
          <w:sz w:val="28"/>
          <w:szCs w:val="28"/>
        </w:rPr>
        <w:t>（一）投标人基本情况表</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szCs w:val="21"/>
              </w:rPr>
            </w:pPr>
            <w:r>
              <w:rPr>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szCs w:val="21"/>
              </w:rPr>
            </w:pPr>
            <w:r>
              <w:rPr>
                <w:szCs w:val="21"/>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left"/>
              <w:textAlignment w:val="auto"/>
            </w:pPr>
            <w:r>
              <w:rPr>
                <w:rFonts w:hint="eastAsia"/>
              </w:rPr>
              <w:t>附：1、附营业执照、资格证书（能力证明资料）、陕西省建筑市场监管与诚信信息平台网站截图、信用中国网站截图等资料复印件加盖申请人公章。</w:t>
            </w:r>
          </w:p>
          <w:p>
            <w:pPr>
              <w:keepNext w:val="0"/>
              <w:keepLines w:val="0"/>
              <w:pageBreakBefore w:val="0"/>
              <w:widowControl w:val="0"/>
              <w:kinsoku/>
              <w:wordWrap/>
              <w:overflowPunct/>
              <w:topLinePunct/>
              <w:autoSpaceDE/>
              <w:autoSpaceDN/>
              <w:bidi w:val="0"/>
              <w:adjustRightInd/>
              <w:snapToGrid/>
              <w:spacing w:line="360" w:lineRule="exact"/>
              <w:jc w:val="left"/>
              <w:textAlignment w:val="auto"/>
            </w:pPr>
            <w:r>
              <w:rPr>
                <w:rFonts w:hint="eastAsia"/>
              </w:rPr>
              <w:t>2、若为联合体需附联合体协议书（联合体协议书原件装订在投标文件正本内）。</w:t>
            </w:r>
          </w:p>
        </w:tc>
      </w:tr>
    </w:tbl>
    <w:p>
      <w:pPr>
        <w:rPr>
          <w:sz w:val="20"/>
        </w:rPr>
      </w:pPr>
      <w:r>
        <w:rPr>
          <w:rFonts w:hint="eastAsia"/>
          <w:sz w:val="20"/>
        </w:rPr>
        <w:t>注：投标人若为联合体，此表及附件各成员均需分别填写。</w:t>
      </w:r>
      <w:r>
        <w:rPr>
          <w:sz w:val="20"/>
        </w:rPr>
        <w:br w:type="page"/>
      </w:r>
    </w:p>
    <w:p>
      <w:pPr>
        <w:topLinePunct/>
        <w:spacing w:line="440" w:lineRule="exact"/>
        <w:rPr>
          <w:rFonts w:ascii="宋体" w:hAnsi="宋体"/>
          <w:sz w:val="20"/>
          <w:szCs w:val="20"/>
        </w:rPr>
      </w:pPr>
      <w:r>
        <w:rPr>
          <w:rFonts w:hint="eastAsia" w:ascii="宋体" w:hAnsi="宋体"/>
          <w:sz w:val="20"/>
          <w:szCs w:val="20"/>
        </w:rPr>
        <w:t>附1：</w:t>
      </w:r>
    </w:p>
    <w:p>
      <w:pPr>
        <w:spacing w:line="360" w:lineRule="auto"/>
        <w:jc w:val="center"/>
        <w:rPr>
          <w:rFonts w:ascii="宋体" w:hAnsi="宋体"/>
          <w:sz w:val="20"/>
          <w:szCs w:val="20"/>
        </w:rPr>
      </w:pPr>
    </w:p>
    <w:p>
      <w:pPr>
        <w:spacing w:line="360" w:lineRule="auto"/>
        <w:jc w:val="center"/>
        <w:rPr>
          <w:rFonts w:hint="eastAsia" w:ascii="黑体" w:hAnsi="黑体" w:eastAsia="黑体" w:cs="黑体"/>
          <w:sz w:val="32"/>
          <w:szCs w:val="32"/>
        </w:rPr>
      </w:pPr>
      <w:r>
        <w:rPr>
          <w:rFonts w:hint="eastAsia" w:ascii="黑体" w:hAnsi="黑体" w:eastAsia="黑体" w:cs="黑体"/>
          <w:sz w:val="32"/>
          <w:szCs w:val="32"/>
        </w:rPr>
        <w:t>申请人关联关系</w:t>
      </w:r>
    </w:p>
    <w:p>
      <w:pPr>
        <w:spacing w:line="360" w:lineRule="auto"/>
        <w:jc w:val="center"/>
        <w:rPr>
          <w:rFonts w:ascii="宋体" w:hAnsi="宋体"/>
          <w:sz w:val="20"/>
          <w:szCs w:val="20"/>
        </w:rPr>
      </w:pPr>
    </w:p>
    <w:p>
      <w:pPr>
        <w:spacing w:line="500" w:lineRule="exact"/>
        <w:ind w:firstLine="400" w:firstLineChars="200"/>
        <w:rPr>
          <w:rFonts w:ascii="宋体" w:hAnsi="宋体"/>
          <w:sz w:val="20"/>
          <w:szCs w:val="20"/>
        </w:rPr>
      </w:pPr>
      <w:r>
        <w:rPr>
          <w:rFonts w:hint="eastAsia" w:ascii="宋体" w:hAnsi="宋体"/>
          <w:sz w:val="20"/>
          <w:szCs w:val="20"/>
        </w:rPr>
        <w:t>1、投标人单位负责人在其他单位任职情况</w:t>
      </w:r>
    </w:p>
    <w:p>
      <w:pPr>
        <w:spacing w:line="500" w:lineRule="exact"/>
        <w:ind w:firstLine="400" w:firstLineChars="200"/>
        <w:rPr>
          <w:rFonts w:ascii="宋体" w:hAnsi="宋体"/>
          <w:sz w:val="20"/>
          <w:szCs w:val="20"/>
        </w:rPr>
      </w:pPr>
      <w:r>
        <w:rPr>
          <w:rFonts w:hint="eastAsia" w:ascii="宋体" w:hAnsi="宋体"/>
          <w:sz w:val="20"/>
          <w:szCs w:val="20"/>
        </w:rPr>
        <w:t>2、投标人控股关系说明</w:t>
      </w:r>
    </w:p>
    <w:p>
      <w:pPr>
        <w:spacing w:line="500" w:lineRule="exact"/>
        <w:ind w:firstLine="400" w:firstLineChars="200"/>
        <w:rPr>
          <w:rFonts w:ascii="宋体" w:hAnsi="宋体"/>
          <w:sz w:val="20"/>
          <w:szCs w:val="20"/>
        </w:rPr>
      </w:pPr>
      <w:r>
        <w:rPr>
          <w:rFonts w:hint="eastAsia" w:ascii="宋体" w:hAnsi="宋体"/>
          <w:sz w:val="20"/>
          <w:szCs w:val="20"/>
        </w:rPr>
        <w:t>（1）投标人下属控股单位：</w:t>
      </w:r>
    </w:p>
    <w:p>
      <w:pPr>
        <w:spacing w:line="500" w:lineRule="exact"/>
        <w:ind w:firstLine="400" w:firstLineChars="200"/>
        <w:rPr>
          <w:rFonts w:ascii="宋体" w:hAnsi="宋体"/>
          <w:sz w:val="20"/>
          <w:szCs w:val="20"/>
        </w:rPr>
      </w:pPr>
      <w:r>
        <w:rPr>
          <w:rFonts w:hint="eastAsia" w:ascii="宋体" w:hAnsi="宋体"/>
          <w:sz w:val="20"/>
          <w:szCs w:val="20"/>
        </w:rPr>
        <w:t>（2）投标人上属被控股单位：</w:t>
      </w:r>
    </w:p>
    <w:p>
      <w:pPr>
        <w:spacing w:line="500" w:lineRule="exact"/>
        <w:ind w:firstLine="400" w:firstLineChars="200"/>
        <w:rPr>
          <w:rFonts w:ascii="宋体" w:hAnsi="宋体"/>
          <w:sz w:val="20"/>
          <w:szCs w:val="20"/>
        </w:rPr>
      </w:pPr>
      <w:r>
        <w:rPr>
          <w:rFonts w:hint="eastAsia" w:ascii="宋体" w:hAnsi="宋体"/>
          <w:sz w:val="20"/>
          <w:szCs w:val="20"/>
        </w:rPr>
        <w:t>3、投标人管理关系说明</w:t>
      </w:r>
    </w:p>
    <w:p>
      <w:pPr>
        <w:spacing w:line="500" w:lineRule="exact"/>
        <w:ind w:firstLine="400" w:firstLineChars="200"/>
        <w:rPr>
          <w:rFonts w:ascii="宋体" w:hAnsi="宋体"/>
          <w:sz w:val="20"/>
          <w:szCs w:val="20"/>
        </w:rPr>
      </w:pPr>
      <w:r>
        <w:rPr>
          <w:rFonts w:hint="eastAsia" w:ascii="宋体" w:hAnsi="宋体"/>
          <w:sz w:val="20"/>
          <w:szCs w:val="20"/>
        </w:rPr>
        <w:t>（1）投标人下属管理单位：</w:t>
      </w:r>
    </w:p>
    <w:p>
      <w:pPr>
        <w:spacing w:line="500" w:lineRule="exact"/>
        <w:ind w:firstLine="900" w:firstLineChars="450"/>
        <w:rPr>
          <w:rFonts w:ascii="宋体" w:hAnsi="宋体"/>
          <w:sz w:val="20"/>
          <w:szCs w:val="20"/>
        </w:rPr>
      </w:pPr>
      <w:r>
        <w:rPr>
          <w:rFonts w:hint="eastAsia" w:ascii="宋体" w:hAnsi="宋体"/>
          <w:sz w:val="20"/>
          <w:szCs w:val="20"/>
        </w:rPr>
        <w:t>管理职责（行政、人事等）：</w:t>
      </w:r>
    </w:p>
    <w:p>
      <w:pPr>
        <w:spacing w:line="500" w:lineRule="exact"/>
        <w:ind w:firstLine="400" w:firstLineChars="200"/>
        <w:rPr>
          <w:rFonts w:ascii="宋体" w:hAnsi="宋体"/>
          <w:sz w:val="20"/>
          <w:szCs w:val="20"/>
        </w:rPr>
      </w:pPr>
      <w:r>
        <w:rPr>
          <w:rFonts w:hint="eastAsia" w:ascii="宋体" w:hAnsi="宋体"/>
          <w:sz w:val="20"/>
          <w:szCs w:val="20"/>
        </w:rPr>
        <w:t>（2）投标人上属被管理单位：</w:t>
      </w:r>
    </w:p>
    <w:p>
      <w:pPr>
        <w:spacing w:line="500" w:lineRule="exact"/>
        <w:ind w:firstLine="900" w:firstLineChars="450"/>
        <w:rPr>
          <w:rFonts w:ascii="宋体" w:hAnsi="宋体"/>
          <w:sz w:val="20"/>
          <w:szCs w:val="20"/>
        </w:rPr>
      </w:pPr>
      <w:r>
        <w:rPr>
          <w:rFonts w:hint="eastAsia" w:ascii="宋体" w:hAnsi="宋体"/>
          <w:sz w:val="20"/>
          <w:szCs w:val="20"/>
        </w:rPr>
        <w:t>管理职责（行政、人事等）：</w:t>
      </w:r>
    </w:p>
    <w:p>
      <w:pPr>
        <w:spacing w:beforeLines="100" w:afterLines="100"/>
        <w:jc w:val="center"/>
        <w:rPr>
          <w:rFonts w:ascii="宋体" w:hAnsi="宋体"/>
          <w:sz w:val="20"/>
          <w:szCs w:val="20"/>
        </w:rPr>
      </w:pPr>
    </w:p>
    <w:p>
      <w:pPr>
        <w:spacing w:line="440" w:lineRule="exact"/>
        <w:jc w:val="right"/>
        <w:rPr>
          <w:rFonts w:ascii="宋体" w:hAnsi="宋体"/>
          <w:sz w:val="20"/>
          <w:szCs w:val="20"/>
        </w:rPr>
      </w:pPr>
      <w:r>
        <w:rPr>
          <w:rFonts w:hint="eastAsia" w:ascii="宋体" w:hAnsi="宋体"/>
          <w:sz w:val="20"/>
          <w:szCs w:val="20"/>
        </w:rPr>
        <w:t>投标人：</w:t>
      </w:r>
      <w:r>
        <w:rPr>
          <w:rFonts w:hint="eastAsia" w:ascii="宋体" w:hAnsi="宋体"/>
          <w:sz w:val="20"/>
          <w:szCs w:val="20"/>
          <w:u w:val="single"/>
        </w:rPr>
        <w:t xml:space="preserve">                             </w:t>
      </w:r>
      <w:r>
        <w:rPr>
          <w:rFonts w:hint="eastAsia" w:ascii="宋体" w:hAnsi="宋体"/>
          <w:sz w:val="20"/>
          <w:szCs w:val="20"/>
        </w:rPr>
        <w:t>（盖单位章）</w:t>
      </w:r>
    </w:p>
    <w:p>
      <w:pPr>
        <w:spacing w:line="440" w:lineRule="exact"/>
        <w:jc w:val="right"/>
        <w:rPr>
          <w:rFonts w:ascii="宋体" w:hAnsi="宋体"/>
          <w:sz w:val="20"/>
          <w:szCs w:val="20"/>
        </w:rPr>
      </w:pPr>
      <w:r>
        <w:rPr>
          <w:rFonts w:hint="eastAsia" w:ascii="宋体" w:hAnsi="宋体"/>
          <w:sz w:val="20"/>
          <w:szCs w:val="20"/>
        </w:rPr>
        <w:t>法定代表人或其委托代理人：</w:t>
      </w:r>
      <w:r>
        <w:rPr>
          <w:rFonts w:hint="eastAsia" w:ascii="宋体" w:hAnsi="宋体"/>
          <w:sz w:val="20"/>
          <w:szCs w:val="20"/>
          <w:u w:val="single"/>
        </w:rPr>
        <w:t xml:space="preserve">               </w:t>
      </w:r>
      <w:r>
        <w:rPr>
          <w:rFonts w:hint="eastAsia" w:ascii="宋体" w:hAnsi="宋体"/>
          <w:sz w:val="20"/>
          <w:szCs w:val="20"/>
        </w:rPr>
        <w:t>（签字或盖章）</w:t>
      </w:r>
    </w:p>
    <w:p>
      <w:pPr>
        <w:spacing w:line="440" w:lineRule="exact"/>
        <w:jc w:val="right"/>
        <w:rPr>
          <w:rFonts w:ascii="宋体" w:hAnsi="宋体"/>
          <w:sz w:val="20"/>
          <w:szCs w:val="20"/>
        </w:rPr>
      </w:pPr>
    </w:p>
    <w:p>
      <w:pPr>
        <w:spacing w:line="400" w:lineRule="exact"/>
        <w:rPr>
          <w:sz w:val="20"/>
          <w:szCs w:val="20"/>
        </w:rPr>
      </w:pPr>
      <w:r>
        <w:rPr>
          <w:rFonts w:hint="eastAsia" w:ascii="宋体" w:hAnsi="宋体"/>
          <w:sz w:val="20"/>
          <w:szCs w:val="20"/>
        </w:rPr>
        <w:t xml:space="preserve">                                     </w:t>
      </w:r>
      <w:r>
        <w:rPr>
          <w:rFonts w:hint="eastAsia" w:ascii="宋体" w:hAnsi="宋体"/>
          <w:sz w:val="20"/>
          <w:szCs w:val="20"/>
          <w:u w:val="single"/>
        </w:rPr>
        <w:t xml:space="preserve">         </w:t>
      </w:r>
      <w:r>
        <w:rPr>
          <w:rFonts w:hint="eastAsia" w:ascii="宋体" w:hAnsi="宋体"/>
          <w:sz w:val="20"/>
          <w:szCs w:val="20"/>
        </w:rPr>
        <w:t>年</w:t>
      </w:r>
      <w:r>
        <w:rPr>
          <w:rFonts w:hint="eastAsia" w:ascii="宋体" w:hAnsi="宋体"/>
          <w:sz w:val="20"/>
          <w:szCs w:val="20"/>
          <w:u w:val="single"/>
        </w:rPr>
        <w:t xml:space="preserve">       </w:t>
      </w:r>
      <w:r>
        <w:rPr>
          <w:rFonts w:hint="eastAsia" w:ascii="宋体" w:hAnsi="宋体"/>
          <w:sz w:val="20"/>
          <w:szCs w:val="20"/>
        </w:rPr>
        <w:t>月</w:t>
      </w:r>
      <w:r>
        <w:rPr>
          <w:rFonts w:hint="eastAsia" w:ascii="宋体" w:hAnsi="宋体"/>
          <w:sz w:val="20"/>
          <w:szCs w:val="20"/>
          <w:u w:val="single"/>
        </w:rPr>
        <w:t xml:space="preserve">       </w:t>
      </w:r>
      <w:r>
        <w:rPr>
          <w:rFonts w:hint="eastAsia" w:ascii="宋体" w:hAnsi="宋体"/>
          <w:sz w:val="20"/>
          <w:szCs w:val="20"/>
        </w:rPr>
        <w:t>日</w:t>
      </w:r>
    </w:p>
    <w:p>
      <w:pPr>
        <w:spacing w:line="440" w:lineRule="exact"/>
        <w:rPr>
          <w:rFonts w:eastAsia="黑体"/>
          <w:sz w:val="20"/>
          <w:szCs w:val="20"/>
        </w:rPr>
      </w:pPr>
    </w:p>
    <w:p>
      <w:pPr>
        <w:spacing w:line="440" w:lineRule="exact"/>
        <w:rPr>
          <w:rFonts w:eastAsia="黑体"/>
          <w:sz w:val="20"/>
          <w:szCs w:val="20"/>
        </w:rPr>
      </w:pPr>
    </w:p>
    <w:p>
      <w:pPr>
        <w:spacing w:line="440" w:lineRule="exact"/>
        <w:rPr>
          <w:rFonts w:hint="eastAsia" w:ascii="宋体" w:hAnsi="宋体"/>
          <w:sz w:val="20"/>
          <w:szCs w:val="20"/>
        </w:rPr>
      </w:pPr>
    </w:p>
    <w:p>
      <w:pPr>
        <w:spacing w:line="440" w:lineRule="exact"/>
        <w:rPr>
          <w:rFonts w:hint="eastAsia" w:ascii="宋体" w:hAnsi="宋体"/>
          <w:sz w:val="20"/>
          <w:szCs w:val="20"/>
        </w:rPr>
      </w:pPr>
    </w:p>
    <w:p>
      <w:pPr>
        <w:spacing w:line="440" w:lineRule="exact"/>
        <w:rPr>
          <w:rFonts w:hint="eastAsia" w:ascii="宋体" w:hAnsi="宋体"/>
          <w:sz w:val="20"/>
          <w:szCs w:val="20"/>
        </w:rPr>
      </w:pPr>
    </w:p>
    <w:p>
      <w:pPr>
        <w:spacing w:line="440" w:lineRule="exact"/>
        <w:rPr>
          <w:rFonts w:hint="eastAsia" w:ascii="宋体" w:hAnsi="宋体"/>
          <w:sz w:val="20"/>
          <w:szCs w:val="20"/>
        </w:rPr>
      </w:pPr>
    </w:p>
    <w:p>
      <w:pPr>
        <w:spacing w:line="440" w:lineRule="exact"/>
        <w:rPr>
          <w:rFonts w:hint="eastAsia" w:ascii="宋体" w:hAnsi="宋体"/>
          <w:sz w:val="20"/>
          <w:szCs w:val="20"/>
        </w:rPr>
      </w:pPr>
    </w:p>
    <w:p>
      <w:pPr>
        <w:spacing w:line="440" w:lineRule="exact"/>
        <w:rPr>
          <w:rFonts w:eastAsia="黑体"/>
          <w:sz w:val="20"/>
          <w:szCs w:val="20"/>
        </w:rPr>
      </w:pPr>
      <w:r>
        <w:rPr>
          <w:rFonts w:hint="eastAsia" w:ascii="宋体" w:hAnsi="宋体"/>
          <w:sz w:val="20"/>
          <w:szCs w:val="20"/>
        </w:rPr>
        <w:t>附2：</w:t>
      </w:r>
    </w:p>
    <w:p>
      <w:pPr>
        <w:spacing w:line="360" w:lineRule="auto"/>
        <w:jc w:val="center"/>
        <w:rPr>
          <w:rFonts w:ascii="宋体" w:hAnsi="宋体"/>
          <w:sz w:val="20"/>
          <w:szCs w:val="20"/>
        </w:rPr>
      </w:pPr>
    </w:p>
    <w:p>
      <w:pPr>
        <w:spacing w:line="360" w:lineRule="auto"/>
        <w:jc w:val="center"/>
        <w:rPr>
          <w:rFonts w:ascii="宋体" w:hAnsi="宋体"/>
          <w:sz w:val="20"/>
          <w:szCs w:val="20"/>
        </w:rPr>
      </w:pPr>
    </w:p>
    <w:p>
      <w:pPr>
        <w:spacing w:line="360" w:lineRule="auto"/>
        <w:jc w:val="center"/>
        <w:rPr>
          <w:rFonts w:hint="eastAsia" w:ascii="黑体" w:hAnsi="黑体" w:eastAsia="黑体" w:cs="黑体"/>
          <w:sz w:val="32"/>
          <w:szCs w:val="32"/>
        </w:rPr>
      </w:pPr>
      <w:r>
        <w:rPr>
          <w:rFonts w:hint="eastAsia" w:ascii="黑体" w:hAnsi="黑体" w:eastAsia="黑体" w:cs="黑体"/>
          <w:sz w:val="32"/>
          <w:szCs w:val="32"/>
        </w:rPr>
        <w:t>投标人承诺书</w:t>
      </w:r>
    </w:p>
    <w:p>
      <w:pPr>
        <w:spacing w:afterLines="100" w:line="440" w:lineRule="exact"/>
        <w:rPr>
          <w:rFonts w:ascii="宋体" w:hAnsi="宋体"/>
          <w:sz w:val="20"/>
          <w:szCs w:val="20"/>
          <w:u w:val="single"/>
        </w:rPr>
      </w:pPr>
    </w:p>
    <w:p>
      <w:pPr>
        <w:spacing w:afterLines="100" w:line="440" w:lineRule="exact"/>
        <w:rPr>
          <w:rFonts w:ascii="宋体" w:hAnsi="宋体"/>
          <w:sz w:val="20"/>
          <w:szCs w:val="20"/>
        </w:rPr>
      </w:pPr>
      <w:r>
        <w:rPr>
          <w:rFonts w:hint="eastAsia" w:ascii="宋体" w:hAnsi="宋体"/>
          <w:sz w:val="20"/>
          <w:szCs w:val="20"/>
          <w:u w:val="single"/>
        </w:rPr>
        <w:t>（招标人名称）</w:t>
      </w:r>
      <w:r>
        <w:rPr>
          <w:rFonts w:hint="eastAsia" w:ascii="宋体" w:hAnsi="宋体"/>
          <w:sz w:val="20"/>
          <w:szCs w:val="20"/>
        </w:rPr>
        <w:t>：</w:t>
      </w:r>
    </w:p>
    <w:p>
      <w:pPr>
        <w:spacing w:line="520" w:lineRule="exact"/>
        <w:ind w:firstLine="400" w:firstLineChars="200"/>
        <w:rPr>
          <w:rFonts w:ascii="宋体" w:hAnsi="宋体"/>
          <w:sz w:val="20"/>
          <w:szCs w:val="20"/>
        </w:rPr>
      </w:pPr>
    </w:p>
    <w:p>
      <w:pPr>
        <w:spacing w:line="520" w:lineRule="exact"/>
        <w:ind w:firstLine="400" w:firstLineChars="200"/>
        <w:rPr>
          <w:rFonts w:ascii="宋体" w:hAnsi="宋体"/>
          <w:sz w:val="20"/>
          <w:szCs w:val="20"/>
        </w:rPr>
      </w:pPr>
      <w:r>
        <w:rPr>
          <w:rFonts w:hint="eastAsia" w:ascii="宋体" w:hAnsi="宋体"/>
          <w:sz w:val="20"/>
          <w:szCs w:val="20"/>
        </w:rPr>
        <w:t>我方在此声明，我方未被  省、市、县（项目所在地）三级政府行政主管部门列为限制参与投标的行为人。</w:t>
      </w:r>
    </w:p>
    <w:p>
      <w:pPr>
        <w:spacing w:line="520" w:lineRule="exact"/>
        <w:ind w:firstLine="400" w:firstLineChars="200"/>
        <w:rPr>
          <w:rFonts w:ascii="宋体" w:hAnsi="宋体"/>
          <w:sz w:val="20"/>
          <w:szCs w:val="20"/>
        </w:rPr>
      </w:pPr>
      <w:r>
        <w:rPr>
          <w:rFonts w:hint="eastAsia" w:ascii="宋体" w:hAnsi="宋体"/>
          <w:sz w:val="20"/>
          <w:szCs w:val="20"/>
        </w:rPr>
        <w:t>我方在此声明，拟派代建项目经理无在建项目。</w:t>
      </w:r>
    </w:p>
    <w:p>
      <w:pPr>
        <w:spacing w:line="520" w:lineRule="exact"/>
        <w:ind w:firstLine="400" w:firstLineChars="200"/>
        <w:rPr>
          <w:rFonts w:ascii="宋体" w:hAnsi="宋体"/>
          <w:sz w:val="20"/>
          <w:szCs w:val="20"/>
        </w:rPr>
      </w:pPr>
      <w:r>
        <w:rPr>
          <w:rFonts w:hint="eastAsia" w:ascii="宋体" w:hAnsi="宋体"/>
          <w:sz w:val="20"/>
          <w:szCs w:val="20"/>
        </w:rPr>
        <w:t>我方保证本次资格预审申请所有内容和资料均真实、有效、准确，并愿意承担因我方就此弄虚作假所引起的一切法律后果。</w:t>
      </w:r>
    </w:p>
    <w:p>
      <w:pPr>
        <w:spacing w:line="520" w:lineRule="exact"/>
        <w:ind w:firstLine="400" w:firstLineChars="200"/>
        <w:rPr>
          <w:rFonts w:ascii="宋体" w:hAnsi="宋体"/>
          <w:sz w:val="20"/>
          <w:szCs w:val="20"/>
        </w:rPr>
      </w:pPr>
    </w:p>
    <w:p>
      <w:pPr>
        <w:spacing w:line="520" w:lineRule="exact"/>
        <w:ind w:firstLine="400" w:firstLineChars="200"/>
        <w:rPr>
          <w:rFonts w:ascii="宋体" w:hAnsi="宋体"/>
          <w:sz w:val="20"/>
          <w:szCs w:val="20"/>
        </w:rPr>
      </w:pPr>
      <w:r>
        <w:rPr>
          <w:rFonts w:hint="eastAsia" w:ascii="宋体" w:hAnsi="宋体"/>
          <w:sz w:val="20"/>
          <w:szCs w:val="20"/>
        </w:rPr>
        <w:t>特此承诺</w:t>
      </w:r>
    </w:p>
    <w:p>
      <w:pPr>
        <w:spacing w:line="440" w:lineRule="exact"/>
        <w:ind w:firstLine="400" w:firstLineChars="200"/>
        <w:rPr>
          <w:rFonts w:ascii="宋体" w:hAnsi="宋体"/>
          <w:sz w:val="20"/>
          <w:szCs w:val="20"/>
        </w:rPr>
      </w:pPr>
    </w:p>
    <w:p>
      <w:pPr>
        <w:spacing w:line="440" w:lineRule="exact"/>
        <w:ind w:firstLine="400" w:firstLineChars="200"/>
        <w:rPr>
          <w:rFonts w:ascii="宋体" w:hAnsi="宋体"/>
          <w:sz w:val="20"/>
          <w:szCs w:val="20"/>
        </w:rPr>
      </w:pPr>
    </w:p>
    <w:p>
      <w:pPr>
        <w:spacing w:line="440" w:lineRule="exact"/>
        <w:ind w:firstLine="400" w:firstLineChars="200"/>
        <w:rPr>
          <w:rFonts w:ascii="宋体" w:hAnsi="宋体"/>
          <w:sz w:val="20"/>
          <w:szCs w:val="20"/>
        </w:rPr>
      </w:pPr>
    </w:p>
    <w:p>
      <w:pPr>
        <w:spacing w:line="440" w:lineRule="exact"/>
        <w:jc w:val="right"/>
        <w:rPr>
          <w:rFonts w:ascii="宋体" w:hAnsi="宋体"/>
          <w:sz w:val="20"/>
          <w:szCs w:val="20"/>
        </w:rPr>
      </w:pPr>
    </w:p>
    <w:p>
      <w:pPr>
        <w:spacing w:line="440" w:lineRule="exact"/>
        <w:ind w:right="480"/>
        <w:jc w:val="center"/>
        <w:rPr>
          <w:rFonts w:ascii="宋体" w:hAnsi="宋体"/>
          <w:sz w:val="20"/>
          <w:szCs w:val="20"/>
        </w:rPr>
      </w:pPr>
      <w:r>
        <w:rPr>
          <w:rFonts w:hint="eastAsia" w:ascii="宋体" w:hAnsi="宋体"/>
          <w:sz w:val="20"/>
          <w:szCs w:val="20"/>
        </w:rPr>
        <w:t xml:space="preserve">            </w:t>
      </w:r>
      <w:r>
        <w:rPr>
          <w:rFonts w:ascii="宋体" w:hAnsi="宋体"/>
          <w:sz w:val="20"/>
          <w:szCs w:val="20"/>
        </w:rPr>
        <w:t xml:space="preserve">           </w:t>
      </w:r>
      <w:r>
        <w:rPr>
          <w:rFonts w:hint="eastAsia" w:ascii="宋体" w:hAnsi="宋体"/>
          <w:sz w:val="20"/>
          <w:szCs w:val="20"/>
        </w:rPr>
        <w:t xml:space="preserve"> 申请人：</w:t>
      </w:r>
      <w:r>
        <w:rPr>
          <w:rFonts w:hint="eastAsia" w:ascii="宋体" w:hAnsi="宋体"/>
          <w:sz w:val="20"/>
          <w:szCs w:val="20"/>
          <w:u w:val="single"/>
        </w:rPr>
        <w:t xml:space="preserve">                                  </w:t>
      </w:r>
      <w:r>
        <w:rPr>
          <w:rFonts w:hint="eastAsia" w:ascii="宋体" w:hAnsi="宋体"/>
          <w:sz w:val="20"/>
          <w:szCs w:val="20"/>
        </w:rPr>
        <w:t>（盖单位章）</w:t>
      </w:r>
    </w:p>
    <w:p>
      <w:pPr>
        <w:spacing w:line="440" w:lineRule="exact"/>
        <w:jc w:val="right"/>
        <w:rPr>
          <w:rFonts w:ascii="宋体" w:hAnsi="宋体"/>
          <w:sz w:val="20"/>
          <w:szCs w:val="20"/>
        </w:rPr>
      </w:pPr>
    </w:p>
    <w:p>
      <w:pPr>
        <w:spacing w:line="440" w:lineRule="exact"/>
        <w:ind w:right="420"/>
        <w:jc w:val="right"/>
        <w:rPr>
          <w:rFonts w:ascii="宋体" w:hAnsi="宋体"/>
          <w:sz w:val="20"/>
          <w:szCs w:val="20"/>
        </w:rPr>
      </w:pPr>
      <w:r>
        <w:rPr>
          <w:rFonts w:hint="eastAsia" w:ascii="宋体" w:hAnsi="宋体"/>
          <w:sz w:val="20"/>
          <w:szCs w:val="20"/>
        </w:rPr>
        <w:t>法定代表人或其委托代理人：</w:t>
      </w:r>
      <w:r>
        <w:rPr>
          <w:rFonts w:hint="eastAsia" w:ascii="宋体" w:hAnsi="宋体"/>
          <w:sz w:val="20"/>
          <w:szCs w:val="20"/>
          <w:u w:val="single"/>
        </w:rPr>
        <w:t xml:space="preserve">               </w:t>
      </w:r>
      <w:r>
        <w:rPr>
          <w:rFonts w:hint="eastAsia" w:ascii="宋体" w:hAnsi="宋体"/>
          <w:sz w:val="20"/>
          <w:szCs w:val="20"/>
        </w:rPr>
        <w:t>（签字或盖章）</w:t>
      </w:r>
    </w:p>
    <w:p>
      <w:pPr>
        <w:spacing w:line="440" w:lineRule="exact"/>
        <w:jc w:val="right"/>
        <w:rPr>
          <w:rFonts w:ascii="宋体" w:hAnsi="宋体"/>
          <w:sz w:val="20"/>
          <w:szCs w:val="20"/>
        </w:rPr>
      </w:pPr>
    </w:p>
    <w:p>
      <w:pPr>
        <w:spacing w:line="440" w:lineRule="exact"/>
        <w:ind w:right="420"/>
        <w:jc w:val="right"/>
        <w:rPr>
          <w:rFonts w:ascii="宋体" w:hAnsi="宋体"/>
          <w:sz w:val="20"/>
          <w:szCs w:val="20"/>
        </w:rPr>
      </w:pPr>
      <w:r>
        <w:rPr>
          <w:rFonts w:hint="eastAsia" w:ascii="宋体" w:hAnsi="宋体"/>
          <w:sz w:val="20"/>
          <w:szCs w:val="20"/>
          <w:u w:val="single"/>
        </w:rPr>
        <w:t xml:space="preserve">          </w:t>
      </w:r>
      <w:r>
        <w:rPr>
          <w:rFonts w:hint="eastAsia" w:ascii="宋体" w:hAnsi="宋体"/>
          <w:sz w:val="20"/>
          <w:szCs w:val="20"/>
        </w:rPr>
        <w:t>年</w:t>
      </w:r>
      <w:r>
        <w:rPr>
          <w:rFonts w:hint="eastAsia" w:ascii="宋体" w:hAnsi="宋体"/>
          <w:sz w:val="20"/>
          <w:szCs w:val="20"/>
          <w:u w:val="single"/>
        </w:rPr>
        <w:t xml:space="preserve">       </w:t>
      </w:r>
      <w:r>
        <w:rPr>
          <w:rFonts w:hint="eastAsia" w:ascii="宋体" w:hAnsi="宋体"/>
          <w:sz w:val="20"/>
          <w:szCs w:val="20"/>
        </w:rPr>
        <w:t>月</w:t>
      </w:r>
      <w:r>
        <w:rPr>
          <w:rFonts w:hint="eastAsia" w:ascii="宋体" w:hAnsi="宋体"/>
          <w:sz w:val="20"/>
          <w:szCs w:val="20"/>
          <w:u w:val="single"/>
        </w:rPr>
        <w:t xml:space="preserve">       </w:t>
      </w:r>
      <w:r>
        <w:rPr>
          <w:rFonts w:hint="eastAsia" w:ascii="宋体" w:hAnsi="宋体"/>
          <w:sz w:val="20"/>
          <w:szCs w:val="20"/>
        </w:rPr>
        <w:t>日</w:t>
      </w:r>
    </w:p>
    <w:p>
      <w:pPr>
        <w:spacing w:line="440" w:lineRule="exact"/>
        <w:rPr>
          <w:rFonts w:ascii="宋体" w:hAnsi="宋体"/>
          <w:sz w:val="24"/>
          <w:szCs w:val="21"/>
        </w:rPr>
      </w:pPr>
    </w:p>
    <w:p>
      <w:pPr>
        <w:rPr>
          <w:rFonts w:ascii="宋体"/>
          <w:sz w:val="36"/>
          <w:szCs w:val="36"/>
        </w:rPr>
      </w:pPr>
      <w:r>
        <w:rPr>
          <w:rFonts w:ascii="宋体"/>
          <w:sz w:val="36"/>
          <w:szCs w:val="36"/>
        </w:rPr>
        <w:br w:type="page"/>
      </w:r>
    </w:p>
    <w:p>
      <w:pPr>
        <w:jc w:val="center"/>
        <w:rPr>
          <w:rFonts w:ascii="宋体" w:hAnsi="宋体"/>
          <w:b/>
          <w:sz w:val="28"/>
          <w:szCs w:val="28"/>
        </w:rPr>
      </w:pPr>
      <w:r>
        <w:rPr>
          <w:rFonts w:hint="eastAsia" w:ascii="宋体" w:hAnsi="宋体"/>
          <w:b/>
          <w:sz w:val="28"/>
          <w:szCs w:val="28"/>
        </w:rPr>
        <w:t>（二）拟派代建项目经理（专业负责人）简历表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440" w:lineRule="exact"/>
              <w:jc w:val="center"/>
              <w:rPr>
                <w:rFonts w:ascii="宋体" w:hAnsi="宋体"/>
                <w:szCs w:val="21"/>
              </w:rPr>
            </w:pPr>
            <w:r>
              <w:rPr>
                <w:rFonts w:ascii="宋体" w:hAnsi="宋体"/>
                <w:szCs w:val="21"/>
              </w:rPr>
              <w:t>姓  名</w:t>
            </w:r>
          </w:p>
        </w:tc>
        <w:tc>
          <w:tcPr>
            <w:tcW w:w="1079" w:type="dxa"/>
            <w:gridSpan w:val="2"/>
            <w:vAlign w:val="center"/>
          </w:tcPr>
          <w:p>
            <w:pPr>
              <w:spacing w:line="440" w:lineRule="exact"/>
              <w:jc w:val="center"/>
              <w:rPr>
                <w:rFonts w:ascii="宋体" w:hAnsi="宋体"/>
                <w:szCs w:val="21"/>
              </w:rPr>
            </w:pPr>
          </w:p>
        </w:tc>
        <w:tc>
          <w:tcPr>
            <w:tcW w:w="927" w:type="dxa"/>
            <w:vAlign w:val="center"/>
          </w:tcPr>
          <w:p>
            <w:pPr>
              <w:spacing w:line="440" w:lineRule="exact"/>
              <w:jc w:val="center"/>
              <w:rPr>
                <w:rFonts w:ascii="宋体" w:hAnsi="宋体"/>
                <w:szCs w:val="21"/>
              </w:rPr>
            </w:pPr>
            <w:r>
              <w:rPr>
                <w:rFonts w:ascii="宋体" w:hAnsi="宋体"/>
                <w:szCs w:val="21"/>
              </w:rPr>
              <w:t>年 龄</w:t>
            </w:r>
          </w:p>
        </w:tc>
        <w:tc>
          <w:tcPr>
            <w:tcW w:w="1065" w:type="dxa"/>
            <w:vAlign w:val="center"/>
          </w:tcPr>
          <w:p>
            <w:pPr>
              <w:spacing w:line="440" w:lineRule="exact"/>
              <w:jc w:val="center"/>
              <w:rPr>
                <w:rFonts w:ascii="宋体" w:hAnsi="宋体"/>
                <w:szCs w:val="21"/>
              </w:rPr>
            </w:pPr>
          </w:p>
        </w:tc>
        <w:tc>
          <w:tcPr>
            <w:tcW w:w="2130" w:type="dxa"/>
            <w:gridSpan w:val="3"/>
            <w:vAlign w:val="center"/>
          </w:tcPr>
          <w:p>
            <w:pPr>
              <w:spacing w:line="440" w:lineRule="exact"/>
              <w:jc w:val="center"/>
              <w:rPr>
                <w:rFonts w:ascii="宋体" w:hAnsi="宋体"/>
                <w:szCs w:val="21"/>
              </w:rPr>
            </w:pPr>
            <w:r>
              <w:rPr>
                <w:rFonts w:ascii="宋体" w:hAnsi="宋体"/>
                <w:szCs w:val="21"/>
              </w:rPr>
              <w:t>学历</w:t>
            </w:r>
          </w:p>
        </w:tc>
        <w:tc>
          <w:tcPr>
            <w:tcW w:w="2134"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440" w:lineRule="exact"/>
              <w:jc w:val="center"/>
              <w:rPr>
                <w:rFonts w:ascii="宋体" w:hAnsi="宋体"/>
                <w:szCs w:val="21"/>
              </w:rPr>
            </w:pPr>
            <w:r>
              <w:rPr>
                <w:rFonts w:ascii="宋体" w:hAnsi="宋体"/>
                <w:szCs w:val="21"/>
              </w:rPr>
              <w:t>职  称</w:t>
            </w:r>
          </w:p>
        </w:tc>
        <w:tc>
          <w:tcPr>
            <w:tcW w:w="1079" w:type="dxa"/>
            <w:gridSpan w:val="2"/>
            <w:vAlign w:val="center"/>
          </w:tcPr>
          <w:p>
            <w:pPr>
              <w:spacing w:line="440" w:lineRule="exact"/>
              <w:jc w:val="center"/>
              <w:rPr>
                <w:rFonts w:ascii="宋体" w:hAnsi="宋体"/>
                <w:szCs w:val="21"/>
              </w:rPr>
            </w:pPr>
          </w:p>
        </w:tc>
        <w:tc>
          <w:tcPr>
            <w:tcW w:w="927" w:type="dxa"/>
            <w:vAlign w:val="center"/>
          </w:tcPr>
          <w:p>
            <w:pPr>
              <w:spacing w:line="440" w:lineRule="exact"/>
              <w:jc w:val="center"/>
              <w:rPr>
                <w:rFonts w:ascii="宋体" w:hAnsi="宋体"/>
                <w:szCs w:val="21"/>
              </w:rPr>
            </w:pPr>
            <w:r>
              <w:rPr>
                <w:rFonts w:ascii="宋体" w:hAnsi="宋体"/>
                <w:szCs w:val="21"/>
              </w:rPr>
              <w:t>职 务</w:t>
            </w:r>
          </w:p>
        </w:tc>
        <w:tc>
          <w:tcPr>
            <w:tcW w:w="1065" w:type="dxa"/>
            <w:vAlign w:val="center"/>
          </w:tcPr>
          <w:p>
            <w:pPr>
              <w:spacing w:line="440" w:lineRule="exact"/>
              <w:jc w:val="center"/>
              <w:rPr>
                <w:rFonts w:ascii="宋体" w:hAnsi="宋体"/>
                <w:szCs w:val="21"/>
              </w:rPr>
            </w:pPr>
          </w:p>
        </w:tc>
        <w:tc>
          <w:tcPr>
            <w:tcW w:w="2130" w:type="dxa"/>
            <w:gridSpan w:val="3"/>
            <w:vAlign w:val="center"/>
          </w:tcPr>
          <w:p>
            <w:pPr>
              <w:spacing w:line="440" w:lineRule="exact"/>
              <w:jc w:val="center"/>
              <w:rPr>
                <w:rFonts w:ascii="宋体" w:hAnsi="宋体"/>
                <w:szCs w:val="21"/>
              </w:rPr>
            </w:pPr>
            <w:r>
              <w:rPr>
                <w:rFonts w:ascii="宋体" w:hAnsi="宋体"/>
                <w:szCs w:val="21"/>
              </w:rPr>
              <w:t>拟在本合同任职</w:t>
            </w:r>
          </w:p>
        </w:tc>
        <w:tc>
          <w:tcPr>
            <w:tcW w:w="2134"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440" w:lineRule="exact"/>
              <w:jc w:val="center"/>
              <w:rPr>
                <w:rFonts w:ascii="宋体" w:hAnsi="宋体"/>
                <w:szCs w:val="21"/>
              </w:rPr>
            </w:pPr>
            <w:r>
              <w:rPr>
                <w:rFonts w:ascii="宋体" w:hAnsi="宋体"/>
                <w:szCs w:val="21"/>
              </w:rPr>
              <w:t>毕业学校</w:t>
            </w:r>
          </w:p>
        </w:tc>
        <w:tc>
          <w:tcPr>
            <w:tcW w:w="7335" w:type="dxa"/>
            <w:gridSpan w:val="8"/>
          </w:tcPr>
          <w:p>
            <w:pPr>
              <w:spacing w:line="440" w:lineRule="exact"/>
              <w:ind w:firstLine="945" w:firstLineChars="450"/>
              <w:rPr>
                <w:rFonts w:ascii="宋体" w:hAnsi="宋体"/>
                <w:szCs w:val="21"/>
              </w:rPr>
            </w:pPr>
            <w:r>
              <w:rPr>
                <w:rFonts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40" w:lineRule="exact"/>
              <w:rPr>
                <w:rFonts w:ascii="宋体" w:hAnsi="宋体"/>
                <w:szCs w:val="21"/>
              </w:rPr>
            </w:pPr>
            <w:r>
              <w:rPr>
                <w:rFonts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vAlign w:val="center"/>
          </w:tcPr>
          <w:p>
            <w:pPr>
              <w:spacing w:line="440" w:lineRule="exact"/>
              <w:jc w:val="center"/>
              <w:rPr>
                <w:rFonts w:ascii="宋体" w:hAnsi="宋体"/>
                <w:szCs w:val="21"/>
              </w:rPr>
            </w:pPr>
            <w:r>
              <w:rPr>
                <w:rFonts w:ascii="宋体" w:hAnsi="宋体"/>
                <w:szCs w:val="21"/>
              </w:rPr>
              <w:t>时  间</w:t>
            </w:r>
          </w:p>
        </w:tc>
        <w:tc>
          <w:tcPr>
            <w:tcW w:w="3420" w:type="dxa"/>
            <w:gridSpan w:val="4"/>
            <w:vAlign w:val="center"/>
          </w:tcPr>
          <w:p>
            <w:pPr>
              <w:spacing w:line="440" w:lineRule="exact"/>
              <w:jc w:val="center"/>
              <w:rPr>
                <w:rFonts w:ascii="宋体" w:hAnsi="宋体"/>
                <w:szCs w:val="21"/>
              </w:rPr>
            </w:pPr>
            <w:r>
              <w:rPr>
                <w:rFonts w:ascii="宋体" w:hAnsi="宋体"/>
                <w:szCs w:val="21"/>
              </w:rPr>
              <w:t>参加过的类似项目</w:t>
            </w:r>
          </w:p>
        </w:tc>
        <w:tc>
          <w:tcPr>
            <w:tcW w:w="1261" w:type="dxa"/>
            <w:vAlign w:val="center"/>
          </w:tcPr>
          <w:p>
            <w:pPr>
              <w:spacing w:line="440" w:lineRule="exact"/>
              <w:jc w:val="center"/>
              <w:rPr>
                <w:rFonts w:ascii="宋体" w:hAnsi="宋体"/>
                <w:szCs w:val="21"/>
              </w:rPr>
            </w:pPr>
            <w:r>
              <w:rPr>
                <w:rFonts w:ascii="宋体" w:hAnsi="宋体"/>
                <w:szCs w:val="21"/>
              </w:rPr>
              <w:t>担任职务</w:t>
            </w:r>
          </w:p>
        </w:tc>
        <w:tc>
          <w:tcPr>
            <w:tcW w:w="2297" w:type="dxa"/>
            <w:gridSpan w:val="2"/>
            <w:vAlign w:val="center"/>
          </w:tcPr>
          <w:p>
            <w:pPr>
              <w:spacing w:line="440" w:lineRule="exact"/>
              <w:jc w:val="center"/>
              <w:rPr>
                <w:rFonts w:ascii="宋体" w:hAnsi="宋体"/>
                <w:szCs w:val="21"/>
              </w:rPr>
            </w:pPr>
            <w:r>
              <w:rPr>
                <w:rFonts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7"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7"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7"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7"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7"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7"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7"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7"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7" w:type="dxa"/>
            <w:gridSpan w:val="2"/>
            <w:vAlign w:val="center"/>
          </w:tcPr>
          <w:p>
            <w:pPr>
              <w:spacing w:line="440" w:lineRule="exact"/>
              <w:rPr>
                <w:rFonts w:eastAsia="黑体"/>
                <w:szCs w:val="21"/>
              </w:rPr>
            </w:pPr>
          </w:p>
        </w:tc>
      </w:tr>
    </w:tbl>
    <w:p>
      <w:pPr>
        <w:spacing w:line="400" w:lineRule="exact"/>
      </w:pPr>
      <w:r>
        <w:rPr>
          <w:rFonts w:hint="eastAsia"/>
        </w:rPr>
        <w:t>注：</w:t>
      </w:r>
    </w:p>
    <w:p>
      <w:pPr>
        <w:spacing w:line="400" w:lineRule="exact"/>
      </w:pPr>
      <w:r>
        <w:rPr>
          <w:rFonts w:hint="eastAsia"/>
        </w:rPr>
        <w:t>1）此表后须附资格证书、职称证、身份证、学历证、</w:t>
      </w:r>
      <w:r>
        <w:rPr>
          <w:rFonts w:hint="eastAsia" w:ascii="宋体" w:hAnsi="宋体" w:cs="宋体"/>
          <w:kern w:val="0"/>
          <w:szCs w:val="21"/>
        </w:rPr>
        <w:t>社保缴纳证明资料</w:t>
      </w:r>
      <w:r>
        <w:rPr>
          <w:rFonts w:hint="eastAsia"/>
        </w:rPr>
        <w:t>等资料复印件加盖申请人公章。</w:t>
      </w:r>
    </w:p>
    <w:p>
      <w:pPr>
        <w:spacing w:line="400" w:lineRule="exact"/>
        <w:rPr>
          <w:rFonts w:ascii="宋体" w:hAnsi="宋体" w:cs="宋体"/>
          <w:kern w:val="0"/>
          <w:szCs w:val="21"/>
        </w:rPr>
      </w:pPr>
      <w:r>
        <w:rPr>
          <w:rFonts w:hint="eastAsia"/>
        </w:rPr>
        <w:t>2）代建项目经理、专业负责人均需分别填写</w:t>
      </w:r>
      <w:r>
        <w:rPr>
          <w:rFonts w:hint="eastAsia" w:ascii="宋体" w:hAnsi="宋体" w:cs="宋体"/>
          <w:kern w:val="0"/>
          <w:szCs w:val="21"/>
        </w:rPr>
        <w:t>。</w:t>
      </w:r>
    </w:p>
    <w:p>
      <w:pPr>
        <w:spacing w:line="440" w:lineRule="exact"/>
        <w:rPr>
          <w:rFonts w:eastAsia="黑体"/>
          <w:sz w:val="20"/>
          <w:szCs w:val="20"/>
        </w:rPr>
      </w:pPr>
    </w:p>
    <w:p>
      <w:pPr>
        <w:spacing w:line="440" w:lineRule="exact"/>
        <w:rPr>
          <w:rFonts w:eastAsia="黑体"/>
          <w:sz w:val="20"/>
          <w:szCs w:val="20"/>
        </w:rPr>
      </w:pPr>
    </w:p>
    <w:p>
      <w:pPr>
        <w:pStyle w:val="7"/>
        <w:rPr>
          <w:rFonts w:eastAsia="黑体"/>
          <w:sz w:val="20"/>
          <w:szCs w:val="20"/>
        </w:rPr>
      </w:pPr>
    </w:p>
    <w:p>
      <w:pPr>
        <w:jc w:val="center"/>
        <w:rPr>
          <w:rFonts w:ascii="宋体" w:hAnsi="宋体"/>
          <w:b/>
          <w:sz w:val="28"/>
          <w:szCs w:val="28"/>
        </w:rPr>
      </w:pPr>
      <w:bookmarkStart w:id="956" w:name="_Toc3997911"/>
      <w:r>
        <w:rPr>
          <w:rFonts w:hint="eastAsia" w:ascii="宋体" w:hAnsi="宋体"/>
          <w:b/>
          <w:sz w:val="28"/>
          <w:szCs w:val="28"/>
        </w:rPr>
        <w:t>（三）拟派代建项目人员配置汇总表</w:t>
      </w:r>
      <w:bookmarkEnd w:id="956"/>
    </w:p>
    <w:tbl>
      <w:tblPr>
        <w:tblStyle w:val="22"/>
        <w:tblW w:w="8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07"/>
        <w:gridCol w:w="879"/>
        <w:gridCol w:w="835"/>
        <w:gridCol w:w="1061"/>
        <w:gridCol w:w="1243"/>
        <w:gridCol w:w="996"/>
        <w:gridCol w:w="986"/>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vAlign w:val="center"/>
          </w:tcPr>
          <w:p>
            <w:pPr>
              <w:spacing w:line="440" w:lineRule="exact"/>
              <w:jc w:val="center"/>
              <w:rPr>
                <w:rFonts w:ascii="宋体" w:hAnsi="宋体" w:cs="宋体"/>
                <w:szCs w:val="21"/>
              </w:rPr>
            </w:pPr>
            <w:r>
              <w:rPr>
                <w:rFonts w:hint="eastAsia" w:ascii="宋体" w:hAnsi="宋体" w:cs="宋体"/>
                <w:szCs w:val="21"/>
              </w:rPr>
              <w:t>专业服务</w:t>
            </w:r>
          </w:p>
        </w:tc>
        <w:tc>
          <w:tcPr>
            <w:tcW w:w="707" w:type="dxa"/>
            <w:vMerge w:val="restart"/>
            <w:vAlign w:val="center"/>
          </w:tcPr>
          <w:p>
            <w:pPr>
              <w:spacing w:line="440" w:lineRule="exact"/>
              <w:jc w:val="center"/>
              <w:rPr>
                <w:rFonts w:ascii="宋体" w:hAnsi="宋体" w:cs="宋体"/>
                <w:szCs w:val="21"/>
              </w:rPr>
            </w:pPr>
            <w:r>
              <w:rPr>
                <w:rFonts w:hint="eastAsia" w:ascii="宋体" w:hAnsi="宋体" w:cs="宋体"/>
                <w:szCs w:val="21"/>
              </w:rPr>
              <w:t>序号</w:t>
            </w:r>
          </w:p>
        </w:tc>
        <w:tc>
          <w:tcPr>
            <w:tcW w:w="879" w:type="dxa"/>
            <w:vMerge w:val="restart"/>
            <w:vAlign w:val="center"/>
          </w:tcPr>
          <w:p>
            <w:pPr>
              <w:spacing w:line="440" w:lineRule="exact"/>
              <w:jc w:val="center"/>
              <w:rPr>
                <w:rFonts w:ascii="宋体" w:hAnsi="宋体" w:cs="宋体"/>
                <w:szCs w:val="21"/>
              </w:rPr>
            </w:pPr>
            <w:r>
              <w:rPr>
                <w:rFonts w:hint="eastAsia" w:ascii="宋体" w:hAnsi="宋体" w:cs="宋体"/>
                <w:szCs w:val="21"/>
              </w:rPr>
              <w:t>姓名</w:t>
            </w:r>
          </w:p>
        </w:tc>
        <w:tc>
          <w:tcPr>
            <w:tcW w:w="835" w:type="dxa"/>
            <w:vMerge w:val="restart"/>
            <w:vAlign w:val="center"/>
          </w:tcPr>
          <w:p>
            <w:pPr>
              <w:spacing w:line="440" w:lineRule="exact"/>
              <w:jc w:val="center"/>
              <w:rPr>
                <w:rFonts w:ascii="宋体" w:hAnsi="宋体" w:cs="宋体"/>
                <w:szCs w:val="21"/>
              </w:rPr>
            </w:pPr>
            <w:r>
              <w:rPr>
                <w:rFonts w:hint="eastAsia" w:ascii="宋体" w:hAnsi="宋体" w:cs="宋体"/>
                <w:szCs w:val="21"/>
              </w:rPr>
              <w:t>职务</w:t>
            </w:r>
          </w:p>
        </w:tc>
        <w:tc>
          <w:tcPr>
            <w:tcW w:w="4286" w:type="dxa"/>
            <w:gridSpan w:val="4"/>
            <w:vAlign w:val="center"/>
          </w:tcPr>
          <w:p>
            <w:pPr>
              <w:spacing w:line="440" w:lineRule="exact"/>
              <w:jc w:val="center"/>
              <w:rPr>
                <w:rFonts w:ascii="宋体" w:hAnsi="宋体" w:cs="宋体"/>
                <w:szCs w:val="21"/>
              </w:rPr>
            </w:pPr>
            <w:r>
              <w:rPr>
                <w:rFonts w:hint="eastAsia" w:ascii="宋体" w:hAnsi="宋体" w:cs="宋体"/>
                <w:szCs w:val="21"/>
              </w:rPr>
              <w:t>执业或职业资格证明</w:t>
            </w:r>
          </w:p>
        </w:tc>
        <w:tc>
          <w:tcPr>
            <w:tcW w:w="1039" w:type="dxa"/>
            <w:vAlign w:val="center"/>
          </w:tcPr>
          <w:p>
            <w:pPr>
              <w:spacing w:line="44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pPr>
              <w:spacing w:line="440" w:lineRule="exact"/>
              <w:jc w:val="center"/>
              <w:rPr>
                <w:rFonts w:ascii="宋体" w:hAnsi="宋体" w:cs="宋体"/>
                <w:szCs w:val="21"/>
              </w:rPr>
            </w:pPr>
          </w:p>
        </w:tc>
        <w:tc>
          <w:tcPr>
            <w:tcW w:w="707" w:type="dxa"/>
            <w:vMerge w:val="continue"/>
            <w:vAlign w:val="center"/>
          </w:tcPr>
          <w:p>
            <w:pPr>
              <w:spacing w:line="440" w:lineRule="exact"/>
              <w:jc w:val="center"/>
              <w:rPr>
                <w:rFonts w:ascii="宋体" w:hAnsi="宋体" w:cs="宋体"/>
                <w:szCs w:val="21"/>
              </w:rPr>
            </w:pPr>
          </w:p>
        </w:tc>
        <w:tc>
          <w:tcPr>
            <w:tcW w:w="879" w:type="dxa"/>
            <w:vMerge w:val="continue"/>
            <w:vAlign w:val="center"/>
          </w:tcPr>
          <w:p>
            <w:pPr>
              <w:spacing w:line="440" w:lineRule="exact"/>
              <w:jc w:val="center"/>
              <w:rPr>
                <w:rFonts w:ascii="宋体" w:hAnsi="宋体" w:cs="宋体"/>
                <w:szCs w:val="21"/>
              </w:rPr>
            </w:pPr>
          </w:p>
        </w:tc>
        <w:tc>
          <w:tcPr>
            <w:tcW w:w="835" w:type="dxa"/>
            <w:vMerge w:val="continue"/>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r>
              <w:rPr>
                <w:rFonts w:hint="eastAsia" w:ascii="宋体" w:hAnsi="宋体" w:cs="宋体"/>
                <w:szCs w:val="21"/>
              </w:rPr>
              <w:t>职称</w:t>
            </w:r>
          </w:p>
        </w:tc>
        <w:tc>
          <w:tcPr>
            <w:tcW w:w="1243" w:type="dxa"/>
            <w:vAlign w:val="center"/>
          </w:tcPr>
          <w:p>
            <w:pPr>
              <w:spacing w:line="440" w:lineRule="exact"/>
              <w:jc w:val="center"/>
              <w:rPr>
                <w:rFonts w:ascii="宋体" w:hAnsi="宋体" w:cs="宋体"/>
                <w:szCs w:val="21"/>
              </w:rPr>
            </w:pPr>
            <w:r>
              <w:rPr>
                <w:rFonts w:hint="eastAsia" w:ascii="宋体" w:hAnsi="宋体" w:cs="宋体"/>
                <w:szCs w:val="21"/>
              </w:rPr>
              <w:t>证书名称</w:t>
            </w:r>
          </w:p>
        </w:tc>
        <w:tc>
          <w:tcPr>
            <w:tcW w:w="996" w:type="dxa"/>
            <w:vAlign w:val="center"/>
          </w:tcPr>
          <w:p>
            <w:pPr>
              <w:spacing w:line="440" w:lineRule="exact"/>
              <w:jc w:val="center"/>
              <w:rPr>
                <w:rFonts w:ascii="宋体" w:hAnsi="宋体" w:cs="宋体"/>
                <w:szCs w:val="21"/>
              </w:rPr>
            </w:pPr>
            <w:r>
              <w:rPr>
                <w:rFonts w:hint="eastAsia" w:ascii="宋体" w:hAnsi="宋体" w:cs="宋体"/>
                <w:szCs w:val="21"/>
              </w:rPr>
              <w:t>证号</w:t>
            </w:r>
          </w:p>
        </w:tc>
        <w:tc>
          <w:tcPr>
            <w:tcW w:w="986" w:type="dxa"/>
            <w:vAlign w:val="center"/>
          </w:tcPr>
          <w:p>
            <w:pPr>
              <w:spacing w:line="440" w:lineRule="exact"/>
              <w:jc w:val="center"/>
              <w:rPr>
                <w:rFonts w:ascii="宋体" w:hAnsi="宋体" w:cs="宋体"/>
                <w:szCs w:val="21"/>
              </w:rPr>
            </w:pPr>
            <w:r>
              <w:rPr>
                <w:rFonts w:hint="eastAsia" w:ascii="宋体" w:hAnsi="宋体" w:cs="宋体"/>
                <w:szCs w:val="21"/>
              </w:rPr>
              <w:t>专业</w:t>
            </w: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vAlign w:val="center"/>
          </w:tcPr>
          <w:p>
            <w:pPr>
              <w:spacing w:line="440" w:lineRule="exact"/>
              <w:jc w:val="center"/>
              <w:rPr>
                <w:rFonts w:ascii="宋体" w:hAnsi="宋体" w:cs="宋体"/>
                <w:szCs w:val="21"/>
              </w:rPr>
            </w:pPr>
            <w:r>
              <w:rPr>
                <w:rFonts w:hint="eastAsia" w:ascii="宋体" w:hAnsi="宋体" w:cs="宋体"/>
                <w:szCs w:val="21"/>
              </w:rPr>
              <w:t>项目管理</w:t>
            </w:r>
          </w:p>
        </w:tc>
        <w:tc>
          <w:tcPr>
            <w:tcW w:w="707" w:type="dxa"/>
            <w:vAlign w:val="center"/>
          </w:tcPr>
          <w:p>
            <w:pPr>
              <w:spacing w:line="440" w:lineRule="exact"/>
              <w:jc w:val="center"/>
              <w:rPr>
                <w:rFonts w:ascii="宋体" w:hAnsi="宋体" w:cs="宋体"/>
                <w:szCs w:val="21"/>
              </w:rPr>
            </w:pPr>
            <w:r>
              <w:rPr>
                <w:rFonts w:hint="eastAsia" w:ascii="宋体" w:hAnsi="宋体" w:cs="宋体"/>
                <w:szCs w:val="21"/>
              </w:rPr>
              <w:t>1</w:t>
            </w: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pPr>
              <w:spacing w:line="440" w:lineRule="exact"/>
              <w:jc w:val="center"/>
              <w:rPr>
                <w:rFonts w:ascii="宋体" w:hAnsi="宋体" w:cs="宋体"/>
                <w:szCs w:val="21"/>
              </w:rPr>
            </w:pPr>
          </w:p>
        </w:tc>
        <w:tc>
          <w:tcPr>
            <w:tcW w:w="707" w:type="dxa"/>
            <w:vAlign w:val="center"/>
          </w:tcPr>
          <w:p>
            <w:pPr>
              <w:spacing w:line="440" w:lineRule="exact"/>
              <w:jc w:val="center"/>
              <w:rPr>
                <w:rFonts w:ascii="宋体" w:hAnsi="宋体" w:cs="宋体"/>
                <w:szCs w:val="21"/>
              </w:rPr>
            </w:pPr>
            <w:r>
              <w:rPr>
                <w:rFonts w:hint="eastAsia" w:ascii="宋体" w:hAnsi="宋体" w:cs="宋体"/>
                <w:szCs w:val="21"/>
              </w:rPr>
              <w:t>2</w:t>
            </w: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pPr>
              <w:spacing w:line="440" w:lineRule="exact"/>
              <w:jc w:val="center"/>
              <w:rPr>
                <w:rFonts w:ascii="宋体" w:hAnsi="宋体" w:cs="宋体"/>
                <w:szCs w:val="21"/>
              </w:rPr>
            </w:pPr>
          </w:p>
        </w:tc>
        <w:tc>
          <w:tcPr>
            <w:tcW w:w="707" w:type="dxa"/>
            <w:vAlign w:val="center"/>
          </w:tcPr>
          <w:p>
            <w:pPr>
              <w:spacing w:line="440" w:lineRule="exact"/>
              <w:jc w:val="center"/>
              <w:rPr>
                <w:rFonts w:ascii="宋体" w:hAnsi="宋体" w:cs="宋体"/>
                <w:szCs w:val="21"/>
              </w:rPr>
            </w:pPr>
            <w:r>
              <w:rPr>
                <w:rFonts w:hint="eastAsia" w:ascii="宋体" w:hAnsi="宋体" w:cs="宋体"/>
                <w:szCs w:val="21"/>
              </w:rPr>
              <w:t>3</w:t>
            </w: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pPr>
              <w:spacing w:line="440" w:lineRule="exact"/>
              <w:jc w:val="center"/>
              <w:rPr>
                <w:rFonts w:ascii="宋体" w:hAnsi="宋体" w:cs="宋体"/>
                <w:szCs w:val="21"/>
              </w:rPr>
            </w:pPr>
          </w:p>
        </w:tc>
        <w:tc>
          <w:tcPr>
            <w:tcW w:w="707" w:type="dxa"/>
            <w:vAlign w:val="center"/>
          </w:tcPr>
          <w:p>
            <w:pPr>
              <w:spacing w:line="440" w:lineRule="exact"/>
              <w:jc w:val="center"/>
              <w:rPr>
                <w:rFonts w:ascii="宋体" w:hAnsi="宋体" w:cs="宋体"/>
                <w:szCs w:val="21"/>
              </w:rPr>
            </w:pP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vAlign w:val="center"/>
          </w:tcPr>
          <w:p>
            <w:pPr>
              <w:spacing w:line="440" w:lineRule="exact"/>
              <w:jc w:val="center"/>
              <w:rPr>
                <w:rFonts w:ascii="宋体" w:hAnsi="宋体" w:cs="宋体"/>
                <w:szCs w:val="21"/>
              </w:rPr>
            </w:pPr>
            <w:r>
              <w:rPr>
                <w:rFonts w:hint="eastAsia" w:ascii="宋体" w:hAnsi="宋体" w:cs="宋体"/>
                <w:szCs w:val="21"/>
              </w:rPr>
              <w:t>可研报告编制</w:t>
            </w:r>
          </w:p>
        </w:tc>
        <w:tc>
          <w:tcPr>
            <w:tcW w:w="707" w:type="dxa"/>
            <w:vAlign w:val="center"/>
          </w:tcPr>
          <w:p>
            <w:pPr>
              <w:spacing w:line="440" w:lineRule="exact"/>
              <w:jc w:val="center"/>
              <w:rPr>
                <w:rFonts w:ascii="宋体" w:hAnsi="宋体" w:cs="宋体"/>
                <w:szCs w:val="21"/>
              </w:rPr>
            </w:pPr>
            <w:r>
              <w:rPr>
                <w:rFonts w:hint="eastAsia" w:ascii="宋体" w:hAnsi="宋体" w:cs="宋体"/>
                <w:szCs w:val="21"/>
              </w:rPr>
              <w:t>1</w:t>
            </w: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pPr>
              <w:spacing w:line="440" w:lineRule="exact"/>
              <w:jc w:val="center"/>
              <w:rPr>
                <w:rFonts w:ascii="宋体" w:hAnsi="宋体" w:cs="宋体"/>
                <w:szCs w:val="21"/>
              </w:rPr>
            </w:pPr>
          </w:p>
        </w:tc>
        <w:tc>
          <w:tcPr>
            <w:tcW w:w="707" w:type="dxa"/>
            <w:vAlign w:val="center"/>
          </w:tcPr>
          <w:p>
            <w:pPr>
              <w:spacing w:line="440" w:lineRule="exact"/>
              <w:jc w:val="center"/>
              <w:rPr>
                <w:rFonts w:ascii="宋体" w:hAnsi="宋体" w:cs="宋体"/>
                <w:szCs w:val="21"/>
              </w:rPr>
            </w:pPr>
            <w:r>
              <w:rPr>
                <w:rFonts w:hint="eastAsia" w:ascii="宋体" w:hAnsi="宋体" w:cs="宋体"/>
                <w:szCs w:val="21"/>
              </w:rPr>
              <w:t>2</w:t>
            </w: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pPr>
              <w:spacing w:line="440" w:lineRule="exact"/>
              <w:jc w:val="center"/>
              <w:rPr>
                <w:rFonts w:ascii="宋体" w:hAnsi="宋体" w:cs="宋体"/>
                <w:szCs w:val="21"/>
              </w:rPr>
            </w:pPr>
          </w:p>
        </w:tc>
        <w:tc>
          <w:tcPr>
            <w:tcW w:w="707" w:type="dxa"/>
            <w:vAlign w:val="center"/>
          </w:tcPr>
          <w:p>
            <w:pPr>
              <w:spacing w:line="440" w:lineRule="exact"/>
              <w:jc w:val="center"/>
              <w:rPr>
                <w:rFonts w:ascii="宋体" w:hAnsi="宋体" w:cs="宋体"/>
                <w:szCs w:val="21"/>
              </w:rPr>
            </w:pP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vAlign w:val="center"/>
          </w:tcPr>
          <w:p>
            <w:pPr>
              <w:spacing w:line="440" w:lineRule="exact"/>
              <w:jc w:val="center"/>
              <w:rPr>
                <w:rFonts w:ascii="宋体" w:hAnsi="宋体" w:cs="宋体"/>
                <w:szCs w:val="21"/>
              </w:rPr>
            </w:pPr>
            <w:r>
              <w:rPr>
                <w:rFonts w:hint="eastAsia" w:ascii="宋体" w:hAnsi="宋体" w:cs="宋体"/>
                <w:szCs w:val="21"/>
              </w:rPr>
              <w:t>勘察</w:t>
            </w:r>
          </w:p>
        </w:tc>
        <w:tc>
          <w:tcPr>
            <w:tcW w:w="707" w:type="dxa"/>
            <w:vAlign w:val="center"/>
          </w:tcPr>
          <w:p>
            <w:pPr>
              <w:spacing w:line="440" w:lineRule="exact"/>
              <w:jc w:val="center"/>
              <w:rPr>
                <w:rFonts w:ascii="宋体" w:hAnsi="宋体" w:cs="宋体"/>
                <w:szCs w:val="21"/>
              </w:rPr>
            </w:pPr>
            <w:r>
              <w:rPr>
                <w:rFonts w:hint="eastAsia" w:ascii="宋体" w:hAnsi="宋体" w:cs="宋体"/>
                <w:szCs w:val="21"/>
              </w:rPr>
              <w:t>1</w:t>
            </w: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pPr>
              <w:spacing w:line="440" w:lineRule="exact"/>
              <w:jc w:val="center"/>
              <w:rPr>
                <w:rFonts w:ascii="宋体" w:hAnsi="宋体" w:cs="宋体"/>
                <w:szCs w:val="21"/>
              </w:rPr>
            </w:pPr>
          </w:p>
        </w:tc>
        <w:tc>
          <w:tcPr>
            <w:tcW w:w="707" w:type="dxa"/>
            <w:vAlign w:val="center"/>
          </w:tcPr>
          <w:p>
            <w:pPr>
              <w:spacing w:line="440" w:lineRule="exact"/>
              <w:jc w:val="center"/>
              <w:rPr>
                <w:rFonts w:ascii="宋体" w:hAnsi="宋体" w:cs="宋体"/>
                <w:szCs w:val="21"/>
              </w:rPr>
            </w:pPr>
            <w:r>
              <w:rPr>
                <w:rFonts w:hint="eastAsia" w:ascii="宋体" w:hAnsi="宋体" w:cs="宋体"/>
                <w:szCs w:val="21"/>
              </w:rPr>
              <w:t>2</w:t>
            </w: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pPr>
              <w:spacing w:line="440" w:lineRule="exact"/>
              <w:jc w:val="center"/>
              <w:rPr>
                <w:rFonts w:ascii="宋体" w:hAnsi="宋体" w:cs="宋体"/>
                <w:szCs w:val="21"/>
              </w:rPr>
            </w:pPr>
          </w:p>
        </w:tc>
        <w:tc>
          <w:tcPr>
            <w:tcW w:w="707" w:type="dxa"/>
            <w:vAlign w:val="center"/>
          </w:tcPr>
          <w:p>
            <w:pPr>
              <w:spacing w:line="440" w:lineRule="exact"/>
              <w:jc w:val="center"/>
              <w:rPr>
                <w:rFonts w:ascii="宋体" w:hAnsi="宋体" w:cs="宋体"/>
                <w:szCs w:val="21"/>
              </w:rPr>
            </w:pP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vAlign w:val="center"/>
          </w:tcPr>
          <w:p>
            <w:pPr>
              <w:spacing w:line="440" w:lineRule="exact"/>
              <w:jc w:val="center"/>
              <w:rPr>
                <w:rFonts w:ascii="宋体" w:hAnsi="宋体" w:cs="宋体"/>
                <w:szCs w:val="21"/>
              </w:rPr>
            </w:pPr>
            <w:r>
              <w:rPr>
                <w:rFonts w:hint="eastAsia" w:ascii="宋体" w:hAnsi="宋体" w:cs="宋体"/>
                <w:szCs w:val="21"/>
              </w:rPr>
              <w:t>造价咨询</w:t>
            </w:r>
          </w:p>
        </w:tc>
        <w:tc>
          <w:tcPr>
            <w:tcW w:w="707" w:type="dxa"/>
            <w:vAlign w:val="center"/>
          </w:tcPr>
          <w:p>
            <w:pPr>
              <w:spacing w:line="440" w:lineRule="exact"/>
              <w:jc w:val="center"/>
              <w:rPr>
                <w:rFonts w:ascii="宋体" w:hAnsi="宋体" w:cs="宋体"/>
                <w:szCs w:val="21"/>
              </w:rPr>
            </w:pPr>
            <w:r>
              <w:rPr>
                <w:rFonts w:hint="eastAsia" w:ascii="宋体" w:hAnsi="宋体" w:cs="宋体"/>
                <w:szCs w:val="21"/>
              </w:rPr>
              <w:t>1</w:t>
            </w: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pPr>
              <w:spacing w:line="440" w:lineRule="exact"/>
              <w:jc w:val="center"/>
              <w:rPr>
                <w:rFonts w:ascii="宋体" w:hAnsi="宋体" w:cs="宋体"/>
                <w:szCs w:val="21"/>
              </w:rPr>
            </w:pPr>
          </w:p>
        </w:tc>
        <w:tc>
          <w:tcPr>
            <w:tcW w:w="707" w:type="dxa"/>
            <w:vAlign w:val="center"/>
          </w:tcPr>
          <w:p>
            <w:pPr>
              <w:spacing w:line="440" w:lineRule="exact"/>
              <w:jc w:val="center"/>
              <w:rPr>
                <w:rFonts w:ascii="宋体" w:hAnsi="宋体" w:cs="宋体"/>
                <w:szCs w:val="21"/>
              </w:rPr>
            </w:pPr>
            <w:r>
              <w:rPr>
                <w:rFonts w:hint="eastAsia" w:ascii="宋体" w:hAnsi="宋体" w:cs="宋体"/>
                <w:szCs w:val="21"/>
              </w:rPr>
              <w:t>2</w:t>
            </w: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pPr>
              <w:spacing w:line="440" w:lineRule="exact"/>
              <w:jc w:val="center"/>
              <w:rPr>
                <w:rFonts w:ascii="宋体" w:hAnsi="宋体" w:cs="宋体"/>
                <w:szCs w:val="21"/>
              </w:rPr>
            </w:pPr>
          </w:p>
        </w:tc>
        <w:tc>
          <w:tcPr>
            <w:tcW w:w="707" w:type="dxa"/>
            <w:vAlign w:val="center"/>
          </w:tcPr>
          <w:p>
            <w:pPr>
              <w:spacing w:line="440" w:lineRule="exact"/>
              <w:jc w:val="center"/>
              <w:rPr>
                <w:rFonts w:ascii="宋体" w:hAnsi="宋体" w:cs="宋体"/>
                <w:szCs w:val="21"/>
              </w:rPr>
            </w:pP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vAlign w:val="center"/>
          </w:tcPr>
          <w:p>
            <w:pPr>
              <w:spacing w:line="440" w:lineRule="exact"/>
              <w:jc w:val="center"/>
              <w:rPr>
                <w:rFonts w:ascii="宋体" w:hAnsi="宋体" w:cs="宋体"/>
                <w:szCs w:val="21"/>
              </w:rPr>
            </w:pPr>
            <w:r>
              <w:rPr>
                <w:rFonts w:hint="eastAsia" w:ascii="宋体" w:hAnsi="宋体" w:cs="宋体"/>
                <w:szCs w:val="21"/>
              </w:rPr>
              <w:t>招标代理</w:t>
            </w:r>
          </w:p>
        </w:tc>
        <w:tc>
          <w:tcPr>
            <w:tcW w:w="707" w:type="dxa"/>
            <w:vAlign w:val="center"/>
          </w:tcPr>
          <w:p>
            <w:pPr>
              <w:spacing w:line="440" w:lineRule="exact"/>
              <w:jc w:val="center"/>
              <w:rPr>
                <w:rFonts w:ascii="宋体" w:hAnsi="宋体" w:cs="宋体"/>
                <w:szCs w:val="21"/>
              </w:rPr>
            </w:pPr>
            <w:r>
              <w:rPr>
                <w:rFonts w:hint="eastAsia" w:ascii="宋体" w:hAnsi="宋体" w:cs="宋体"/>
                <w:szCs w:val="21"/>
              </w:rPr>
              <w:t>1</w:t>
            </w: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pPr>
              <w:spacing w:line="440" w:lineRule="exact"/>
              <w:jc w:val="center"/>
              <w:rPr>
                <w:rFonts w:ascii="宋体" w:hAnsi="宋体" w:cs="宋体"/>
                <w:szCs w:val="21"/>
              </w:rPr>
            </w:pPr>
          </w:p>
        </w:tc>
        <w:tc>
          <w:tcPr>
            <w:tcW w:w="707" w:type="dxa"/>
            <w:vAlign w:val="center"/>
          </w:tcPr>
          <w:p>
            <w:pPr>
              <w:spacing w:line="440" w:lineRule="exact"/>
              <w:jc w:val="center"/>
              <w:rPr>
                <w:rFonts w:ascii="宋体" w:hAnsi="宋体" w:cs="宋体"/>
                <w:szCs w:val="21"/>
              </w:rPr>
            </w:pPr>
            <w:r>
              <w:rPr>
                <w:rFonts w:hint="eastAsia" w:ascii="宋体" w:hAnsi="宋体" w:cs="宋体"/>
                <w:szCs w:val="21"/>
              </w:rPr>
              <w:t>2</w:t>
            </w: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pPr>
              <w:spacing w:line="440" w:lineRule="exact"/>
              <w:jc w:val="center"/>
              <w:rPr>
                <w:rFonts w:ascii="宋体" w:hAnsi="宋体" w:cs="宋体"/>
                <w:szCs w:val="21"/>
              </w:rPr>
            </w:pPr>
          </w:p>
        </w:tc>
        <w:tc>
          <w:tcPr>
            <w:tcW w:w="707" w:type="dxa"/>
            <w:vAlign w:val="center"/>
          </w:tcPr>
          <w:p>
            <w:pPr>
              <w:spacing w:line="440" w:lineRule="exact"/>
              <w:jc w:val="center"/>
              <w:rPr>
                <w:rFonts w:ascii="宋体" w:hAnsi="宋体" w:cs="宋体"/>
                <w:szCs w:val="21"/>
              </w:rPr>
            </w:pP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bl>
    <w:p>
      <w:pPr>
        <w:pStyle w:val="7"/>
        <w:spacing w:line="360" w:lineRule="auto"/>
      </w:pPr>
    </w:p>
    <w:p>
      <w:pPr>
        <w:pStyle w:val="7"/>
        <w:spacing w:line="360" w:lineRule="auto"/>
        <w:rPr>
          <w:rFonts w:ascii="宋体" w:hAnsi="宋体" w:cs="宋体"/>
          <w:b/>
          <w:bCs/>
          <w:sz w:val="21"/>
          <w:szCs w:val="21"/>
        </w:rPr>
      </w:pPr>
      <w:r>
        <w:rPr>
          <w:rFonts w:hint="eastAsia"/>
        </w:rPr>
        <w:t>备注：</w:t>
      </w:r>
      <w:r>
        <w:rPr>
          <w:rFonts w:hint="eastAsia" w:ascii="宋体" w:hAnsi="宋体" w:cs="宋体"/>
          <w:b/>
          <w:bCs/>
          <w:sz w:val="21"/>
          <w:szCs w:val="21"/>
        </w:rPr>
        <w:t xml:space="preserve"> 1、代建项目经理不得兼任其他专业岗位；</w:t>
      </w:r>
    </w:p>
    <w:p>
      <w:pPr>
        <w:spacing w:line="360" w:lineRule="auto"/>
        <w:ind w:firstLine="843" w:firstLineChars="400"/>
        <w:rPr>
          <w:rFonts w:ascii="宋体" w:hAnsi="宋体" w:cs="宋体"/>
          <w:b/>
          <w:bCs/>
          <w:szCs w:val="21"/>
        </w:rPr>
      </w:pPr>
      <w:r>
        <w:rPr>
          <w:rFonts w:hint="eastAsia" w:ascii="宋体" w:hAnsi="宋体" w:cs="宋体"/>
          <w:b/>
          <w:bCs/>
          <w:szCs w:val="21"/>
        </w:rPr>
        <w:t>2、其他人员（项</w:t>
      </w:r>
      <w:r>
        <w:rPr>
          <w:rFonts w:hint="eastAsia" w:cs="宋体"/>
          <w:b/>
          <w:bCs/>
          <w:szCs w:val="21"/>
        </w:rPr>
        <w:t>目管理、可行性研究报告编制、勘察、造价咨询、招标代理</w:t>
      </w:r>
      <w:r>
        <w:rPr>
          <w:rFonts w:hint="eastAsia" w:ascii="宋体" w:hAnsi="宋体" w:cs="宋体"/>
          <w:b/>
          <w:bCs/>
          <w:szCs w:val="21"/>
        </w:rPr>
        <w:t>）岗位交叉配置时，需满足相应专业服务资格条件要求，且每人最多在2项专业服务中任职。</w:t>
      </w:r>
    </w:p>
    <w:p>
      <w:pPr>
        <w:pStyle w:val="10"/>
        <w:rPr>
          <w:rFonts w:ascii="宋体" w:hAnsi="宋体" w:cs="宋体"/>
          <w:b/>
          <w:bCs/>
          <w:szCs w:val="21"/>
        </w:rPr>
      </w:pPr>
    </w:p>
    <w:p>
      <w:pPr>
        <w:rPr>
          <w:rFonts w:ascii="宋体" w:hAnsi="宋体" w:cs="宋体"/>
          <w:b/>
          <w:bCs/>
          <w:szCs w:val="21"/>
        </w:rPr>
      </w:pPr>
    </w:p>
    <w:p>
      <w:pPr>
        <w:pStyle w:val="10"/>
        <w:rPr>
          <w:rFonts w:ascii="宋体" w:hAnsi="宋体" w:cs="宋体"/>
          <w:b/>
          <w:bCs/>
          <w:szCs w:val="21"/>
        </w:rPr>
      </w:pPr>
    </w:p>
    <w:p>
      <w:pPr>
        <w:pStyle w:val="2"/>
        <w:outlineLvl w:val="9"/>
      </w:pPr>
    </w:p>
    <w:p>
      <w:pPr>
        <w:pStyle w:val="4"/>
        <w:bidi w:val="0"/>
        <w:jc w:val="center"/>
        <w:rPr>
          <w:rFonts w:hint="eastAsia"/>
          <w:lang w:eastAsia="zh-CN"/>
        </w:rPr>
      </w:pPr>
      <w:bookmarkStart w:id="957" w:name="_Toc13866"/>
      <w:r>
        <w:rPr>
          <w:rFonts w:hint="eastAsia"/>
          <w:lang w:eastAsia="zh-CN"/>
        </w:rPr>
        <w:t>七、技术部分</w:t>
      </w:r>
      <w:bookmarkEnd w:id="957"/>
    </w:p>
    <w:p>
      <w:pPr>
        <w:ind w:firstLine="643" w:firstLineChars="200"/>
        <w:rPr>
          <w:rFonts w:hint="eastAsia" w:ascii="黑体" w:hAnsi="黑体" w:eastAsia="黑体" w:cs="黑体"/>
          <w:b/>
          <w:sz w:val="32"/>
          <w:szCs w:val="32"/>
        </w:rPr>
      </w:pPr>
      <w:r>
        <w:rPr>
          <w:rFonts w:hint="eastAsia" w:ascii="黑体" w:hAnsi="黑体" w:eastAsia="黑体" w:cs="黑体"/>
          <w:b/>
          <w:sz w:val="32"/>
          <w:szCs w:val="32"/>
        </w:rPr>
        <w:t>（一）整体管理方案</w:t>
      </w:r>
    </w:p>
    <w:p>
      <w:pPr>
        <w:spacing w:line="4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内容包含但不仅限于：针对本项目整体管理思路，</w:t>
      </w:r>
      <w:r>
        <w:rPr>
          <w:rFonts w:hint="eastAsia" w:ascii="仿宋_GB2312" w:hAnsi="仿宋_GB2312" w:eastAsia="仿宋_GB2312" w:cs="仿宋_GB2312"/>
          <w:kern w:val="0"/>
          <w:sz w:val="32"/>
          <w:szCs w:val="32"/>
        </w:rPr>
        <w:t>负责项目全过程内、外部关系协调、处理往来文件，对工程进度、质量、安全等进行管理</w:t>
      </w:r>
      <w:r>
        <w:rPr>
          <w:rFonts w:hint="eastAsia" w:ascii="仿宋_GB2312" w:hAnsi="仿宋_GB2312" w:eastAsia="仿宋_GB2312" w:cs="仿宋_GB2312"/>
          <w:kern w:val="0"/>
          <w:sz w:val="32"/>
          <w:szCs w:val="32"/>
          <w:lang w:eastAsia="zh-CN"/>
        </w:rPr>
        <w:t>。</w:t>
      </w:r>
    </w:p>
    <w:p>
      <w:pPr>
        <w:ind w:firstLine="643" w:firstLineChars="200"/>
        <w:rPr>
          <w:rFonts w:hint="eastAsia" w:ascii="黑体" w:hAnsi="黑体" w:eastAsia="黑体" w:cs="黑体"/>
          <w:b/>
          <w:sz w:val="32"/>
          <w:szCs w:val="32"/>
        </w:rPr>
      </w:pPr>
      <w:r>
        <w:rPr>
          <w:rFonts w:hint="eastAsia" w:ascii="黑体" w:hAnsi="黑体" w:eastAsia="黑体" w:cs="黑体"/>
          <w:b/>
          <w:sz w:val="32"/>
          <w:szCs w:val="32"/>
        </w:rPr>
        <w:t>（二）各专业技术方案</w:t>
      </w: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项目管理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内容包含但不仅限于：服务方案、企业实力及项目组人员配置</w:t>
      </w: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可行性研究报告编制</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内容包含但不仅限于：服务方案、企业实力及服务承诺</w:t>
      </w: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  勘察</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内容包含但不仅限于：勘察纲要、拟投入的勘察设备及项目组人员配置、服务承诺</w:t>
      </w: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  造价咨询</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内容包含但不仅限于：实施方案、企业实力及人员配置</w:t>
      </w: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第五部分  招标代理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内容包含但不仅限于：实施方案、企业实力及项目组人员配置</w:t>
      </w:r>
    </w:p>
    <w:p>
      <w:pPr>
        <w:pStyle w:val="7"/>
        <w:jc w:val="left"/>
        <w:rPr>
          <w:szCs w:val="21"/>
        </w:rPr>
      </w:pPr>
    </w:p>
    <w:p>
      <w:pPr>
        <w:pStyle w:val="4"/>
        <w:bidi w:val="0"/>
        <w:jc w:val="center"/>
        <w:rPr>
          <w:rFonts w:hint="eastAsia"/>
          <w:lang w:eastAsia="zh-CN"/>
        </w:rPr>
      </w:pPr>
      <w:bookmarkStart w:id="958" w:name="_Toc11903"/>
      <w:r>
        <w:rPr>
          <w:rFonts w:hint="eastAsia"/>
          <w:lang w:eastAsia="zh-CN"/>
        </w:rPr>
        <w:t>八、投标人须知前附表规定的其他资料</w:t>
      </w:r>
      <w:bookmarkEnd w:id="958"/>
    </w:p>
    <w:p>
      <w:pPr>
        <w:spacing w:line="400" w:lineRule="exact"/>
      </w:pPr>
    </w:p>
    <w:p>
      <w:pPr>
        <w:pStyle w:val="8"/>
      </w:pPr>
    </w:p>
    <w:p>
      <w:pPr>
        <w:pStyle w:val="12"/>
        <w:numPr>
          <w:ilvl w:val="255"/>
          <w:numId w:val="0"/>
        </w:numPr>
        <w:tabs>
          <w:tab w:val="left" w:pos="0"/>
        </w:tabs>
        <w:spacing w:line="520" w:lineRule="exact"/>
        <w:rPr>
          <w:rFonts w:ascii="Times New Roman" w:hAnsi="Times New Roman" w:cs="Times New Roman"/>
          <w:sz w:val="24"/>
          <w:szCs w:val="24"/>
        </w:rPr>
      </w:pPr>
    </w:p>
    <w:p>
      <w:pPr>
        <w:pStyle w:val="12"/>
        <w:numPr>
          <w:ilvl w:val="255"/>
          <w:numId w:val="0"/>
        </w:numPr>
        <w:tabs>
          <w:tab w:val="left" w:pos="0"/>
        </w:tabs>
        <w:spacing w:line="520" w:lineRule="exact"/>
        <w:rPr>
          <w:rFonts w:ascii="Times New Roman" w:hAnsi="Times New Roman" w:cs="Times New Roman"/>
          <w:sz w:val="24"/>
          <w:szCs w:val="24"/>
        </w:rPr>
      </w:pPr>
    </w:p>
    <w:p>
      <w:pPr>
        <w:pStyle w:val="12"/>
        <w:numPr>
          <w:ilvl w:val="255"/>
          <w:numId w:val="0"/>
        </w:numPr>
        <w:tabs>
          <w:tab w:val="left" w:pos="0"/>
        </w:tabs>
        <w:spacing w:line="520" w:lineRule="exact"/>
        <w:rPr>
          <w:rFonts w:ascii="Times New Roman" w:hAnsi="Times New Roman" w:cs="Times New Roman"/>
          <w:sz w:val="24"/>
          <w:szCs w:val="24"/>
        </w:rPr>
      </w:pPr>
    </w:p>
    <w:p>
      <w:pPr>
        <w:pStyle w:val="12"/>
        <w:numPr>
          <w:ilvl w:val="255"/>
          <w:numId w:val="0"/>
        </w:numPr>
        <w:tabs>
          <w:tab w:val="left" w:pos="0"/>
        </w:tabs>
        <w:spacing w:line="520" w:lineRule="exact"/>
        <w:rPr>
          <w:rFonts w:ascii="Times New Roman" w:hAnsi="Times New Roman" w:cs="Times New Roman"/>
          <w:sz w:val="24"/>
          <w:szCs w:val="24"/>
        </w:rPr>
      </w:pPr>
    </w:p>
    <w:p>
      <w:pPr>
        <w:pStyle w:val="12"/>
        <w:numPr>
          <w:ilvl w:val="255"/>
          <w:numId w:val="0"/>
        </w:numPr>
        <w:tabs>
          <w:tab w:val="left" w:pos="0"/>
        </w:tabs>
        <w:spacing w:line="520" w:lineRule="exact"/>
        <w:rPr>
          <w:rFonts w:ascii="Times New Roman" w:hAnsi="Times New Roman" w:cs="Times New Roman"/>
          <w:sz w:val="24"/>
          <w:szCs w:val="24"/>
        </w:rPr>
      </w:pPr>
    </w:p>
    <w:p/>
    <w:p>
      <w:pPr>
        <w:pStyle w:val="12"/>
        <w:numPr>
          <w:ilvl w:val="255"/>
          <w:numId w:val="0"/>
        </w:numPr>
        <w:tabs>
          <w:tab w:val="left" w:pos="0"/>
        </w:tabs>
        <w:spacing w:line="520" w:lineRule="exact"/>
        <w:ind w:firstLine="320" w:firstLineChars="100"/>
        <w:rPr>
          <w:rFonts w:hint="eastAsia" w:ascii="黑体" w:hAnsi="黑体" w:eastAsia="黑体" w:cs="黑体"/>
          <w:sz w:val="32"/>
          <w:szCs w:val="32"/>
          <w:lang w:val="en-US" w:eastAsia="zh-CN"/>
        </w:rPr>
      </w:pPr>
    </w:p>
    <w:p>
      <w:pPr>
        <w:pStyle w:val="32"/>
        <w:snapToGrid w:val="0"/>
        <w:spacing w:line="572" w:lineRule="exact"/>
        <w:ind w:firstLine="0" w:firstLineChars="0"/>
        <w:rPr>
          <w:rFonts w:hint="default" w:eastAsia="仿宋_GB2312"/>
          <w:sz w:val="32"/>
          <w:szCs w:val="32"/>
          <w:lang w:val="en-US" w:eastAsia="zh-CN"/>
        </w:rPr>
      </w:pPr>
    </w:p>
    <w:p>
      <w:pPr>
        <w:pStyle w:val="12"/>
        <w:numPr>
          <w:ilvl w:val="255"/>
          <w:numId w:val="0"/>
        </w:numPr>
        <w:tabs>
          <w:tab w:val="left" w:pos="0"/>
        </w:tabs>
        <w:spacing w:line="520" w:lineRule="exact"/>
        <w:rPr>
          <w:rFonts w:ascii="Times New Roman" w:hAnsi="Times New Roman" w:cs="Times New Roman"/>
          <w:sz w:val="24"/>
          <w:szCs w:val="24"/>
        </w:rPr>
      </w:pPr>
    </w:p>
    <w:p/>
    <w:p>
      <w:pPr>
        <w:ind w:firstLine="640"/>
        <w:jc w:val="left"/>
        <w:rPr>
          <w:rFonts w:hint="eastAsia" w:ascii="仿宋_GB2312" w:hAnsi="仿宋_GB2312" w:eastAsia="仿宋_GB2312" w:cs="仿宋_GB2312"/>
          <w:color w:val="333333"/>
          <w:sz w:val="32"/>
          <w:szCs w:val="32"/>
          <w:shd w:val="clear" w:color="auto" w:fill="FFFFFF"/>
        </w:rPr>
      </w:pPr>
    </w:p>
    <w:sectPr>
      <w:headerReference r:id="rId15" w:type="default"/>
      <w:footerReference r:id="rId16"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jc w:val="center"/>
                            <w:rPr>
                              <w:rFonts w:hint="eastAsia" w:eastAsia="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ascii="宋体" w:hAnsi="宋体" w:eastAsia="宋体" w:cs="宋体"/>
                              <w:sz w:val="24"/>
                              <w:szCs w:val="24"/>
                              <w:lang w:val="zh-CN"/>
                            </w:rPr>
                            <w:t>-</w:t>
                          </w:r>
                          <w:r>
                            <w:rPr>
                              <w:rFonts w:ascii="宋体" w:hAnsi="宋体" w:eastAsia="宋体" w:cs="宋体"/>
                              <w:sz w:val="24"/>
                              <w:szCs w:val="24"/>
                            </w:rPr>
                            <w:t xml:space="preserve"> 3 -</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15"/>
                      <w:jc w:val="center"/>
                      <w:rPr>
                        <w:rFonts w:hint="eastAsia" w:eastAsia="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ascii="宋体" w:hAnsi="宋体" w:eastAsia="宋体" w:cs="宋体"/>
                        <w:sz w:val="24"/>
                        <w:szCs w:val="24"/>
                        <w:lang w:val="zh-CN"/>
                      </w:rPr>
                      <w:t>-</w:t>
                    </w:r>
                    <w:r>
                      <w:rPr>
                        <w:rFonts w:ascii="宋体" w:hAnsi="宋体" w:eastAsia="宋体" w:cs="宋体"/>
                        <w:sz w:val="24"/>
                        <w:szCs w:val="24"/>
                      </w:rPr>
                      <w:t xml:space="preserve"> 3 -</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Style w:val="25"/>
                              <w:rFonts w:ascii="Times New Roman" w:hAnsi="Times New Roman" w:cs="Times New Roman"/>
                              <w:sz w:val="21"/>
                              <w:szCs w:val="21"/>
                            </w:rPr>
                          </w:pPr>
                          <w:r>
                            <w:rPr>
                              <w:rFonts w:hint="eastAsia" w:ascii="宋体" w:hAnsi="宋体" w:eastAsia="宋体" w:cs="宋体"/>
                              <w:sz w:val="28"/>
                              <w:szCs w:val="28"/>
                            </w:rPr>
                            <w:fldChar w:fldCharType="begin"/>
                          </w:r>
                          <w:r>
                            <w:rPr>
                              <w:rStyle w:val="2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25"/>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tWvccBAACdAwAADgAAAGRycy9lMm9Eb2MueG1srVPNjtMwEL6vxDtY&#10;vtNki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ljtWvccBAACdAwAADgAAAAAAAAABACAAAAAeAQAAZHJzL2Uyb0RvYy54&#10;bWxQSwUGAAAAAAYABgBZAQAAVwUAAAAA&#10;">
              <v:fill on="f" focussize="0,0"/>
              <v:stroke on="f"/>
              <v:imagedata o:title=""/>
              <o:lock v:ext="edit" aspectratio="f"/>
              <v:textbox inset="0mm,0mm,0mm,0mm" style="mso-fit-shape-to-text:t;">
                <w:txbxContent>
                  <w:p>
                    <w:pPr>
                      <w:pStyle w:val="15"/>
                      <w:rPr>
                        <w:rStyle w:val="25"/>
                        <w:rFonts w:ascii="Times New Roman" w:hAnsi="Times New Roman" w:cs="Times New Roman"/>
                        <w:sz w:val="21"/>
                        <w:szCs w:val="21"/>
                      </w:rPr>
                    </w:pPr>
                    <w:r>
                      <w:rPr>
                        <w:rFonts w:hint="eastAsia" w:ascii="宋体" w:hAnsi="宋体" w:eastAsia="宋体" w:cs="宋体"/>
                        <w:sz w:val="28"/>
                        <w:szCs w:val="28"/>
                      </w:rPr>
                      <w:fldChar w:fldCharType="begin"/>
                    </w:r>
                    <w:r>
                      <w:rPr>
                        <w:rStyle w:val="2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25"/>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Style w:val="25"/>
                              <w:rFonts w:ascii="Times New Roman" w:hAnsi="Times New Roman" w:cs="Times New Roman"/>
                              <w:sz w:val="21"/>
                              <w:szCs w:val="21"/>
                            </w:rPr>
                          </w:pPr>
                          <w:r>
                            <w:rPr>
                              <w:rFonts w:hint="eastAsia" w:ascii="宋体" w:hAnsi="宋体" w:eastAsia="宋体" w:cs="宋体"/>
                              <w:sz w:val="28"/>
                              <w:szCs w:val="28"/>
                            </w:rPr>
                            <w:fldChar w:fldCharType="begin"/>
                          </w:r>
                          <w:r>
                            <w:rPr>
                              <w:rStyle w:val="2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25"/>
                              <w:rFonts w:ascii="宋体" w:hAnsi="宋体" w:eastAsia="宋体" w:cs="宋体"/>
                              <w:sz w:val="28"/>
                              <w:szCs w:val="28"/>
                            </w:rPr>
                            <w:t>- 4 -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5LsAsYBAACd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Skjuhvj5HGyNMl1BGKWCWHXi3zmzYsrcVjP1c9/FX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bkuwCxgEAAJ0DAAAOAAAAAAAAAAEAIAAAAB4BAABkcnMvZTJvRG9jLnht&#10;bFBLBQYAAAAABgAGAFkBAABWBQAAAAA=&#10;">
              <v:fill on="f" focussize="0,0"/>
              <v:stroke on="f"/>
              <v:imagedata o:title=""/>
              <o:lock v:ext="edit" aspectratio="f"/>
              <v:textbox inset="0mm,0mm,0mm,0mm" style="mso-fit-shape-to-text:t;">
                <w:txbxContent>
                  <w:p>
                    <w:pPr>
                      <w:pStyle w:val="15"/>
                      <w:rPr>
                        <w:rStyle w:val="25"/>
                        <w:rFonts w:ascii="Times New Roman" w:hAnsi="Times New Roman" w:cs="Times New Roman"/>
                        <w:sz w:val="21"/>
                        <w:szCs w:val="21"/>
                      </w:rPr>
                    </w:pPr>
                    <w:r>
                      <w:rPr>
                        <w:rFonts w:hint="eastAsia" w:ascii="宋体" w:hAnsi="宋体" w:eastAsia="宋体" w:cs="宋体"/>
                        <w:sz w:val="28"/>
                        <w:szCs w:val="28"/>
                      </w:rPr>
                      <w:fldChar w:fldCharType="begin"/>
                    </w:r>
                    <w:r>
                      <w:rPr>
                        <w:rStyle w:val="2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25"/>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jc w:val="center"/>
                            <w:rPr>
                              <w:rFonts w:ascii="Times New Roman" w:hAnsi="Times New Roman" w:cs="Times New Roman"/>
                              <w:sz w:val="21"/>
                              <w:szCs w:val="21"/>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pPr>
                      <w:pStyle w:val="15"/>
                      <w:jc w:val="center"/>
                      <w:rPr>
                        <w:rFonts w:ascii="Times New Roman" w:hAnsi="Times New Roman" w:cs="Times New Roman"/>
                        <w:sz w:val="21"/>
                        <w:szCs w:val="21"/>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13 -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47 -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1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47 -</w:t>
                    </w:r>
                    <w:r>
                      <w:rPr>
                        <w:rFonts w:hint="eastAsia" w:ascii="宋体" w:hAnsi="宋体" w:eastAsia="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28"/>
      </w:rPr>
      <w:t>陕西省发展和改革委员会</w:t>
    </w:r>
    <w:r>
      <w:rPr>
        <w:rFonts w:hint="eastAsia" w:ascii="宋体" w:hAnsi="宋体" w:eastAsia="宋体" w:cs="宋体"/>
        <w:b/>
        <w:bCs/>
        <w:color w:val="005192"/>
        <w:sz w:val="28"/>
        <w:szCs w:val="44"/>
      </w:rPr>
      <w:t xml:space="preserve">发布     </w:t>
    </w:r>
  </w:p>
  <w:p>
    <w:pPr>
      <w:pStyle w:val="1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000000" w:sz="0" w:space="0"/>
        <w:left w:val="none" w:color="000000" w:sz="0" w:space="0"/>
        <w:bottom w:val="none" w:color="000000" w:sz="0" w:space="0"/>
        <w:right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000000" w:sz="0" w:space="0"/>
        <w:left w:val="none" w:color="000000" w:sz="0" w:space="0"/>
        <w:bottom w:val="none" w:color="000000" w:sz="0" w:space="0"/>
        <w:right w:val="none" w:color="000000"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1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陕西省发展和改革委员会行政规范性文件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E0822"/>
    <w:multiLevelType w:val="singleLevel"/>
    <w:tmpl w:val="802E0822"/>
    <w:lvl w:ilvl="0" w:tentative="0">
      <w:start w:val="1"/>
      <w:numFmt w:val="decimal"/>
      <w:suff w:val="nothing"/>
      <w:lvlText w:val="%1．"/>
      <w:lvlJc w:val="left"/>
    </w:lvl>
  </w:abstractNum>
  <w:abstractNum w:abstractNumId="1">
    <w:nsid w:val="82C08875"/>
    <w:multiLevelType w:val="singleLevel"/>
    <w:tmpl w:val="82C08875"/>
    <w:lvl w:ilvl="0" w:tentative="0">
      <w:start w:val="1"/>
      <w:numFmt w:val="decimal"/>
      <w:suff w:val="nothing"/>
      <w:lvlText w:val="%1）"/>
      <w:lvlJc w:val="left"/>
    </w:lvl>
  </w:abstractNum>
  <w:abstractNum w:abstractNumId="2">
    <w:nsid w:val="94EAFCE3"/>
    <w:multiLevelType w:val="singleLevel"/>
    <w:tmpl w:val="94EAFCE3"/>
    <w:lvl w:ilvl="0" w:tentative="0">
      <w:start w:val="2"/>
      <w:numFmt w:val="chineseCounting"/>
      <w:suff w:val="nothing"/>
      <w:lvlText w:val="（%1）"/>
      <w:lvlJc w:val="left"/>
      <w:rPr>
        <w:rFonts w:hint="eastAsia"/>
      </w:rPr>
    </w:lvl>
  </w:abstractNum>
  <w:abstractNum w:abstractNumId="3">
    <w:nsid w:val="B5792686"/>
    <w:multiLevelType w:val="singleLevel"/>
    <w:tmpl w:val="B5792686"/>
    <w:lvl w:ilvl="0" w:tentative="0">
      <w:start w:val="4"/>
      <w:numFmt w:val="chineseCounting"/>
      <w:suff w:val="space"/>
      <w:lvlText w:val="第%1节"/>
      <w:lvlJc w:val="left"/>
      <w:rPr>
        <w:rFonts w:hint="eastAsia"/>
      </w:rPr>
    </w:lvl>
  </w:abstractNum>
  <w:abstractNum w:abstractNumId="4">
    <w:nsid w:val="BC5785FD"/>
    <w:multiLevelType w:val="singleLevel"/>
    <w:tmpl w:val="BC5785FD"/>
    <w:lvl w:ilvl="0" w:tentative="0">
      <w:start w:val="1"/>
      <w:numFmt w:val="decimal"/>
      <w:suff w:val="nothing"/>
      <w:lvlText w:val="%1）"/>
      <w:lvlJc w:val="left"/>
      <w:pPr>
        <w:ind w:left="840" w:firstLine="0"/>
      </w:pPr>
    </w:lvl>
  </w:abstractNum>
  <w:abstractNum w:abstractNumId="5">
    <w:nsid w:val="C3FBC57E"/>
    <w:multiLevelType w:val="singleLevel"/>
    <w:tmpl w:val="C3FBC57E"/>
    <w:lvl w:ilvl="0" w:tentative="0">
      <w:start w:val="3"/>
      <w:numFmt w:val="decimal"/>
      <w:lvlText w:val="%1."/>
      <w:lvlJc w:val="left"/>
      <w:pPr>
        <w:tabs>
          <w:tab w:val="left" w:pos="312"/>
        </w:tabs>
        <w:ind w:left="1600" w:leftChars="0" w:firstLine="0" w:firstLineChars="0"/>
      </w:pPr>
    </w:lvl>
  </w:abstractNum>
  <w:abstractNum w:abstractNumId="6">
    <w:nsid w:val="D4328EAD"/>
    <w:multiLevelType w:val="singleLevel"/>
    <w:tmpl w:val="D4328EAD"/>
    <w:lvl w:ilvl="0" w:tentative="0">
      <w:start w:val="1"/>
      <w:numFmt w:val="decimal"/>
      <w:suff w:val="nothing"/>
      <w:lvlText w:val="（%1）"/>
      <w:lvlJc w:val="left"/>
    </w:lvl>
  </w:abstractNum>
  <w:abstractNum w:abstractNumId="7">
    <w:nsid w:val="EE198064"/>
    <w:multiLevelType w:val="singleLevel"/>
    <w:tmpl w:val="EE198064"/>
    <w:lvl w:ilvl="0" w:tentative="0">
      <w:start w:val="4"/>
      <w:numFmt w:val="chineseCounting"/>
      <w:suff w:val="space"/>
      <w:lvlText w:val="第%1章"/>
      <w:lvlJc w:val="left"/>
      <w:rPr>
        <w:rFonts w:hint="eastAsia"/>
      </w:rPr>
    </w:lvl>
  </w:abstractNum>
  <w:abstractNum w:abstractNumId="8">
    <w:nsid w:val="00000002"/>
    <w:multiLevelType w:val="multilevel"/>
    <w:tmpl w:val="00000002"/>
    <w:lvl w:ilvl="0" w:tentative="0">
      <w:start w:val="1"/>
      <w:numFmt w:val="decimal"/>
      <w:lvlText w:val="%1."/>
      <w:lvlJc w:val="left"/>
      <w:pPr>
        <w:tabs>
          <w:tab w:val="left" w:pos="0"/>
        </w:tabs>
        <w:ind w:left="420" w:hanging="420"/>
      </w:pPr>
      <w:rPr>
        <w:rFonts w:hint="eastAsia" w:cs="仿宋"/>
        <w:sz w:val="24"/>
        <w:szCs w:val="24"/>
      </w:rPr>
    </w:lvl>
    <w:lvl w:ilvl="1" w:tentative="0">
      <w:start w:val="1"/>
      <w:numFmt w:val="decimal"/>
      <w:lvlText w:val="3.%2 "/>
      <w:lvlJc w:val="left"/>
      <w:pPr>
        <w:tabs>
          <w:tab w:val="left" w:pos="0"/>
        </w:tabs>
        <w:ind w:left="834" w:hanging="420"/>
      </w:pPr>
      <w:rPr>
        <w:rFonts w:hint="eastAsia" w:cs="仿宋"/>
      </w:r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00000011"/>
    <w:multiLevelType w:val="singleLevel"/>
    <w:tmpl w:val="00000011"/>
    <w:lvl w:ilvl="0" w:tentative="0">
      <w:start w:val="1"/>
      <w:numFmt w:val="decimal"/>
      <w:suff w:val="nothing"/>
      <w:lvlText w:val="（%1）"/>
      <w:lvlJc w:val="left"/>
      <w:pPr>
        <w:tabs>
          <w:tab w:val="left" w:pos="0"/>
        </w:tabs>
        <w:ind w:left="0" w:firstLine="0"/>
      </w:pPr>
    </w:lvl>
  </w:abstractNum>
  <w:abstractNum w:abstractNumId="10">
    <w:nsid w:val="00000034"/>
    <w:multiLevelType w:val="multilevel"/>
    <w:tmpl w:val="00000034"/>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35"/>
    <w:multiLevelType w:val="multilevel"/>
    <w:tmpl w:val="00000035"/>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14732373"/>
    <w:multiLevelType w:val="singleLevel"/>
    <w:tmpl w:val="14732373"/>
    <w:lvl w:ilvl="0" w:tentative="0">
      <w:start w:val="1"/>
      <w:numFmt w:val="decimal"/>
      <w:suff w:val="nothing"/>
      <w:lvlText w:val="%1、"/>
      <w:lvlJc w:val="left"/>
    </w:lvl>
  </w:abstractNum>
  <w:abstractNum w:abstractNumId="13">
    <w:nsid w:val="157B3728"/>
    <w:multiLevelType w:val="multilevel"/>
    <w:tmpl w:val="157B3728"/>
    <w:lvl w:ilvl="0" w:tentative="0">
      <w:start w:val="1"/>
      <w:numFmt w:val="japaneseCounting"/>
      <w:lvlText w:val="第%1条"/>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8184C12"/>
    <w:multiLevelType w:val="singleLevel"/>
    <w:tmpl w:val="48184C12"/>
    <w:lvl w:ilvl="0" w:tentative="0">
      <w:start w:val="1"/>
      <w:numFmt w:val="decimal"/>
      <w:suff w:val="nothing"/>
      <w:lvlText w:val="%1、"/>
      <w:lvlJc w:val="left"/>
    </w:lvl>
  </w:abstractNum>
  <w:abstractNum w:abstractNumId="15">
    <w:nsid w:val="4ABA0929"/>
    <w:multiLevelType w:val="multilevel"/>
    <w:tmpl w:val="4ABA0929"/>
    <w:lvl w:ilvl="0" w:tentative="0">
      <w:start w:val="1"/>
      <w:numFmt w:val="decimal"/>
      <w:lvlText w:val="%1．"/>
      <w:lvlJc w:val="left"/>
      <w:pPr>
        <w:tabs>
          <w:tab w:val="left" w:pos="644"/>
        </w:tabs>
        <w:ind w:left="644" w:hanging="360"/>
      </w:pPr>
      <w:rPr>
        <w:rFonts w:hint="default"/>
      </w:rPr>
    </w:lvl>
    <w:lvl w:ilvl="1" w:tentative="0">
      <w:start w:val="1"/>
      <w:numFmt w:val="lowerLetter"/>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16">
    <w:nsid w:val="4D8FD96C"/>
    <w:multiLevelType w:val="singleLevel"/>
    <w:tmpl w:val="4D8FD96C"/>
    <w:lvl w:ilvl="0" w:tentative="0">
      <w:start w:val="15"/>
      <w:numFmt w:val="chineseCounting"/>
      <w:suff w:val="space"/>
      <w:lvlText w:val="第%1条"/>
      <w:lvlJc w:val="left"/>
      <w:rPr>
        <w:rFonts w:hint="eastAsia"/>
      </w:rPr>
    </w:lvl>
  </w:abstractNum>
  <w:abstractNum w:abstractNumId="17">
    <w:nsid w:val="53E71A8F"/>
    <w:multiLevelType w:val="singleLevel"/>
    <w:tmpl w:val="53E71A8F"/>
    <w:lvl w:ilvl="0" w:tentative="0">
      <w:start w:val="1"/>
      <w:numFmt w:val="chineseCounting"/>
      <w:suff w:val="space"/>
      <w:lvlText w:val="第%1条"/>
      <w:lvlJc w:val="left"/>
      <w:pPr>
        <w:tabs>
          <w:tab w:val="left" w:pos="0"/>
        </w:tabs>
        <w:ind w:left="-10" w:firstLine="40"/>
      </w:pPr>
      <w:rPr>
        <w:rFonts w:hint="eastAsia"/>
        <w:b/>
        <w:bCs/>
      </w:rPr>
    </w:lvl>
  </w:abstractNum>
  <w:abstractNum w:abstractNumId="18">
    <w:nsid w:val="57308B6C"/>
    <w:multiLevelType w:val="singleLevel"/>
    <w:tmpl w:val="57308B6C"/>
    <w:lvl w:ilvl="0" w:tentative="0">
      <w:start w:val="1"/>
      <w:numFmt w:val="decimal"/>
      <w:suff w:val="nothing"/>
      <w:lvlText w:val="%1、"/>
      <w:lvlJc w:val="left"/>
    </w:lvl>
  </w:abstractNum>
  <w:abstractNum w:abstractNumId="19">
    <w:nsid w:val="5FB5773B"/>
    <w:multiLevelType w:val="multilevel"/>
    <w:tmpl w:val="5FB5773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905BF2B"/>
    <w:multiLevelType w:val="singleLevel"/>
    <w:tmpl w:val="7905BF2B"/>
    <w:lvl w:ilvl="0" w:tentative="0">
      <w:start w:val="1"/>
      <w:numFmt w:val="decimal"/>
      <w:lvlText w:val="%1."/>
      <w:lvlJc w:val="left"/>
      <w:pPr>
        <w:ind w:left="425" w:hanging="425"/>
      </w:pPr>
      <w:rPr>
        <w:rFonts w:hint="default" w:ascii="黑体" w:hAnsi="黑体" w:eastAsia="黑体"/>
        <w:sz w:val="24"/>
        <w:szCs w:val="24"/>
      </w:rPr>
    </w:lvl>
  </w:abstractNum>
  <w:num w:numId="1">
    <w:abstractNumId w:val="5"/>
  </w:num>
  <w:num w:numId="2">
    <w:abstractNumId w:val="16"/>
  </w:num>
  <w:num w:numId="3">
    <w:abstractNumId w:val="17"/>
  </w:num>
  <w:num w:numId="4">
    <w:abstractNumId w:val="8"/>
  </w:num>
  <w:num w:numId="5">
    <w:abstractNumId w:val="20"/>
  </w:num>
  <w:num w:numId="6">
    <w:abstractNumId w:val="2"/>
  </w:num>
  <w:num w:numId="7">
    <w:abstractNumId w:val="12"/>
  </w:num>
  <w:num w:numId="8">
    <w:abstractNumId w:val="1"/>
  </w:num>
  <w:num w:numId="9">
    <w:abstractNumId w:val="14"/>
  </w:num>
  <w:num w:numId="10">
    <w:abstractNumId w:val="18"/>
  </w:num>
  <w:num w:numId="11">
    <w:abstractNumId w:val="7"/>
  </w:num>
  <w:num w:numId="12">
    <w:abstractNumId w:val="3"/>
  </w:num>
  <w:num w:numId="13">
    <w:abstractNumId w:val="9"/>
  </w:num>
  <w:num w:numId="14">
    <w:abstractNumId w:val="13"/>
  </w:num>
  <w:num w:numId="15">
    <w:abstractNumId w:val="15"/>
  </w:num>
  <w:num w:numId="16">
    <w:abstractNumId w:val="19"/>
  </w:num>
  <w:num w:numId="17">
    <w:abstractNumId w:val="6"/>
  </w:num>
  <w:num w:numId="18">
    <w:abstractNumId w:val="4"/>
  </w:num>
  <w:num w:numId="19">
    <w:abstractNumId w:val="10"/>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mEyZGY0NDYzMGQ2ZjA5YjQ2NzNmNWFlNzY3ZjAifQ=="/>
  </w:docVars>
  <w:rsids>
    <w:rsidRoot w:val="00172A27"/>
    <w:rsid w:val="00083B94"/>
    <w:rsid w:val="000E26AB"/>
    <w:rsid w:val="00153BF6"/>
    <w:rsid w:val="00172A27"/>
    <w:rsid w:val="004B5A4B"/>
    <w:rsid w:val="00513E7D"/>
    <w:rsid w:val="005165F8"/>
    <w:rsid w:val="005E6437"/>
    <w:rsid w:val="005F061D"/>
    <w:rsid w:val="00703EF9"/>
    <w:rsid w:val="008351BA"/>
    <w:rsid w:val="008C06EA"/>
    <w:rsid w:val="0093077F"/>
    <w:rsid w:val="00B77A8B"/>
    <w:rsid w:val="00C54DDE"/>
    <w:rsid w:val="00CE0C22"/>
    <w:rsid w:val="00D115BA"/>
    <w:rsid w:val="00E0345E"/>
    <w:rsid w:val="019E71BD"/>
    <w:rsid w:val="041E31FD"/>
    <w:rsid w:val="04B679C3"/>
    <w:rsid w:val="080F63D8"/>
    <w:rsid w:val="09341458"/>
    <w:rsid w:val="0B0912D7"/>
    <w:rsid w:val="108308F4"/>
    <w:rsid w:val="13F7329F"/>
    <w:rsid w:val="152D2DCA"/>
    <w:rsid w:val="16214C0F"/>
    <w:rsid w:val="1681380E"/>
    <w:rsid w:val="177B1AE6"/>
    <w:rsid w:val="1DEC284C"/>
    <w:rsid w:val="1E6523AC"/>
    <w:rsid w:val="22440422"/>
    <w:rsid w:val="22EF5D73"/>
    <w:rsid w:val="31A15F24"/>
    <w:rsid w:val="379A5B17"/>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C027F13"/>
    <w:rsid w:val="5DC34279"/>
    <w:rsid w:val="608816D1"/>
    <w:rsid w:val="60EF4E7F"/>
    <w:rsid w:val="665233C1"/>
    <w:rsid w:val="69342E70"/>
    <w:rsid w:val="6AD9688B"/>
    <w:rsid w:val="6D0E3F22"/>
    <w:rsid w:val="6D9A235B"/>
    <w:rsid w:val="784529A4"/>
    <w:rsid w:val="7B7B219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23">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customStyle="1" w:styleId="2">
    <w:name w:val="标4"/>
    <w:basedOn w:val="1"/>
    <w:qFormat/>
    <w:uiPriority w:val="0"/>
    <w:pPr>
      <w:spacing w:line="240" w:lineRule="exact"/>
      <w:outlineLvl w:val="3"/>
    </w:pPr>
    <w:rPr>
      <w:rFonts w:ascii="Arial" w:hAnsi="Arial" w:eastAsia="宋体" w:cs="Arial"/>
      <w:b/>
      <w:bCs/>
      <w:kern w:val="24"/>
    </w:rPr>
  </w:style>
  <w:style w:type="paragraph" w:styleId="7">
    <w:name w:val="toa heading"/>
    <w:basedOn w:val="1"/>
    <w:next w:val="1"/>
    <w:qFormat/>
    <w:uiPriority w:val="0"/>
    <w:rPr>
      <w:rFonts w:ascii="Arial" w:hAnsi="Arial"/>
      <w:sz w:val="24"/>
    </w:rPr>
  </w:style>
  <w:style w:type="paragraph" w:styleId="8">
    <w:name w:val="annotation text"/>
    <w:basedOn w:val="1"/>
    <w:link w:val="30"/>
    <w:qFormat/>
    <w:uiPriority w:val="0"/>
    <w:pPr>
      <w:jc w:val="left"/>
    </w:pPr>
  </w:style>
  <w:style w:type="paragraph" w:styleId="9">
    <w:name w:val="Body Text 3"/>
    <w:basedOn w:val="1"/>
    <w:qFormat/>
    <w:uiPriority w:val="0"/>
    <w:rPr>
      <w:rFonts w:ascii="宋体"/>
      <w:sz w:val="24"/>
      <w:szCs w:val="20"/>
    </w:rPr>
  </w:style>
  <w:style w:type="paragraph" w:styleId="10">
    <w:name w:val="Body Text"/>
    <w:basedOn w:val="1"/>
    <w:next w:val="1"/>
    <w:qFormat/>
    <w:uiPriority w:val="0"/>
    <w:pPr>
      <w:spacing w:after="120"/>
    </w:pPr>
  </w:style>
  <w:style w:type="paragraph" w:styleId="11">
    <w:name w:val="toc 3"/>
    <w:basedOn w:val="1"/>
    <w:next w:val="1"/>
    <w:qFormat/>
    <w:uiPriority w:val="39"/>
    <w:pPr>
      <w:ind w:left="420"/>
      <w:jc w:val="left"/>
    </w:pPr>
    <w:rPr>
      <w:iCs/>
      <w:sz w:val="20"/>
      <w:szCs w:val="20"/>
    </w:rPr>
  </w:style>
  <w:style w:type="paragraph" w:styleId="12">
    <w:name w:val="Plain Text"/>
    <w:basedOn w:val="1"/>
    <w:unhideWhenUsed/>
    <w:qFormat/>
    <w:uiPriority w:val="0"/>
    <w:rPr>
      <w:rFonts w:ascii="宋体" w:hAnsi="Courier New" w:eastAsia="宋体" w:cs="Courier New"/>
      <w:szCs w:val="21"/>
    </w:rPr>
  </w:style>
  <w:style w:type="paragraph" w:styleId="13">
    <w:name w:val="Date"/>
    <w:basedOn w:val="1"/>
    <w:next w:val="1"/>
    <w:link w:val="28"/>
    <w:uiPriority w:val="0"/>
    <w:pPr>
      <w:ind w:left="100" w:leftChars="2500"/>
    </w:pPr>
  </w:style>
  <w:style w:type="paragraph" w:styleId="14">
    <w:name w:val="Balloon Text"/>
    <w:basedOn w:val="1"/>
    <w:link w:val="27"/>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Subtitle"/>
    <w:basedOn w:val="1"/>
    <w:next w:val="1"/>
    <w:link w:val="40"/>
    <w:qFormat/>
    <w:uiPriority w:val="11"/>
    <w:pPr>
      <w:widowControl/>
      <w:spacing w:before="240" w:after="60" w:line="312" w:lineRule="auto"/>
      <w:jc w:val="center"/>
      <w:outlineLvl w:val="1"/>
    </w:pPr>
    <w:rPr>
      <w:rFonts w:ascii="Calibri Light" w:hAnsi="Calibri Light"/>
      <w:b/>
      <w:bCs/>
      <w:kern w:val="28"/>
      <w:sz w:val="32"/>
      <w:szCs w:val="32"/>
    </w:rPr>
  </w:style>
  <w:style w:type="paragraph" w:styleId="18">
    <w:name w:val="toc 2"/>
    <w:basedOn w:val="1"/>
    <w:next w:val="1"/>
    <w:qFormat/>
    <w:uiPriority w:val="39"/>
    <w:pPr>
      <w:ind w:left="210"/>
      <w:jc w:val="left"/>
    </w:pPr>
    <w:rPr>
      <w:smallCaps/>
      <w:sz w:val="20"/>
      <w:szCs w:val="20"/>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0">
    <w:name w:val="Title"/>
    <w:basedOn w:val="1"/>
    <w:next w:val="1"/>
    <w:link w:val="41"/>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21">
    <w:name w:val="annotation subject"/>
    <w:basedOn w:val="8"/>
    <w:next w:val="8"/>
    <w:link w:val="31"/>
    <w:qFormat/>
    <w:uiPriority w:val="0"/>
    <w:rPr>
      <w:b/>
      <w:bCs/>
    </w:rPr>
  </w:style>
  <w:style w:type="character" w:styleId="24">
    <w:name w:val="Strong"/>
    <w:basedOn w:val="23"/>
    <w:qFormat/>
    <w:uiPriority w:val="22"/>
    <w:rPr>
      <w:b/>
      <w:bCs/>
    </w:rPr>
  </w:style>
  <w:style w:type="character" w:styleId="25">
    <w:name w:val="page number"/>
    <w:qFormat/>
    <w:uiPriority w:val="0"/>
  </w:style>
  <w:style w:type="character" w:styleId="26">
    <w:name w:val="annotation reference"/>
    <w:basedOn w:val="23"/>
    <w:qFormat/>
    <w:uiPriority w:val="0"/>
    <w:rPr>
      <w:sz w:val="21"/>
      <w:szCs w:val="21"/>
    </w:rPr>
  </w:style>
  <w:style w:type="character" w:customStyle="1" w:styleId="27">
    <w:name w:val="批注框文本 字符"/>
    <w:basedOn w:val="23"/>
    <w:link w:val="14"/>
    <w:qFormat/>
    <w:uiPriority w:val="0"/>
    <w:rPr>
      <w:rFonts w:asciiTheme="minorHAnsi" w:hAnsiTheme="minorHAnsi" w:eastAsiaTheme="minorEastAsia" w:cstheme="minorBidi"/>
      <w:kern w:val="2"/>
      <w:sz w:val="18"/>
      <w:szCs w:val="18"/>
    </w:rPr>
  </w:style>
  <w:style w:type="character" w:customStyle="1" w:styleId="28">
    <w:name w:val="日期 字符"/>
    <w:basedOn w:val="23"/>
    <w:link w:val="13"/>
    <w:qFormat/>
    <w:uiPriority w:val="0"/>
    <w:rPr>
      <w:rFonts w:asciiTheme="minorHAnsi" w:hAnsiTheme="minorHAnsi" w:eastAsiaTheme="minorEastAsia" w:cstheme="minorBidi"/>
      <w:kern w:val="2"/>
      <w:sz w:val="21"/>
      <w:szCs w:val="24"/>
    </w:rPr>
  </w:style>
  <w:style w:type="paragraph" w:styleId="29">
    <w:name w:val="List Paragraph"/>
    <w:basedOn w:val="1"/>
    <w:qFormat/>
    <w:uiPriority w:val="99"/>
    <w:pPr>
      <w:ind w:firstLine="420" w:firstLineChars="200"/>
    </w:pPr>
  </w:style>
  <w:style w:type="character" w:customStyle="1" w:styleId="30">
    <w:name w:val="批注文字 字符"/>
    <w:basedOn w:val="23"/>
    <w:link w:val="8"/>
    <w:qFormat/>
    <w:uiPriority w:val="0"/>
    <w:rPr>
      <w:rFonts w:asciiTheme="minorHAnsi" w:hAnsiTheme="minorHAnsi" w:eastAsiaTheme="minorEastAsia" w:cstheme="minorBidi"/>
      <w:kern w:val="2"/>
      <w:sz w:val="21"/>
      <w:szCs w:val="24"/>
    </w:rPr>
  </w:style>
  <w:style w:type="character" w:customStyle="1" w:styleId="31">
    <w:name w:val="批注主题 字符"/>
    <w:basedOn w:val="30"/>
    <w:link w:val="21"/>
    <w:qFormat/>
    <w:uiPriority w:val="0"/>
    <w:rPr>
      <w:rFonts w:asciiTheme="minorHAnsi" w:hAnsiTheme="minorHAnsi" w:eastAsiaTheme="minorEastAsia" w:cstheme="minorBidi"/>
      <w:b/>
      <w:bCs/>
      <w:kern w:val="2"/>
      <w:sz w:val="21"/>
      <w:szCs w:val="24"/>
    </w:rPr>
  </w:style>
  <w:style w:type="paragraph" w:customStyle="1" w:styleId="32">
    <w:name w:val="正文缩进2"/>
    <w:basedOn w:val="1"/>
    <w:qFormat/>
    <w:uiPriority w:val="0"/>
    <w:pPr>
      <w:ind w:firstLine="200" w:firstLineChars="200"/>
    </w:pPr>
    <w:rPr>
      <w:rFonts w:ascii="Times New Roman" w:hAnsi="Times New Roman" w:eastAsia="楷体_GB2312" w:cs="Times New Roman"/>
    </w:rPr>
  </w:style>
  <w:style w:type="paragraph" w:styleId="33">
    <w:name w:val="No Spacing"/>
    <w:qFormat/>
    <w:uiPriority w:val="1"/>
    <w:pPr>
      <w:widowControl w:val="0"/>
      <w:ind w:left="420" w:hanging="420"/>
      <w:jc w:val="both"/>
    </w:pPr>
    <w:rPr>
      <w:rFonts w:ascii="Times New Roman" w:hAnsi="Times New Roman" w:eastAsia="宋体" w:cs="Times New Roman"/>
      <w:kern w:val="2"/>
      <w:sz w:val="21"/>
      <w:szCs w:val="20"/>
      <w:lang w:val="en-US" w:eastAsia="zh-CN" w:bidi="ar-SA"/>
    </w:rPr>
  </w:style>
  <w:style w:type="character" w:customStyle="1" w:styleId="34">
    <w:name w:val="font21"/>
    <w:qFormat/>
    <w:uiPriority w:val="0"/>
    <w:rPr>
      <w:rFonts w:hint="eastAsia" w:ascii="宋体" w:hAnsi="宋体" w:eastAsia="宋体" w:cs="宋体"/>
      <w:color w:val="000000"/>
      <w:sz w:val="20"/>
      <w:szCs w:val="20"/>
      <w:u w:val="none"/>
    </w:rPr>
  </w:style>
  <w:style w:type="character" w:customStyle="1" w:styleId="35">
    <w:name w:val="font51"/>
    <w:qFormat/>
    <w:uiPriority w:val="0"/>
    <w:rPr>
      <w:rFonts w:hint="eastAsia" w:ascii="宋体" w:hAnsi="宋体" w:eastAsia="宋体" w:cs="宋体"/>
      <w:color w:val="000000"/>
      <w:sz w:val="24"/>
      <w:szCs w:val="24"/>
      <w:u w:val="none"/>
    </w:rPr>
  </w:style>
  <w:style w:type="character" w:customStyle="1" w:styleId="36">
    <w:name w:val="font01"/>
    <w:qFormat/>
    <w:uiPriority w:val="0"/>
    <w:rPr>
      <w:rFonts w:hint="eastAsia" w:ascii="宋体" w:hAnsi="宋体" w:eastAsia="宋体" w:cs="宋体"/>
      <w:b/>
      <w:color w:val="000000"/>
      <w:sz w:val="18"/>
      <w:szCs w:val="18"/>
      <w:u w:val="none"/>
    </w:rPr>
  </w:style>
  <w:style w:type="paragraph" w:customStyle="1" w:styleId="37">
    <w:name w:val="p0"/>
    <w:basedOn w:val="1"/>
    <w:qFormat/>
    <w:uiPriority w:val="0"/>
    <w:pPr>
      <w:widowControl/>
    </w:pPr>
    <w:rPr>
      <w:kern w:val="0"/>
      <w:szCs w:val="21"/>
    </w:rPr>
  </w:style>
  <w:style w:type="character" w:customStyle="1" w:styleId="38">
    <w:name w:val="15"/>
    <w:qFormat/>
    <w:uiPriority w:val="0"/>
    <w:rPr>
      <w:rFonts w:hint="default" w:ascii="Times New Roman" w:hAnsi="Times New Roman" w:cs="Times New Roman"/>
      <w:color w:val="464445"/>
      <w:u w:val="none"/>
    </w:rPr>
  </w:style>
  <w:style w:type="paragraph" w:customStyle="1" w:styleId="39">
    <w:name w:val="普通(网站)1"/>
    <w:basedOn w:val="1"/>
    <w:qFormat/>
    <w:uiPriority w:val="7"/>
    <w:pPr>
      <w:widowControl/>
      <w:jc w:val="left"/>
    </w:pPr>
    <w:rPr>
      <w:rFonts w:ascii="宋体" w:hAnsi="宋体" w:cs="宋体"/>
      <w:kern w:val="0"/>
      <w:sz w:val="24"/>
    </w:rPr>
  </w:style>
  <w:style w:type="character" w:customStyle="1" w:styleId="40">
    <w:name w:val="副标题 Char"/>
    <w:basedOn w:val="23"/>
    <w:link w:val="17"/>
    <w:qFormat/>
    <w:uiPriority w:val="11"/>
    <w:rPr>
      <w:rFonts w:ascii="Calibri Light" w:hAnsi="Calibri Light"/>
      <w:b/>
      <w:bCs/>
      <w:kern w:val="28"/>
      <w:sz w:val="32"/>
      <w:szCs w:val="32"/>
    </w:rPr>
  </w:style>
  <w:style w:type="character" w:customStyle="1" w:styleId="41">
    <w:name w:val="标题 Char"/>
    <w:basedOn w:val="23"/>
    <w:link w:val="20"/>
    <w:qFormat/>
    <w:uiPriority w:val="10"/>
    <w:rPr>
      <w:rFonts w:ascii="Arial" w:hAnsi="Arial"/>
      <w:b/>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242</Pages>
  <Words>98749</Words>
  <Characters>103222</Characters>
  <Lines>28</Lines>
  <Paragraphs>7</Paragraphs>
  <TotalTime>24</TotalTime>
  <ScaleCrop>false</ScaleCrop>
  <LinksUpToDate>false</LinksUpToDate>
  <CharactersWithSpaces>125282</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2022-08-26T03:18:16Z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FFF069AA13D6495DBA347A14E7E2478A</vt:lpwstr>
  </property>
</Properties>
</file>