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70" w:lineRule="exact"/>
        <w:ind w:left="0" w:leftChars="0"/>
        <w:jc w:val="left"/>
        <w:textAlignment w:val="auto"/>
      </w:pPr>
      <w:r>
        <w:rPr>
          <w:rFonts w:ascii="仿宋_GB2312" w:eastAsia="仿宋_GB2312"/>
          <w:sz w:val="31"/>
          <w:u w:val="none" w:color="FF660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color w:val="35353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color w:val="353535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353535"/>
          <w:sz w:val="44"/>
          <w:szCs w:val="44"/>
        </w:rPr>
        <w:t>陕西省人力资源和社会保障厅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color w:val="353535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53535"/>
          <w:sz w:val="44"/>
          <w:szCs w:val="44"/>
        </w:rPr>
        <w:t>陕西省</w:t>
      </w:r>
      <w:r>
        <w:rPr>
          <w:rFonts w:hint="eastAsia" w:asciiTheme="majorEastAsia" w:hAnsiTheme="majorEastAsia" w:eastAsiaTheme="majorEastAsia" w:cstheme="majorEastAsia"/>
          <w:color w:val="353535"/>
          <w:sz w:val="44"/>
          <w:szCs w:val="44"/>
          <w:lang w:val="en-US" w:eastAsia="zh-CN"/>
        </w:rPr>
        <w:t>财政厅</w:t>
      </w:r>
    </w:p>
    <w:p>
      <w:pPr>
        <w:spacing w:line="570" w:lineRule="exact"/>
        <w:jc w:val="center"/>
        <w:rPr>
          <w:rFonts w:ascii="Times New Roman"/>
          <w:sz w:val="44"/>
          <w:szCs w:val="44"/>
        </w:rPr>
      </w:pPr>
      <w:r>
        <w:rPr>
          <w:rFonts w:ascii="Times New Roman"/>
          <w:sz w:val="44"/>
          <w:szCs w:val="44"/>
        </w:rPr>
        <w:t>关于做好受灾地区重点群体就业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/>
        <w:jc w:val="center"/>
        <w:textAlignment w:val="auto"/>
        <w:outlineLvl w:val="9"/>
        <w:rPr>
          <w:rFonts w:hint="default" w:asciiTheme="majorEastAsia" w:hAnsiTheme="majorEastAsia" w:eastAsiaTheme="majorEastAsia" w:cstheme="majorEastAsia"/>
          <w:color w:val="353535"/>
          <w:sz w:val="44"/>
          <w:szCs w:val="44"/>
        </w:rPr>
      </w:pPr>
      <w:r>
        <w:rPr>
          <w:rFonts w:ascii="Times New Roman"/>
          <w:sz w:val="44"/>
          <w:szCs w:val="44"/>
        </w:rPr>
        <w:t>帮扶工作的通知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陕人社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发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〔202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〕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号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7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汉中市、安康市、商洛市、西安市（蓝田县）人力资源和社会保障局，财政局：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省委、省政府部署要求，为支持受灾地区防汛救灾和灾后重建，切实防止因灾返贫致贫。决定从即日起至2022年春节前，将受灾脱贫劳动力及脱贫不稳定户、边缘易致贫户、突发严重困难户中的劳动力作为重点对象，在生产自救的基础上，给予就业帮扶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8"/>
        <w:textAlignment w:val="auto"/>
        <w:rPr>
          <w:rFonts w:hint="eastAsia" w:hAnsi="仿宋_GB2312" w:eastAsia="仿宋_GB2312" w:cs="仿宋_GB2312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一、鼓励引导企业吸纳就业。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县人社局负总责，以镇为主体，聚焦人员伤亡、房屋倒塌、水电路讯等基础设施严重受损有恢复重建任务的村组和家庭，对上述三类人群“送岗位”“送培训”“送服务”到村到人。要主动对接辖区内各类企业和项目，鼓励履行社会责任，吸纳上述三类人群就业或接受就业培训。将上述三类人群纳入企业吸纳就业一次性补贴范围，对中小微企业在2022年春节前新吸纳重点帮扶对象就业、签订6个月以上期限劳动合同的，按每人2000元的标准，给予企业一次性吸纳就业补贴。从即日起，社区工厂新吸纳1名重点帮扶对象就业、签订不低于1年期限劳动合同的，将一次性岗位补贴提高至2000元。对吸纳重点帮扶对象就业的社区工厂，优先给予场地租赁费、水电费补贴。加强重点帮扶对象职业技能和创业培训，落实培训补贴，优先组织参加定岗、订单、定向培训，培训后安置到重点项目、当地企业就业，支持就业增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8"/>
        <w:textAlignment w:val="auto"/>
        <w:rPr>
          <w:rFonts w:hint="eastAsia" w:hAnsi="仿宋_GB2312" w:eastAsia="仿宋_GB2312" w:cs="仿宋_GB2312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二、加强公益性岗位过渡安置。</w:t>
      </w:r>
      <w:r>
        <w:rPr>
          <w:rFonts w:hint="eastAsia" w:hAnsi="仿宋_GB2312" w:eastAsia="仿宋_GB2312" w:cs="仿宋_GB2312"/>
          <w:sz w:val="32"/>
          <w:szCs w:val="32"/>
        </w:rPr>
        <w:t>受灾地区可将参加当地抗汛救灾、灾后重建的重点帮扶对象纳入临时公益性岗位，在抗汛救灾、灾后重建期间，比照当地公益性岗位补贴标准给予岗位补贴。鼓励县（市、区）利用新腾退城镇公益性岗位和乡村公益性岗位，在灾后重建项目和防汛防灾一线中设立防汛防灾公益性岗位，对重点帮扶对象进行过渡性安置，并按原渠道落实岗位补贴和社保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8"/>
        <w:textAlignment w:val="auto"/>
        <w:rPr>
          <w:rFonts w:hint="eastAsia" w:hAnsi="仿宋_GB2312" w:eastAsia="仿宋_GB2312" w:cs="仿宋_GB2312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三、扶持灾区青年免费就读技工院校。</w:t>
      </w:r>
      <w:r>
        <w:rPr>
          <w:rFonts w:hint="eastAsia" w:hAnsi="仿宋_GB2312" w:eastAsia="仿宋_GB2312" w:cs="仿宋_GB2312"/>
          <w:sz w:val="32"/>
          <w:szCs w:val="32"/>
        </w:rPr>
        <w:t>扩大受灾县（市、区）校县合作范围，由受灾县（市、区）组织摸排有就读技工院校意愿的“两后生”等青年，安排到对口技工院校就读。对口技工院校所开设专业不能满足学生意愿的，由省、市人社部门协调组织具备条件的技工院校到受灾县（市、区）定向招生。灾损严重、生活困难的在校学生，可享受国家助学金、免学费等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8"/>
        <w:textAlignment w:val="auto"/>
        <w:rPr>
          <w:rFonts w:hint="eastAsia" w:hAnsi="仿宋_GB2312" w:eastAsia="仿宋_GB2312" w:cs="仿宋_GB2312"/>
          <w:color w:val="0000FF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四、强化社会保障支持困难群体。</w:t>
      </w:r>
      <w:r>
        <w:rPr>
          <w:rFonts w:hint="eastAsia" w:hAnsi="仿宋_GB2312" w:eastAsia="仿宋_GB2312" w:cs="仿宋_GB2312"/>
          <w:sz w:val="32"/>
          <w:szCs w:val="32"/>
        </w:rPr>
        <w:t>对受灾地区的企业和失业人员，按发放失业保险金、失业补助金、失业农民工临时生活补助条件予以支持。优先给予企业稳岗返还，对基金不足的受灾地区由省级调剂解决。发挥困难农民工关爱基金作用，帮助受灾困难农民工家庭渡过难关。对在防汛救灾期间因履行工作职责遭受事故伤害的工作人员，特事特办，及时足额兑付工伤保险各项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8"/>
        <w:textAlignment w:val="auto"/>
        <w:rPr>
          <w:rFonts w:hint="eastAsia" w:hAnsi="仿宋_GB2312" w:eastAsia="仿宋_GB2312" w:cs="仿宋_GB2312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五、稳定受灾地区企业劳动关系。</w:t>
      </w:r>
      <w:r>
        <w:rPr>
          <w:rFonts w:hint="eastAsia" w:hAnsi="仿宋_GB2312" w:eastAsia="仿宋_GB2312" w:cs="仿宋_GB2312"/>
          <w:sz w:val="32"/>
          <w:szCs w:val="32"/>
        </w:rPr>
        <w:t>支持受灾情影响的企业就职工工资待遇、休息休假等权益与职工协商，稳定劳动关系。对因灾情未能及时返岗的职工，可考虑年休轮休调休冲抵。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各有关市县要强化宣传和舆论引导，确保扶持措施落实到企到人。要规范资金使用，加快支出进度，对年内资金使用效益较好的，下一年度给予倾斜支持。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0" w:lineRule="exact"/>
        <w:ind w:left="0" w:leftChars="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70" w:lineRule="exact"/>
        <w:ind w:left="0" w:leftChars="0"/>
        <w:jc w:val="righ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陕西省人力资源和社会保障厅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70" w:lineRule="exact"/>
        <w:ind w:left="0" w:leftChars="0"/>
        <w:jc w:val="righ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陕西省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财政厅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70" w:lineRule="exact"/>
        <w:ind w:left="0" w:leftChars="0"/>
        <w:jc w:val="righ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15"/>
      <w:wordWrap w:val="0"/>
      <w:ind w:left="3786" w:leftChars="1803" w:firstLine="7395" w:firstLineChars="2311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陕西省人力资源和社会保障厅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15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EdA1t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陕西省人力资源和社会保障厅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26AB"/>
    <w:rsid w:val="00153BF6"/>
    <w:rsid w:val="00172A27"/>
    <w:rsid w:val="002A0647"/>
    <w:rsid w:val="003A7E78"/>
    <w:rsid w:val="004B5A4B"/>
    <w:rsid w:val="00513E7D"/>
    <w:rsid w:val="005165F8"/>
    <w:rsid w:val="005E6437"/>
    <w:rsid w:val="005F061D"/>
    <w:rsid w:val="00764AD9"/>
    <w:rsid w:val="008C06EA"/>
    <w:rsid w:val="0093077F"/>
    <w:rsid w:val="00B77A8B"/>
    <w:rsid w:val="00BA6CFF"/>
    <w:rsid w:val="00D115BA"/>
    <w:rsid w:val="00E0345E"/>
    <w:rsid w:val="00E736FC"/>
    <w:rsid w:val="00F62050"/>
    <w:rsid w:val="019E71BD"/>
    <w:rsid w:val="030F070F"/>
    <w:rsid w:val="031C60FC"/>
    <w:rsid w:val="04B679C3"/>
    <w:rsid w:val="0533022F"/>
    <w:rsid w:val="080F63D8"/>
    <w:rsid w:val="08D707F2"/>
    <w:rsid w:val="09341458"/>
    <w:rsid w:val="0B0912D7"/>
    <w:rsid w:val="0E103A47"/>
    <w:rsid w:val="0E611E40"/>
    <w:rsid w:val="1378256C"/>
    <w:rsid w:val="152D2DCA"/>
    <w:rsid w:val="1DEC284C"/>
    <w:rsid w:val="1E6523AC"/>
    <w:rsid w:val="22440422"/>
    <w:rsid w:val="230B4243"/>
    <w:rsid w:val="24677254"/>
    <w:rsid w:val="24AE252D"/>
    <w:rsid w:val="2BF324DE"/>
    <w:rsid w:val="316D0A90"/>
    <w:rsid w:val="31A15F24"/>
    <w:rsid w:val="3849151E"/>
    <w:rsid w:val="395347B5"/>
    <w:rsid w:val="39A232A0"/>
    <w:rsid w:val="39E745AA"/>
    <w:rsid w:val="3B1750F7"/>
    <w:rsid w:val="3B5A6BBB"/>
    <w:rsid w:val="3B5D1F95"/>
    <w:rsid w:val="3EDA13A6"/>
    <w:rsid w:val="405C2E6C"/>
    <w:rsid w:val="42F058B7"/>
    <w:rsid w:val="436109F6"/>
    <w:rsid w:val="441A38D4"/>
    <w:rsid w:val="469537C1"/>
    <w:rsid w:val="47957AB0"/>
    <w:rsid w:val="47BB4079"/>
    <w:rsid w:val="4BC77339"/>
    <w:rsid w:val="4C020C53"/>
    <w:rsid w:val="4C9236C5"/>
    <w:rsid w:val="4D0501FC"/>
    <w:rsid w:val="505C172E"/>
    <w:rsid w:val="51D661BA"/>
    <w:rsid w:val="5287603E"/>
    <w:rsid w:val="52F46F0B"/>
    <w:rsid w:val="53D8014D"/>
    <w:rsid w:val="53E62521"/>
    <w:rsid w:val="55E064E0"/>
    <w:rsid w:val="572C6D10"/>
    <w:rsid w:val="591A039A"/>
    <w:rsid w:val="5DC34279"/>
    <w:rsid w:val="608816D1"/>
    <w:rsid w:val="60EF4E7F"/>
    <w:rsid w:val="61FD023F"/>
    <w:rsid w:val="6375284A"/>
    <w:rsid w:val="66420EBE"/>
    <w:rsid w:val="665233C1"/>
    <w:rsid w:val="672F5464"/>
    <w:rsid w:val="6A1150A2"/>
    <w:rsid w:val="6AD9688B"/>
    <w:rsid w:val="6C4732F0"/>
    <w:rsid w:val="6CE25454"/>
    <w:rsid w:val="6D0E3F22"/>
    <w:rsid w:val="7C155165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u w:val="none"/>
      <w:lang w:val="en-US" w:eastAsia="zh-CN" w:bidi="ar"/>
    </w:rPr>
  </w:style>
  <w:style w:type="paragraph" w:styleId="5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  <w:rPr>
      <w:rFonts w:ascii="Calibri" w:hAnsi="Calibri" w:cs="Arial"/>
      <w:szCs w:val="22"/>
    </w:rPr>
  </w:style>
  <w:style w:type="paragraph" w:styleId="6">
    <w:name w:val="annotation subject"/>
    <w:basedOn w:val="7"/>
    <w:next w:val="7"/>
    <w:link w:val="34"/>
    <w:qFormat/>
    <w:uiPriority w:val="0"/>
    <w:rPr>
      <w:b/>
      <w:bCs/>
    </w:rPr>
  </w:style>
  <w:style w:type="paragraph" w:styleId="7">
    <w:name w:val="annotation text"/>
    <w:basedOn w:val="1"/>
    <w:link w:val="33"/>
    <w:qFormat/>
    <w:uiPriority w:val="0"/>
    <w:pPr>
      <w:jc w:val="left"/>
    </w:pPr>
  </w:style>
  <w:style w:type="paragraph" w:styleId="8">
    <w:name w:val="Normal Indent"/>
    <w:basedOn w:val="1"/>
    <w:unhideWhenUsed/>
    <w:qFormat/>
    <w:uiPriority w:val="99"/>
    <w:pPr>
      <w:ind w:firstLine="420" w:firstLineChars="200"/>
    </w:pPr>
  </w:style>
  <w:style w:type="paragraph" w:styleId="9">
    <w:name w:val="index 5"/>
    <w:basedOn w:val="1"/>
    <w:next w:val="1"/>
    <w:qFormat/>
    <w:uiPriority w:val="0"/>
    <w:pPr>
      <w:ind w:left="1680"/>
    </w:pPr>
  </w:style>
  <w:style w:type="paragraph" w:styleId="10">
    <w:name w:val="Body Text 3"/>
    <w:basedOn w:val="1"/>
    <w:qFormat/>
    <w:uiPriority w:val="0"/>
    <w:rPr>
      <w:sz w:val="16"/>
    </w:rPr>
  </w:style>
  <w:style w:type="paragraph" w:styleId="11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12">
    <w:name w:val="Date"/>
    <w:basedOn w:val="1"/>
    <w:next w:val="1"/>
    <w:link w:val="31"/>
    <w:qFormat/>
    <w:uiPriority w:val="0"/>
    <w:pPr>
      <w:ind w:left="100" w:leftChars="2500"/>
    </w:pPr>
  </w:style>
  <w:style w:type="paragraph" w:styleId="13">
    <w:name w:val="Balloon Text"/>
    <w:basedOn w:val="1"/>
    <w:link w:val="30"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6">
    <w:name w:val="footnote text"/>
    <w:basedOn w:val="1"/>
    <w:next w:val="15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  <w:textAlignment w:val="auto"/>
    </w:pPr>
    <w:rPr>
      <w:rFonts w:ascii="宋体" w:hAnsi="宋体" w:cs="宋体"/>
      <w:sz w:val="24"/>
      <w:szCs w:val="24"/>
      <w:u w:val="none" w:color="auto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FollowedHyperlink"/>
    <w:basedOn w:val="19"/>
    <w:uiPriority w:val="0"/>
    <w:rPr>
      <w:rFonts w:hint="eastAsia" w:ascii="微软雅黑" w:hAnsi="微软雅黑" w:eastAsia="微软雅黑" w:cs="微软雅黑"/>
      <w:color w:val="2A2A2A"/>
      <w:sz w:val="21"/>
      <w:szCs w:val="21"/>
      <w:u w:val="none"/>
    </w:rPr>
  </w:style>
  <w:style w:type="character" w:styleId="22">
    <w:name w:val="Emphasis"/>
    <w:basedOn w:val="19"/>
    <w:qFormat/>
    <w:uiPriority w:val="0"/>
    <w:rPr>
      <w:u w:val="none"/>
    </w:rPr>
  </w:style>
  <w:style w:type="character" w:styleId="23">
    <w:name w:val="HTML Definition"/>
    <w:basedOn w:val="19"/>
    <w:uiPriority w:val="0"/>
    <w:rPr>
      <w:i/>
    </w:rPr>
  </w:style>
  <w:style w:type="character" w:styleId="24">
    <w:name w:val="Hyperlink"/>
    <w:basedOn w:val="19"/>
    <w:qFormat/>
    <w:uiPriority w:val="0"/>
    <w:rPr>
      <w:rFonts w:ascii="微软雅黑" w:hAnsi="微软雅黑" w:eastAsia="微软雅黑" w:cs="微软雅黑"/>
      <w:color w:val="2A2A2A"/>
      <w:sz w:val="21"/>
      <w:szCs w:val="21"/>
      <w:u w:val="none"/>
    </w:rPr>
  </w:style>
  <w:style w:type="character" w:styleId="25">
    <w:name w:val="HTML Code"/>
    <w:basedOn w:val="19"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26">
    <w:name w:val="annotation reference"/>
    <w:basedOn w:val="19"/>
    <w:qFormat/>
    <w:uiPriority w:val="0"/>
    <w:rPr>
      <w:sz w:val="21"/>
      <w:szCs w:val="21"/>
    </w:rPr>
  </w:style>
  <w:style w:type="character" w:styleId="27">
    <w:name w:val="HTML Keyboard"/>
    <w:basedOn w:val="19"/>
    <w:semiHidden/>
    <w:unhideWhenUsed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8">
    <w:name w:val="HTML Sample"/>
    <w:basedOn w:val="19"/>
    <w:uiPriority w:val="0"/>
    <w:rPr>
      <w:rFonts w:ascii="Consolas" w:hAnsi="Consolas" w:eastAsia="Consolas" w:cs="Consolas"/>
      <w:sz w:val="21"/>
      <w:szCs w:val="21"/>
    </w:rPr>
  </w:style>
  <w:style w:type="character" w:customStyle="1" w:styleId="30">
    <w:name w:val="批注框文本 字符"/>
    <w:basedOn w:val="19"/>
    <w:link w:val="1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1">
    <w:name w:val="日期 字符"/>
    <w:basedOn w:val="19"/>
    <w:link w:val="1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32">
    <w:name w:val="List Paragraph"/>
    <w:basedOn w:val="1"/>
    <w:qFormat/>
    <w:uiPriority w:val="99"/>
    <w:pPr>
      <w:ind w:firstLine="420" w:firstLineChars="200"/>
    </w:pPr>
  </w:style>
  <w:style w:type="character" w:customStyle="1" w:styleId="33">
    <w:name w:val="批注文字 字符"/>
    <w:basedOn w:val="19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4">
    <w:name w:val="批注主题 字符"/>
    <w:basedOn w:val="33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3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7330</Words>
  <Characters>7356</Characters>
  <Lines>17</Lines>
  <Paragraphs>5</Paragraphs>
  <TotalTime>2</TotalTime>
  <ScaleCrop>false</ScaleCrop>
  <LinksUpToDate>false</LinksUpToDate>
  <CharactersWithSpaces>7390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常锋</cp:lastModifiedBy>
  <cp:lastPrinted>2021-10-26T03:30:00Z</cp:lastPrinted>
  <dcterms:modified xsi:type="dcterms:W3CDTF">2022-08-25T06:34:52Z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48C61CB29D3F4D9384F5922CF0F7FFB4</vt:lpwstr>
  </property>
</Properties>
</file>