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陕西省生态环境厅</w:t>
      </w:r>
    </w:p>
    <w:p>
      <w:pPr>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关于发布部分行业环境保护税应税污染物排放量抽样测算特征值系数的通告</w:t>
      </w:r>
    </w:p>
    <w:p>
      <w:pPr>
        <w:jc w:val="center"/>
        <w:rPr>
          <w:rFonts w:hint="eastAsia" w:ascii="仿宋_GB2312" w:eastAsia="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2018年 第1号</w:t>
      </w: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落实《中华人民共和国环境保护税法》《关于全面做好环境保护税法实施准备工作的通知》（财税〔2017〕62号）、《关于发布计算污染物排放量的排污系数和物料衡算方法的公告》（环境保护部第81号公告）有关规定，结合我省实际，经研究决定，针对《中华人民共和国环境保护税法》施行后无法进行实际监测的小型第三产业和施工扬尘等部分行业相关污染物排放量的核算，我省拟继续执行《关于排污申报与排污费征收有关问题的通知》(环办〔2014〕80号)中有关小型第三产业和施工扬尘等部分行业排污特征值系数，现予公布。本通告自发布之日起实施，有效期5年。</w:t>
      </w: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特此通告。</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附件：1.部分小型第三产业排污特征值系数</w:t>
      </w:r>
    </w:p>
    <w:p>
      <w:pPr>
        <w:pStyle w:val="2"/>
        <w:numPr>
          <w:ilvl w:val="0"/>
          <w:numId w:val="1"/>
        </w:numPr>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施工扬尘排污特征值系数</w:t>
      </w:r>
    </w:p>
    <w:p>
      <w:pPr>
        <w:pStyle w:val="2"/>
        <w:numPr>
          <w:numId w:val="0"/>
        </w:numPr>
        <w:ind w:leftChars="200"/>
        <w:rPr>
          <w:rFonts w:hint="eastAsia" w:ascii="仿宋_GB2312" w:eastAsia="仿宋_GB2312"/>
          <w:color w:val="333333"/>
          <w:sz w:val="32"/>
          <w:szCs w:val="32"/>
          <w:shd w:val="clear" w:color="auto" w:fill="FFFFFF"/>
        </w:rPr>
      </w:pPr>
    </w:p>
    <w:p>
      <w:pPr>
        <w:pStyle w:val="2"/>
        <w:ind w:left="0" w:leftChars="0" w:firstLine="5760" w:firstLineChars="18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陕西省环境保护厅</w:t>
      </w:r>
    </w:p>
    <w:p>
      <w:pPr>
        <w:pStyle w:val="2"/>
        <w:ind w:left="0" w:leftChars="0" w:firstLine="5760" w:firstLineChars="18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2018年5月2日</w:t>
      </w:r>
    </w:p>
    <w:p>
      <w:pPr>
        <w:pStyle w:val="2"/>
        <w:ind w:left="0" w:leftChars="0" w:firstLine="640" w:firstLineChars="200"/>
        <w:rPr>
          <w:rFonts w:hint="eastAsia" w:ascii="仿宋_GB2312" w:eastAsia="仿宋_GB2312"/>
          <w:color w:val="333333"/>
          <w:sz w:val="32"/>
          <w:szCs w:val="32"/>
          <w:shd w:val="clear" w:color="auto" w:fill="FFFFFF"/>
        </w:rPr>
      </w:pPr>
    </w:p>
    <w:p>
      <w:pPr>
        <w:pStyle w:val="2"/>
        <w:ind w:left="0" w:leftChars="0"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( 14-24〔2018〕1 )</w:t>
      </w:r>
    </w:p>
    <w:p>
      <w:pPr>
        <w:pStyle w:val="2"/>
        <w:ind w:left="0" w:leftChars="0" w:firstLine="0" w:firstLineChars="0"/>
        <w:rPr>
          <w:rFonts w:hint="eastAsia" w:ascii="仿宋_GB2312" w:eastAsia="仿宋_GB2312"/>
          <w:color w:val="333333"/>
          <w:sz w:val="32"/>
          <w:szCs w:val="32"/>
          <w:shd w:val="clear" w:color="auto" w:fill="FFFFFF"/>
        </w:rPr>
      </w:pPr>
    </w:p>
    <w:p>
      <w:pPr>
        <w:pStyle w:val="8"/>
        <w:keepNext w:val="0"/>
        <w:keepLines w:val="0"/>
        <w:widowControl/>
        <w:suppressLineNumbers w:val="0"/>
        <w:spacing w:line="315" w:lineRule="atLeast"/>
        <w:ind w:left="0" w:firstLine="420"/>
        <w:rPr>
          <w:rFonts w:hint="eastAsia" w:ascii="黑体" w:hAnsi="黑体" w:eastAsia="黑体" w:cs="黑体"/>
          <w:sz w:val="32"/>
          <w:szCs w:val="32"/>
        </w:rPr>
      </w:pPr>
      <w:r>
        <w:rPr>
          <w:rFonts w:hint="eastAsia" w:ascii="黑体" w:hAnsi="黑体" w:eastAsia="黑体" w:cs="黑体"/>
          <w:sz w:val="32"/>
          <w:szCs w:val="32"/>
        </w:rPr>
        <w:t>附件1</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部分小型第三产业排污特征值系数</w:t>
      </w:r>
    </w:p>
    <w:tbl>
      <w:tblPr>
        <w:tblW w:w="8991" w:type="dxa"/>
        <w:jc w:val="center"/>
        <w:tblInd w:w="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941"/>
        <w:gridCol w:w="1463"/>
        <w:gridCol w:w="1435"/>
        <w:gridCol w:w="1718"/>
        <w:gridCol w:w="1135"/>
        <w:gridCol w:w="22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行业类型</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特征指标（单位）</w:t>
            </w:r>
          </w:p>
        </w:tc>
        <w:tc>
          <w:tcPr>
            <w:tcW w:w="3434"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排污特征值系数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餐饮业</w:t>
            </w:r>
          </w:p>
        </w:tc>
        <w:tc>
          <w:tcPr>
            <w:tcW w:w="143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营业面积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（平方米）</w:t>
            </w:r>
          </w:p>
        </w:tc>
        <w:tc>
          <w:tcPr>
            <w:tcW w:w="1718"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100以下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（含100）</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70/月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废气</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33/月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100-300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（含300）</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150/月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废气</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66/月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300-500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（含500）</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430/月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废气</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100/月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500-1500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（含1500）</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720/月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718"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废气</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250/月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住宿业</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床位（床）</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3/月·床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洗染服务业（衣物类）</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干洗机（台）</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65/月·台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水洗机（台）</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37/月·台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2404" w:type="dxa"/>
            <w:gridSpan w:val="2"/>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美容美发保健业</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床位（张）</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22/月·张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座位（个）</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6/月·个</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洗浴业（洗脚、洗澡）</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床位（张）</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15/月·张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座位（个）</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20/月·个</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衣柜（个）</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4/月·个</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汽车、摩托车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维修与保养业</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提升机（台）</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85/月·台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地沟（条）</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43/月·条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水枪（支）</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36/月·支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摄影扩印服务业</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彩扩机（台）</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污水</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70/月·台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2404"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独立燃烧锅炉</w:t>
            </w:r>
          </w:p>
        </w:tc>
        <w:tc>
          <w:tcPr>
            <w:tcW w:w="3153"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锅炉（蒸吨）</w:t>
            </w: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废气</w:t>
            </w: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166/月（≤2蒸吨）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941"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注</w:t>
            </w:r>
          </w:p>
        </w:tc>
        <w:tc>
          <w:tcPr>
            <w:tcW w:w="8050" w:type="dxa"/>
            <w:gridSpan w:val="5"/>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1．在餐饮行业中，废气排污特征值系数针对燃煤燃烧废气，不含油烟类污染物和使用独立燃烧锅炉产生的废气。</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2．餐饮业的营业面积可参照《消防意见审核书》的面积计算；其余行业按实际情况计算。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3．环境保护税计算方法：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（1）污水环境保护税（元/月）=污水排污特征值系数×污水每一污染当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量征收标准（元）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（2）废气环境保护税（元/月）=废气排污特征值系数×废气每一污染当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量征收标准（元）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4．本表涉及的特征值系数均为环办〔2014〕80号文附件7中环境保护部按照抽样测算方法测定的结果。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941"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rPr>
                <w:rFonts w:hint="eastAsia" w:ascii="仿宋_GB2312" w:hAnsi="仿宋_GB2312" w:eastAsia="仿宋_GB2312" w:cs="仿宋_GB2312"/>
              </w:rPr>
            </w:pPr>
          </w:p>
        </w:tc>
        <w:tc>
          <w:tcPr>
            <w:tcW w:w="1463"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rPr>
                <w:rFonts w:hint="eastAsia" w:ascii="仿宋_GB2312" w:hAnsi="仿宋_GB2312" w:eastAsia="仿宋_GB2312" w:cs="仿宋_GB2312"/>
              </w:rPr>
            </w:pPr>
          </w:p>
        </w:tc>
        <w:tc>
          <w:tcPr>
            <w:tcW w:w="14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rPr>
                <w:rFonts w:hint="eastAsia" w:ascii="仿宋_GB2312" w:hAnsi="仿宋_GB2312" w:eastAsia="仿宋_GB2312" w:cs="仿宋_GB2312"/>
              </w:rPr>
            </w:pPr>
          </w:p>
        </w:tc>
        <w:tc>
          <w:tcPr>
            <w:tcW w:w="1718"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rPr>
                <w:rFonts w:hint="eastAsia" w:ascii="仿宋_GB2312" w:hAnsi="仿宋_GB2312" w:eastAsia="仿宋_GB2312" w:cs="仿宋_GB2312"/>
              </w:rPr>
            </w:pPr>
          </w:p>
        </w:tc>
        <w:tc>
          <w:tcPr>
            <w:tcW w:w="11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rPr>
                <w:rFonts w:hint="eastAsia" w:ascii="仿宋_GB2312" w:hAnsi="仿宋_GB2312" w:eastAsia="仿宋_GB2312" w:cs="仿宋_GB2312"/>
              </w:rPr>
            </w:pPr>
          </w:p>
        </w:tc>
        <w:tc>
          <w:tcPr>
            <w:tcW w:w="2299"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keepNext w:val="0"/>
              <w:keepLines w:val="0"/>
              <w:widowControl/>
              <w:suppressLineNumbers w:val="0"/>
              <w:wordWrap w:val="0"/>
              <w:jc w:val="left"/>
              <w:rPr>
                <w:rFonts w:hint="eastAsia" w:ascii="仿宋_GB2312" w:hAnsi="仿宋_GB2312" w:eastAsia="仿宋_GB2312" w:cs="仿宋_GB2312"/>
              </w:rPr>
            </w:pPr>
          </w:p>
        </w:tc>
      </w:tr>
    </w:tbl>
    <w:p>
      <w:pPr>
        <w:pStyle w:val="8"/>
        <w:keepNext w:val="0"/>
        <w:keepLines w:val="0"/>
        <w:widowControl/>
        <w:suppressLineNumbers w:val="0"/>
        <w:spacing w:line="315" w:lineRule="atLeast"/>
        <w:ind w:left="0" w:firstLine="420"/>
      </w:pPr>
    </w:p>
    <w:p>
      <w:pPr>
        <w:pStyle w:val="8"/>
        <w:keepNext w:val="0"/>
        <w:keepLines w:val="0"/>
        <w:widowControl/>
        <w:suppressLineNumbers w:val="0"/>
        <w:spacing w:line="315" w:lineRule="atLeast"/>
        <w:ind w:left="0" w:firstLine="420"/>
        <w:rPr>
          <w:rFonts w:hint="eastAsia" w:ascii="黑体" w:hAnsi="黑体" w:eastAsia="黑体" w:cs="黑体"/>
          <w:sz w:val="32"/>
          <w:szCs w:val="32"/>
        </w:rPr>
      </w:pPr>
    </w:p>
    <w:p>
      <w:pPr>
        <w:pStyle w:val="8"/>
        <w:keepNext w:val="0"/>
        <w:keepLines w:val="0"/>
        <w:widowControl/>
        <w:suppressLineNumbers w:val="0"/>
        <w:spacing w:line="315" w:lineRule="atLeast"/>
        <w:ind w:left="0" w:firstLine="420"/>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pStyle w:val="8"/>
        <w:keepNext w:val="0"/>
        <w:keepLines w:val="0"/>
        <w:widowControl/>
        <w:suppressLineNumbers w:val="0"/>
        <w:spacing w:line="315" w:lineRule="atLeast"/>
        <w:ind w:left="0" w:firstLine="420"/>
        <w:jc w:val="center"/>
        <w:rPr>
          <w:rFonts w:hint="eastAsia" w:ascii="黑体" w:hAnsi="黑体" w:eastAsia="黑体" w:cs="黑体"/>
          <w:sz w:val="32"/>
          <w:szCs w:val="32"/>
        </w:rPr>
      </w:pPr>
      <w:r>
        <w:rPr>
          <w:rFonts w:hint="eastAsia" w:ascii="黑体" w:hAnsi="黑体" w:eastAsia="黑体" w:cs="黑体"/>
          <w:sz w:val="32"/>
          <w:szCs w:val="32"/>
        </w:rPr>
        <w:t>施工扬尘排污特征值系数</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一、施工扬尘定义</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施工扬尘是指本地区所有进行建筑工程、市政工程、拆迁工程和道桥施工工程等施工活动过程中产生的对大气造成污染的总悬浮颗粒物、可吸入颗粒物和细颗粒物等粉尘的总称。</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二、制定依据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施工扬尘产生量是按照物料衡算方法，根据建筑（或施工、拆迁）面积、施工期，综合分析全国各地已出台的扬尘排放系数而制定的平均产生量。</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三、施工扬尘排放量计算方法</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扬尘排放量=（扬尘产生量系数-扬尘排放量削减系数）（千克/平方米·月）×月建筑面积或施工面积（平方米）</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对于建筑工地按建筑面积计算；市政工地按施工面积计算，施工面积为建设道路红线宽度乘以施工长度，其他为三倍开挖宽度乘以施工长度，市政工地分段施工时按实际施工面积计算。</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施工工地必须采取道路硬化措施、边界围挡、裸露地面（含土方）覆盖、易扬尘物料覆盖、持续洒水降尘、运输车辆冲洗装置等措施，并按控制措施达标与否，扣除削减量。</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四、施工扬尘产生、削减系数表</w:t>
      </w:r>
    </w:p>
    <w:tbl>
      <w:tblPr>
        <w:tblW w:w="8790" w:type="dxa"/>
        <w:jc w:val="center"/>
        <w:tblInd w:w="10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1785"/>
        <w:gridCol w:w="1470"/>
        <w:gridCol w:w="2610"/>
        <w:gridCol w:w="1500"/>
        <w:gridCol w:w="14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3255"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工地类型</w:t>
            </w:r>
          </w:p>
        </w:tc>
        <w:tc>
          <w:tcPr>
            <w:tcW w:w="5535"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扬尘产生量系数（千克/平方米·月）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3255"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建筑施工</w:t>
            </w:r>
          </w:p>
        </w:tc>
        <w:tc>
          <w:tcPr>
            <w:tcW w:w="5535"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3255"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市政（拆迁）施工</w:t>
            </w:r>
          </w:p>
        </w:tc>
        <w:tc>
          <w:tcPr>
            <w:tcW w:w="5535" w:type="dxa"/>
            <w:gridSpan w:val="3"/>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1.64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工地类型</w:t>
            </w:r>
          </w:p>
        </w:tc>
        <w:tc>
          <w:tcPr>
            <w:tcW w:w="147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扬尘类型</w:t>
            </w:r>
          </w:p>
        </w:tc>
        <w:tc>
          <w:tcPr>
            <w:tcW w:w="261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扬尘污染控制措施</w:t>
            </w:r>
          </w:p>
        </w:tc>
        <w:tc>
          <w:tcPr>
            <w:tcW w:w="2925"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扬尘排放量削减系数</w:t>
            </w:r>
            <w:r>
              <w:rPr>
                <w:rFonts w:hint="eastAsia" w:ascii="仿宋_GB2312" w:hAnsi="仿宋_GB2312" w:eastAsia="仿宋_GB2312" w:cs="仿宋_GB2312"/>
                <w:bdr w:val="none" w:color="auto" w:sz="0" w:space="0"/>
              </w:rPr>
              <w:br w:type="textWrapping"/>
            </w:r>
            <w:r>
              <w:rPr>
                <w:rFonts w:hint="eastAsia" w:ascii="仿宋_GB2312" w:hAnsi="仿宋_GB2312" w:eastAsia="仿宋_GB2312" w:cs="仿宋_GB2312"/>
                <w:bdr w:val="none" w:color="auto" w:sz="0" w:space="0"/>
              </w:rPr>
              <w:t>（千克/平方米·月）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925"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措施达标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是</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建筑工地</w:t>
            </w:r>
          </w:p>
        </w:tc>
        <w:tc>
          <w:tcPr>
            <w:tcW w:w="147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一次扬尘</w:t>
            </w: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道路硬化措施</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0.071</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边界围挡</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0.047</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裸露地面覆盖</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0.047</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易扬尘物料覆盖</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0.025</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定期喷洒抑制剂</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0.03</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二次扬尘</w:t>
            </w: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运输车辆机械冲洗装置</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0.31</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运输车辆简易冲洗装置</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0.155</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市政（拆迁）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工地</w:t>
            </w:r>
          </w:p>
        </w:tc>
        <w:tc>
          <w:tcPr>
            <w:tcW w:w="147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一次扬尘</w:t>
            </w: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道路硬化措施</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0.102</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边界围挡</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0.102</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易扬尘物料覆盖</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0.066</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定期喷洒抑制剂</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0.03</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二次扬尘</w:t>
            </w: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运输车辆机械冲洗装置</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0.68</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PrEx>
        <w:trPr>
          <w:jc w:val="center"/>
        </w:trPr>
        <w:tc>
          <w:tcPr>
            <w:tcW w:w="178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仿宋_GB2312" w:hAnsi="仿宋_GB2312" w:eastAsia="仿宋_GB2312" w:cs="仿宋_GB2312"/>
                <w:sz w:val="24"/>
                <w:szCs w:val="24"/>
              </w:rPr>
            </w:pPr>
          </w:p>
        </w:tc>
        <w:tc>
          <w:tcPr>
            <w:tcW w:w="261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运输车辆简易冲洗装置</w:t>
            </w:r>
          </w:p>
        </w:tc>
        <w:tc>
          <w:tcPr>
            <w:tcW w:w="15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0.034</w:t>
            </w:r>
          </w:p>
        </w:tc>
        <w:tc>
          <w:tcPr>
            <w:tcW w:w="142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_GB2312" w:hAnsi="仿宋_GB2312" w:eastAsia="仿宋_GB2312" w:cs="仿宋_GB2312"/>
              </w:rPr>
            </w:pPr>
            <w:r>
              <w:rPr>
                <w:rFonts w:hint="eastAsia" w:ascii="仿宋_GB2312" w:hAnsi="仿宋_GB2312" w:eastAsia="仿宋_GB2312" w:cs="仿宋_GB2312"/>
                <w:bdr w:val="none" w:color="auto" w:sz="0" w:space="0"/>
              </w:rPr>
              <w:t>0</w:t>
            </w:r>
          </w:p>
        </w:tc>
      </w:tr>
    </w:tbl>
    <w:p>
      <w:pPr>
        <w:pStyle w:val="8"/>
        <w:keepNext w:val="0"/>
        <w:keepLines w:val="0"/>
        <w:widowControl/>
        <w:suppressLineNumbers w:val="0"/>
        <w:spacing w:line="315" w:lineRule="atLeast"/>
        <w:ind w:left="0" w:firstLine="420"/>
      </w:pPr>
      <w:r>
        <w:rPr>
          <w:rFonts w:hint="eastAsia" w:ascii="仿宋_GB2312" w:hAnsi="仿宋_GB2312" w:eastAsia="仿宋_GB2312" w:cs="仿宋_GB2312"/>
        </w:rPr>
        <w:t>备注：本表涉及的扬尘产生量系数、扬尘排放量削减系数均为环办〔2014〕80号文附件6中环境保护部按照抽样测算方法测定的结果。</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五、施工扬尘控制措施及达标要求</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建筑工程和市政工程扬尘控制措施达标标准如下，每项控制措施的任意一项基本要求不达标，则该项控制措施视为不达标。</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（一）道路硬化措施。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1.施工现场主要道路、加工区、生活办公区应做硬化处理，用作车辆通行的道路应铺设混凝土，满足车辆安全行驶要求，且无破损现象；</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2.任何时候车行道路上都不能有明显的尘土；</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3.道路清扫时都必须采取洒水措施。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（二）边界围挡。</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1.围挡高度不低于1.8米，围挡下方设置不低于20厘米高的防溢座以防止粉尘流失（市政工程除外）；</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2.围挡必须是由金属、混凝土、塑料等硬质材料制作，拆迁工程在建筑拆除期间，应在建筑结构外侧设置防尘布；</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3.任意两块围挡以及围挡与防溢座的拼接处都不能有大于0.5厘米的缝隙，围挡不得有明显破损的漏洞。</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（三）裸露地（含土方）覆盖。</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1.每一块独立裸露地面80%以上的面积都应采取覆盖措施；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2.覆盖措施的完好率必须在90%以上；</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3.覆盖措施包括：钢板、防尘网（布）、绿化、化学抑尘剂，或达到同等效率的覆盖措施。</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（四）易扬尘物料覆盖。</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1.所有砂石、灰土、灰浆等易扬尘物料都必须以不透水的隔尘布完全覆盖或放置在顶部和四周均有遮蔽的场所内；</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2.防尘布或遮蔽装置的完好率必须大于95%；</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3.小批量且在8小时之内投入使用的物料除外。</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（五）定期喷洒抑制剂。</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施工现场应当有专人负责保洁工作，配备洒水设备，定期洒水清扫。</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（六）运输车辆冲洗装置。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1.明确专人负责冲洗保洁，确保车辆不带泥出场，运输车辆驶出工地前，应对车轮、车身、车槽等部位进行清理或清洗以保证车辆清洁上路；</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2.每个大门内侧均应设置车辆冲洗台，四周应设置防溢座、排水沟，上盖钢篦，设置两级沉淀池，排水沟与沉淀池相连，沉淀池大小应满足冲洗要求；</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3.废水经二次沉淀后循环使用或用于洒水降尘，对沉淀池应定期清理污泥并规范处置；</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4.污水处理产生的污泥，应设有专门的处置系统；</w:t>
      </w:r>
    </w:p>
    <w:p>
      <w:pPr>
        <w:pStyle w:val="8"/>
        <w:keepNext w:val="0"/>
        <w:keepLines w:val="0"/>
        <w:widowControl/>
        <w:suppressLineNumbers w:val="0"/>
        <w:spacing w:line="315"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5.经过处理无法达到相关排放标准的洗车污水不得直接排入环境或市政下水系统。</w:t>
      </w:r>
    </w:p>
    <w:p>
      <w:pPr>
        <w:pStyle w:val="8"/>
        <w:keepNext w:val="0"/>
        <w:keepLines w:val="0"/>
        <w:widowControl/>
        <w:suppressLineNumbers w:val="0"/>
        <w:spacing w:line="315" w:lineRule="atLeast"/>
        <w:rPr>
          <w:rFonts w:hint="eastAsia" w:ascii="仿宋_GB2312" w:hAnsi="仿宋_GB2312" w:eastAsia="仿宋_GB2312" w:cs="仿宋_GB2312"/>
          <w:sz w:val="32"/>
          <w:szCs w:val="32"/>
        </w:rPr>
      </w:pPr>
    </w:p>
    <w:p>
      <w:pPr>
        <w:pStyle w:val="2"/>
        <w:ind w:left="0" w:leftChars="0" w:firstLine="0" w:firstLineChars="0"/>
        <w:rPr>
          <w:rFonts w:hint="eastAsia" w:ascii="仿宋_GB2312" w:eastAsia="仿宋_GB2312"/>
          <w:color w:val="333333"/>
          <w:sz w:val="32"/>
          <w:szCs w:val="32"/>
          <w:shd w:val="clear" w:color="auto" w:fill="FFFFFF"/>
        </w:rPr>
      </w:pPr>
    </w:p>
    <w:p>
      <w:pPr>
        <w:pStyle w:val="2"/>
        <w:ind w:left="0" w:leftChars="0" w:firstLine="0" w:firstLineChars="0"/>
        <w:rPr>
          <w:rFonts w:hint="eastAsia" w:ascii="仿宋_GB2312" w:eastAsia="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陕西</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生态环境厅</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r>
      <w:rPr>
        <w:rFonts w:hint="eastAsia" w:ascii="宋体" w:hAnsi="宋体" w:cs="宋体"/>
        <w:b/>
        <w:bCs/>
        <w:color w:val="005192"/>
        <w:sz w:val="32"/>
        <w:lang w:val="en-US" w:eastAsia="zh-CN"/>
      </w:rPr>
      <w:t>陕西省</w:t>
    </w:r>
    <w:r>
      <w:rPr>
        <w:rFonts w:hint="eastAsia" w:ascii="宋体" w:hAnsi="宋体" w:cs="宋体"/>
        <w:b/>
        <w:bCs/>
        <w:color w:val="005192"/>
        <w:sz w:val="32"/>
        <w:szCs w:val="32"/>
        <w:lang w:val="en-US" w:eastAsia="zh-CN"/>
      </w:rPr>
      <w:t>生态环境厅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0010C"/>
    <w:multiLevelType w:val="singleLevel"/>
    <w:tmpl w:val="5840010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416BA0"/>
    <w:rsid w:val="09341458"/>
    <w:rsid w:val="0B0912D7"/>
    <w:rsid w:val="152D2DCA"/>
    <w:rsid w:val="15A3008C"/>
    <w:rsid w:val="1DCA0FC6"/>
    <w:rsid w:val="1DEC284C"/>
    <w:rsid w:val="1E6523AC"/>
    <w:rsid w:val="1E672AA3"/>
    <w:rsid w:val="22440422"/>
    <w:rsid w:val="2EAD1406"/>
    <w:rsid w:val="31A15F24"/>
    <w:rsid w:val="395347B5"/>
    <w:rsid w:val="39A232A0"/>
    <w:rsid w:val="39B825F3"/>
    <w:rsid w:val="39E745AA"/>
    <w:rsid w:val="3A3D41B7"/>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3">
    <w:name w:val="列表段落1"/>
    <w:basedOn w:val="1"/>
    <w:uiPriority w:val="99"/>
    <w:pPr>
      <w:ind w:firstLine="420" w:firstLineChars="200"/>
    </w:pPr>
  </w:style>
  <w:style w:type="character" w:customStyle="1" w:styleId="14">
    <w:name w:val="标题 1 字符"/>
    <w:basedOn w:val="9"/>
    <w:link w:val="3"/>
    <w:qFormat/>
    <w:uiPriority w:val="0"/>
    <w:rPr>
      <w:rFonts w:ascii="宋体" w:hAnsi="宋体"/>
      <w:b/>
      <w:bCs/>
      <w:kern w:val="44"/>
      <w:sz w:val="48"/>
      <w:szCs w:val="48"/>
    </w:rPr>
  </w:style>
  <w:style w:type="character" w:customStyle="1" w:styleId="15">
    <w:name w:val="日期 字符"/>
    <w:basedOn w:val="9"/>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2494</Words>
  <Characters>2517</Characters>
  <Lines>46</Lines>
  <Paragraphs>13</Paragraphs>
  <TotalTime>22</TotalTime>
  <ScaleCrop>false</ScaleCrop>
  <LinksUpToDate>false</LinksUpToDate>
  <CharactersWithSpaces>2586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zhuoyue367</cp:lastModifiedBy>
  <cp:lastPrinted>2021-12-28T07:02:00Z</cp:lastPrinted>
  <dcterms:modified xsi:type="dcterms:W3CDTF">2022-08-24T11:50:38Z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