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陕西省财政厅等四部门关于印发</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《陕西省水利建设基金筹集和</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使用管理实施细则》的通知</w:t>
      </w:r>
    </w:p>
    <w:p>
      <w:pP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陕财办综〔2021〕9号</w:t>
      </w:r>
    </w:p>
    <w:p>
      <w:pPr>
        <w:rPr>
          <w:rFonts w:hint="eastAsia" w:ascii="楷体_GB2312" w:hAnsi="楷体_GB2312" w:eastAsia="楷体_GB2312" w:cs="楷体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各设区市、杨凌示范区、西咸新区、韩城市财政局、水利局、税务局，中国人民银行西安分行营业管理部、陕西省辖内各中心支行、杨凌支行:</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根据财政部《关于民航发展基金等3项政府性基金有关政策的通知》(财税〔2020〕72号)，经省政府同意，我们对《陕西省水利建设基金筹集和使用管理实施细则》（陕财办综〔2015〕154号）重新进行了修订。现将修订后的《陕西省水利建设基金筹集和使用管理实施细则》印发你们，请遵照执行。执行中遇有问题，请及时反馈。</w:t>
      </w: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xml:space="preserve">陕西省财政厅            国家税务总局陕西省税务局 </w:t>
      </w: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陕西省水利厅              中国人民银行西安分行</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wordWrap/>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xml:space="preserve">  2021年5月21日</w:t>
      </w:r>
    </w:p>
    <w:p>
      <w:pPr>
        <w:jc w:val="center"/>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陕西省水利建设基金筹集和使用管理实施细则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xml:space="preserve"> 为加快水利建设步伐，提高防洪减灾和水资源配置能力，缓解水资源供需矛盾，促进经济社会可持续发展，根据财政部《关于民航发展基金等3项政府性基金有关政策的通知》(财税〔2020〕72号)，经省政府同意，制定本实施细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本实施细则适用于本省行政区域内水利建设基金的筹集、使用和管理。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水利建设基金属于财政部立项的政府性基金，根据财政部授权，由省人民政府根据实际自主决定免征、停征或减征。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县级以上人民政府应当加强对水利建设基金筹集、使用和管理工作的领导，搞好宣传，增强全社会的水利水患意识，做好水利建设基金的征管工作。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水利建设基金分为省级收入、省级与市县共享收入和市、县级收入。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征收标准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（一）除村集体所属的单位及个人外，企业事业单位及个人使用水浇地、水田、旱地进行非农建设的，每亩分别一次性征收800元―1000元、500元―700元、300元―500元，使用其他土地每亩一次性征收200元。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银行(含信用社)按利息收入(不含其他收入)的0.5‰，保险公司按保费收入(不含其他收入)的0.5‰，依法设立的非银行金融机构按主营业务收入(不含其他收入)的1‰，其它企业事业单位和个体经营者按销售商品收入和提供劳务收入(指按《企业会计准则》规定计入的经济利益总流入，包括主营业务收入和其他业务收入，但不包括为第三方或者客户代收的款项)的0.8‰缴纳水利建设基金。水利建设基金起征点与增值税起征点相同。水利建设基金可计入成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省级收入来源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（一）从国家对本省成品油价格和税费改革转移支付资金中按每年2200万元的标准划转；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（二）从车辆通行费收入中划转3%。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省级与市县共享收入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水利建设基金收入由各级征收部门就地征收、分级入库。省与各市(区)(包括省管县)共享收入的分成比例为：省与西安市、咸阳市、西咸新区为3︰7；省与铜川市、宝鸡市、杨凌示范区为7︰3；省与渭南市、汉中市、安康市、商洛市、延安市、榆林市为5︰5；韩城市全部作为市本级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市、县级收入来源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（一）从市县政府收取的城市基础设施配套费中提取3%。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（二）有重点防洪任务或者水资源严重短缺的县(市、区)，可根据自身实际从城市维护建设税中提取15%，专项用于城市防洪和水源工程建设（具体县(市、区)见附件）。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水利建设基金纳入一般公共预算管理，按照规定级次分别纳入各级一般公共预算收入，缴入各级国库，列入“1030223水利建设专项收入”科目。安排支出时，在“21303水利”中选择相应支出科目列支。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“1030223水利建设专项收入”科目下设目级科目。其中：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“103022301企业水利建设专项收入”反映各级税务部门按照本实施细则第五条第(二)项规定从企事业单位征收的水利建设基金；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“103022302征占用土地水利建设专项收入”反映按照本实施细则第五条第(一)项规定对征占用土地征收的水利建设基金；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“103022303划转水利建设专项收入”反映从车辆通行费、城市基础设施配套费和城市维护建设税中划转的水利建设基金。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下列情形减免征收水利建设基金：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（一）经法律、行政法规和中共中央、国务院或者财政部和省人民政府批准减免的专项基金(资金)、收费；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（二）民政部门管理的社会福利企业事业单位和残联管理的企业事业单位的收入免征；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（三）农田灌溉水费收入免征；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（四）按照国家政策规定减免流转税的，水利建设基金同时减免；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（五）其他经省人民政府批准减免的项目。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为进一步优化营商环境，促进社会经济健康发展，减轻企业负担，同时兼顾我省水利建设发展需要，执行以下优惠政策：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继续执行阶段性下调水利建设基金征收标准的优惠政策，在陕西省境内有销售商品收入和提供劳务收入的企事业单位和个体经营者，减按销售商品收入和提供劳务收入的0.5‰征收，其中在中国（陕西）自由贸易试验区和西安国家自主创新示范区范围内，有销售商品收入和提供劳务收入的企业事业单位和个体经营者，减按销售商品收入和提供劳务收入的0.3‰征收水利建设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银行(含信用社)、保险公司以及非银行金融机构等不在降费范围内。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（二）继续阶段性对旅游、住宿、餐饮、会展、商贸流通、交通运输、教育培训、文艺演出、影视剧院等行业企业免征水利建设基金。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（三）为支持科技创新，阶段性对科学研究和技术服务行业免征水利建设基金。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（四）执行阶段性对交通行业的专项优惠政策，从车辆通行费收入中划转的水利建设基金，标准下调为1.5%。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上述阶段性优惠政策如需调整，由省级财政部门会同有关部门报省人民政府批准后，另行发文通知。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2020年12月31日前对特定行业、企业的政策界定或解读，与本文不一致的，一律废止。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特殊情况需对政策进行界定的，企业应持相关资料，向省财政厅、省水利厅、国家税务总局陕西省税务局和中国人民银行西安分行提出书面申请，由省财政厅牵头组织研究后按规定办理。涉及行业政策界定的，应报省政府审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面向企业和个体经营者筹集的水利建设基金，由各级税务部门征收；从财政收入中按比例划转和计提的，由各级财政部门按规定办理。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税务部门征收水利建设基金应当使用由省级财政部门统一（监）印制的财政票据。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划转和计提水利建设基金，应当由财政部门开具调库单，国库部门根据调库单将资金划入一般公共预算“水利建设专项收入”科目。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各级国库或者代理国库办理水利建设基金的缴纳、报解和入库，各有关部门应当积极配合，共同做好水利建设基金筹集管理工作。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从成品油价格和税费改革转移支付资金中划转的水利建设基金，直接在一般公共预算“21303水利”选择相应支出科目列支。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从城市维护建设税中划转的水利建设基金，在本级一般公共预算中直接调减相应收入科目，同时调增“103022303划转水利建设专项收入”科目。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从车辆通行费、城市基础设施配套费中划转的水利建设基金，在政府性基金预算中调减相应收入科目，同时在一般公共预算中调增“103022303划转水利建设专项收入”科目。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水利建设基金主要用于重大水利项目、水利防灾减灾、农村水利、水源及城乡供水设施建设、水资源管理及水利科技发展、水生态修复治理、公益性水利设施维修养护以及根据省委省政府决策部署，其他需要支持的水利相关事项，资金使用管理按照水利发展资金使用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各级财政、审计部门应当加强对水利建设基金筹集、使用情况的监督检查。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xml:space="preserve"> 违反本实施细则规定，擅自提高水利建设基金征收标准，扩大征收范围，或者截留、挤占、挪用水利建设基金的，以及在水利建设基金筹集、使用和管理中，弄虚作假、玩忽职守、滥用职权的，由有关部门责令改正，并按照《中华人民共和国预算法》《财政违法行为处罚处分条例》以及有关法律、法规的规定追究相应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bookmarkStart w:id="0" w:name="_GoBack"/>
      <w:bookmarkEnd w:id="0"/>
      <w:r>
        <w:rPr>
          <w:rFonts w:hint="eastAsia" w:ascii="仿宋_GB2312" w:hAnsi="仿宋_GB2312" w:eastAsia="仿宋_GB2312" w:cs="仿宋_GB2312"/>
          <w:color w:val="333333"/>
          <w:sz w:val="32"/>
          <w:szCs w:val="32"/>
          <w:shd w:val="clear" w:color="auto" w:fill="FFFFFF"/>
        </w:rPr>
        <w:t xml:space="preserve"> 本实施细则自2021年1月1日起执行，有效期至2025年12月31日。</w:t>
      </w: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附：有重点防洪任务或者水资源严重短缺的县（市、区）</w:t>
      </w: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有重点防洪任务或者</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水资源严重短缺的县（市、区）</w:t>
      </w:r>
    </w:p>
    <w:tbl>
      <w:tblPr>
        <w:tblStyle w:val="13"/>
        <w:tblW w:w="97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620" w:type="dxa"/>
            <w:vAlign w:val="top"/>
          </w:tcPr>
          <w:p>
            <w:pPr>
              <w:spacing w:line="640" w:lineRule="exact"/>
              <w:jc w:val="center"/>
              <w:rPr>
                <w:rFonts w:hint="eastAsia" w:ascii="仿宋" w:hAnsi="仿宋" w:eastAsia="仿宋"/>
                <w:b/>
                <w:sz w:val="28"/>
                <w:szCs w:val="28"/>
              </w:rPr>
            </w:pPr>
            <w:r>
              <w:rPr>
                <w:rFonts w:hint="eastAsia" w:ascii="仿宋" w:hAnsi="仿宋" w:eastAsia="仿宋"/>
                <w:b/>
                <w:sz w:val="28"/>
                <w:szCs w:val="28"/>
              </w:rPr>
              <w:t>西安市</w:t>
            </w:r>
          </w:p>
        </w:tc>
        <w:tc>
          <w:tcPr>
            <w:tcW w:w="8100" w:type="dxa"/>
            <w:vAlign w:val="top"/>
          </w:tcPr>
          <w:p>
            <w:pPr>
              <w:spacing w:line="640" w:lineRule="exact"/>
              <w:rPr>
                <w:rFonts w:hint="eastAsia" w:ascii="仿宋" w:hAnsi="仿宋" w:eastAsia="仿宋"/>
                <w:sz w:val="28"/>
                <w:szCs w:val="28"/>
                <w:lang w:val="en-US" w:eastAsia="zh-CN"/>
              </w:rPr>
            </w:pPr>
            <w:r>
              <w:rPr>
                <w:rFonts w:hint="eastAsia" w:ascii="仿宋" w:hAnsi="仿宋" w:eastAsia="仿宋"/>
                <w:sz w:val="28"/>
                <w:szCs w:val="28"/>
              </w:rPr>
              <w:t>灞桥区、未央区、蓝田县、</w:t>
            </w:r>
            <w:r>
              <w:rPr>
                <w:rFonts w:hint="eastAsia" w:ascii="仿宋" w:hAnsi="仿宋" w:eastAsia="仿宋"/>
                <w:sz w:val="28"/>
                <w:szCs w:val="28"/>
                <w:lang w:val="en-US" w:eastAsia="zh-CN"/>
              </w:rPr>
              <w:t>鄠邑区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620" w:type="dxa"/>
            <w:vAlign w:val="top"/>
          </w:tcPr>
          <w:p>
            <w:pPr>
              <w:spacing w:line="640" w:lineRule="exact"/>
              <w:jc w:val="center"/>
              <w:rPr>
                <w:rFonts w:hint="eastAsia" w:ascii="仿宋" w:hAnsi="仿宋" w:eastAsia="仿宋"/>
                <w:b/>
                <w:sz w:val="28"/>
                <w:szCs w:val="28"/>
              </w:rPr>
            </w:pPr>
            <w:r>
              <w:rPr>
                <w:rFonts w:hint="eastAsia" w:ascii="仿宋" w:hAnsi="仿宋" w:eastAsia="仿宋"/>
                <w:b/>
                <w:sz w:val="28"/>
                <w:szCs w:val="28"/>
              </w:rPr>
              <w:t>宝鸡市</w:t>
            </w:r>
          </w:p>
        </w:tc>
        <w:tc>
          <w:tcPr>
            <w:tcW w:w="8100" w:type="dxa"/>
            <w:vAlign w:val="top"/>
          </w:tcPr>
          <w:p>
            <w:pPr>
              <w:spacing w:line="640" w:lineRule="exact"/>
              <w:rPr>
                <w:rFonts w:hint="eastAsia" w:ascii="仿宋" w:hAnsi="仿宋" w:eastAsia="仿宋"/>
                <w:sz w:val="28"/>
                <w:szCs w:val="28"/>
              </w:rPr>
            </w:pPr>
            <w:r>
              <w:rPr>
                <w:rFonts w:hint="eastAsia" w:ascii="仿宋" w:hAnsi="仿宋" w:eastAsia="仿宋"/>
                <w:sz w:val="28"/>
                <w:szCs w:val="28"/>
              </w:rPr>
              <w:t>陈仓区、扶风县、眉县、太白县、麟游县、千阳县、陇县、凤县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620" w:type="dxa"/>
            <w:vAlign w:val="top"/>
          </w:tcPr>
          <w:p>
            <w:pPr>
              <w:spacing w:line="640" w:lineRule="exact"/>
              <w:jc w:val="center"/>
              <w:rPr>
                <w:rFonts w:hint="eastAsia" w:ascii="仿宋" w:hAnsi="仿宋" w:eastAsia="仿宋"/>
                <w:b/>
                <w:sz w:val="28"/>
                <w:szCs w:val="28"/>
              </w:rPr>
            </w:pPr>
            <w:r>
              <w:rPr>
                <w:rFonts w:hint="eastAsia" w:ascii="仿宋" w:hAnsi="仿宋" w:eastAsia="仿宋"/>
                <w:b/>
                <w:sz w:val="28"/>
                <w:szCs w:val="28"/>
              </w:rPr>
              <w:t>咸阳市</w:t>
            </w:r>
          </w:p>
        </w:tc>
        <w:tc>
          <w:tcPr>
            <w:tcW w:w="8100" w:type="dxa"/>
            <w:vAlign w:val="top"/>
          </w:tcPr>
          <w:p>
            <w:pPr>
              <w:spacing w:line="640" w:lineRule="exact"/>
              <w:rPr>
                <w:rFonts w:hint="eastAsia" w:ascii="仿宋" w:hAnsi="仿宋" w:eastAsia="仿宋"/>
                <w:spacing w:val="-4"/>
                <w:sz w:val="28"/>
                <w:szCs w:val="28"/>
              </w:rPr>
            </w:pPr>
            <w:r>
              <w:rPr>
                <w:rFonts w:hint="eastAsia" w:ascii="仿宋" w:hAnsi="仿宋" w:eastAsia="仿宋"/>
                <w:spacing w:val="-4"/>
                <w:sz w:val="28"/>
                <w:szCs w:val="28"/>
              </w:rPr>
              <w:t>秦都区、渭城区、泾阳县、礼泉县、乾县、</w:t>
            </w:r>
            <w:r>
              <w:rPr>
                <w:rFonts w:hint="eastAsia" w:ascii="仿宋" w:hAnsi="仿宋" w:eastAsia="仿宋"/>
                <w:spacing w:val="-4"/>
                <w:sz w:val="28"/>
                <w:szCs w:val="28"/>
                <w:lang w:val="en-US" w:eastAsia="zh-CN"/>
              </w:rPr>
              <w:t>彬州市</w:t>
            </w:r>
            <w:r>
              <w:rPr>
                <w:rFonts w:hint="eastAsia" w:ascii="仿宋" w:hAnsi="仿宋" w:eastAsia="仿宋"/>
                <w:spacing w:val="-4"/>
                <w:sz w:val="28"/>
                <w:szCs w:val="28"/>
              </w:rPr>
              <w:t>、淳化县、旬邑县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620" w:type="dxa"/>
            <w:vAlign w:val="top"/>
          </w:tcPr>
          <w:p>
            <w:pPr>
              <w:spacing w:line="640" w:lineRule="exact"/>
              <w:jc w:val="center"/>
              <w:rPr>
                <w:rFonts w:hint="eastAsia" w:ascii="仿宋" w:hAnsi="仿宋" w:eastAsia="仿宋"/>
                <w:b/>
                <w:sz w:val="28"/>
                <w:szCs w:val="28"/>
              </w:rPr>
            </w:pPr>
            <w:r>
              <w:rPr>
                <w:rFonts w:hint="eastAsia" w:ascii="仿宋" w:hAnsi="仿宋" w:eastAsia="仿宋"/>
                <w:b/>
                <w:sz w:val="28"/>
                <w:szCs w:val="28"/>
              </w:rPr>
              <w:t>铜川市</w:t>
            </w:r>
          </w:p>
        </w:tc>
        <w:tc>
          <w:tcPr>
            <w:tcW w:w="8100" w:type="dxa"/>
            <w:vAlign w:val="top"/>
          </w:tcPr>
          <w:p>
            <w:pPr>
              <w:spacing w:line="640" w:lineRule="exact"/>
              <w:rPr>
                <w:rFonts w:hint="eastAsia" w:ascii="仿宋" w:hAnsi="仿宋" w:eastAsia="仿宋"/>
                <w:sz w:val="28"/>
                <w:szCs w:val="28"/>
              </w:rPr>
            </w:pPr>
            <w:r>
              <w:rPr>
                <w:rFonts w:hint="eastAsia" w:ascii="仿宋" w:hAnsi="仿宋" w:eastAsia="仿宋"/>
                <w:sz w:val="28"/>
                <w:szCs w:val="28"/>
              </w:rPr>
              <w:t>耀州区、宜君县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620" w:type="dxa"/>
            <w:vAlign w:val="top"/>
          </w:tcPr>
          <w:p>
            <w:pPr>
              <w:spacing w:line="640" w:lineRule="exact"/>
              <w:jc w:val="center"/>
              <w:rPr>
                <w:rFonts w:hint="eastAsia" w:ascii="仿宋" w:hAnsi="仿宋" w:eastAsia="仿宋"/>
                <w:b/>
                <w:sz w:val="28"/>
                <w:szCs w:val="28"/>
              </w:rPr>
            </w:pPr>
            <w:r>
              <w:rPr>
                <w:rFonts w:hint="eastAsia" w:ascii="仿宋" w:hAnsi="仿宋" w:eastAsia="仿宋"/>
                <w:b/>
                <w:sz w:val="28"/>
                <w:szCs w:val="28"/>
              </w:rPr>
              <w:t>渭南市</w:t>
            </w:r>
          </w:p>
        </w:tc>
        <w:tc>
          <w:tcPr>
            <w:tcW w:w="8100" w:type="dxa"/>
            <w:vAlign w:val="top"/>
          </w:tcPr>
          <w:p>
            <w:pPr>
              <w:spacing w:line="640" w:lineRule="exact"/>
              <w:rPr>
                <w:rFonts w:hint="eastAsia" w:ascii="仿宋" w:hAnsi="仿宋" w:eastAsia="仿宋"/>
                <w:sz w:val="28"/>
                <w:szCs w:val="28"/>
              </w:rPr>
            </w:pPr>
            <w:r>
              <w:rPr>
                <w:rFonts w:hint="eastAsia" w:ascii="仿宋" w:hAnsi="仿宋" w:eastAsia="仿宋"/>
                <w:sz w:val="28"/>
                <w:szCs w:val="28"/>
              </w:rPr>
              <w:t>临渭区、华阴市、</w:t>
            </w:r>
            <w:r>
              <w:rPr>
                <w:rFonts w:hint="eastAsia" w:ascii="仿宋" w:hAnsi="仿宋" w:eastAsia="仿宋"/>
                <w:sz w:val="28"/>
                <w:szCs w:val="28"/>
                <w:lang w:val="en-US" w:eastAsia="zh-CN"/>
              </w:rPr>
              <w:t>华州区</w:t>
            </w:r>
            <w:r>
              <w:rPr>
                <w:rFonts w:hint="eastAsia" w:ascii="仿宋" w:hAnsi="仿宋" w:eastAsia="仿宋"/>
                <w:sz w:val="28"/>
                <w:szCs w:val="28"/>
              </w:rPr>
              <w:t>、潼关县、大荔县、澄城县、蒲城县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620" w:type="dxa"/>
            <w:vAlign w:val="top"/>
          </w:tcPr>
          <w:p>
            <w:pPr>
              <w:spacing w:line="640" w:lineRule="exact"/>
              <w:jc w:val="center"/>
              <w:rPr>
                <w:rFonts w:hint="eastAsia" w:ascii="仿宋" w:hAnsi="仿宋" w:eastAsia="仿宋"/>
                <w:b/>
                <w:sz w:val="28"/>
                <w:szCs w:val="28"/>
              </w:rPr>
            </w:pPr>
            <w:r>
              <w:rPr>
                <w:rFonts w:hint="eastAsia" w:ascii="仿宋" w:hAnsi="仿宋" w:eastAsia="仿宋"/>
                <w:b/>
                <w:sz w:val="28"/>
                <w:szCs w:val="28"/>
              </w:rPr>
              <w:t>延安市</w:t>
            </w:r>
          </w:p>
        </w:tc>
        <w:tc>
          <w:tcPr>
            <w:tcW w:w="8100" w:type="dxa"/>
            <w:vAlign w:val="top"/>
          </w:tcPr>
          <w:p>
            <w:pPr>
              <w:spacing w:line="640" w:lineRule="exact"/>
              <w:rPr>
                <w:rFonts w:hint="eastAsia" w:ascii="仿宋" w:hAnsi="仿宋" w:eastAsia="仿宋"/>
                <w:sz w:val="28"/>
                <w:szCs w:val="28"/>
              </w:rPr>
            </w:pPr>
            <w:r>
              <w:rPr>
                <w:rFonts w:hint="eastAsia" w:ascii="仿宋" w:hAnsi="仿宋" w:eastAsia="仿宋"/>
                <w:sz w:val="28"/>
                <w:szCs w:val="28"/>
              </w:rPr>
              <w:t>宝塔区、延长县、延川县、子长</w:t>
            </w:r>
            <w:r>
              <w:rPr>
                <w:rFonts w:hint="eastAsia" w:ascii="仿宋" w:hAnsi="仿宋" w:eastAsia="仿宋"/>
                <w:sz w:val="28"/>
                <w:szCs w:val="28"/>
                <w:lang w:val="en-US" w:eastAsia="zh-CN"/>
              </w:rPr>
              <w:t>市</w:t>
            </w:r>
            <w:r>
              <w:rPr>
                <w:rFonts w:hint="eastAsia" w:ascii="仿宋" w:hAnsi="仿宋" w:eastAsia="仿宋"/>
                <w:sz w:val="28"/>
                <w:szCs w:val="28"/>
              </w:rPr>
              <w:t>、安塞</w:t>
            </w:r>
            <w:r>
              <w:rPr>
                <w:rFonts w:hint="eastAsia" w:ascii="仿宋" w:hAnsi="仿宋" w:eastAsia="仿宋"/>
                <w:sz w:val="28"/>
                <w:szCs w:val="28"/>
                <w:lang w:val="en-US" w:eastAsia="zh-CN"/>
              </w:rPr>
              <w:t>区</w:t>
            </w:r>
            <w:r>
              <w:rPr>
                <w:rFonts w:hint="eastAsia" w:ascii="仿宋" w:hAnsi="仿宋" w:eastAsia="仿宋"/>
                <w:sz w:val="28"/>
                <w:szCs w:val="28"/>
              </w:rPr>
              <w:t>、志丹县、吴起县、</w:t>
            </w:r>
          </w:p>
          <w:p>
            <w:pPr>
              <w:spacing w:line="640" w:lineRule="exact"/>
              <w:rPr>
                <w:rFonts w:hint="eastAsia" w:ascii="仿宋" w:hAnsi="仿宋" w:eastAsia="仿宋"/>
                <w:sz w:val="28"/>
                <w:szCs w:val="28"/>
              </w:rPr>
            </w:pPr>
            <w:r>
              <w:rPr>
                <w:rFonts w:hint="eastAsia" w:ascii="仿宋" w:hAnsi="仿宋" w:eastAsia="仿宋"/>
                <w:sz w:val="28"/>
                <w:szCs w:val="28"/>
              </w:rPr>
              <w:t>甘泉县、富县、黄龙县、黄陵县、洛川县、宜川县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620" w:type="dxa"/>
            <w:vAlign w:val="top"/>
          </w:tcPr>
          <w:p>
            <w:pPr>
              <w:spacing w:line="640" w:lineRule="exact"/>
              <w:jc w:val="center"/>
              <w:rPr>
                <w:rFonts w:hint="eastAsia" w:ascii="仿宋" w:hAnsi="仿宋" w:eastAsia="仿宋"/>
                <w:b/>
                <w:sz w:val="28"/>
                <w:szCs w:val="28"/>
              </w:rPr>
            </w:pPr>
            <w:r>
              <w:rPr>
                <w:rFonts w:hint="eastAsia" w:ascii="仿宋" w:hAnsi="仿宋" w:eastAsia="仿宋"/>
                <w:b/>
                <w:sz w:val="28"/>
                <w:szCs w:val="28"/>
              </w:rPr>
              <w:t>榆林市</w:t>
            </w:r>
          </w:p>
        </w:tc>
        <w:tc>
          <w:tcPr>
            <w:tcW w:w="8100" w:type="dxa"/>
            <w:vAlign w:val="top"/>
          </w:tcPr>
          <w:p>
            <w:pPr>
              <w:spacing w:line="640" w:lineRule="exact"/>
              <w:rPr>
                <w:rFonts w:hint="eastAsia" w:ascii="仿宋" w:hAnsi="仿宋" w:eastAsia="仿宋"/>
                <w:sz w:val="28"/>
                <w:szCs w:val="28"/>
              </w:rPr>
            </w:pPr>
            <w:r>
              <w:rPr>
                <w:rFonts w:hint="eastAsia" w:ascii="仿宋" w:hAnsi="仿宋" w:eastAsia="仿宋"/>
                <w:sz w:val="28"/>
                <w:szCs w:val="28"/>
              </w:rPr>
              <w:t>榆阳区、神木</w:t>
            </w:r>
            <w:r>
              <w:rPr>
                <w:rFonts w:hint="eastAsia" w:ascii="仿宋" w:hAnsi="仿宋" w:eastAsia="仿宋"/>
                <w:sz w:val="28"/>
                <w:szCs w:val="28"/>
                <w:lang w:val="en-US" w:eastAsia="zh-CN"/>
              </w:rPr>
              <w:t>市</w:t>
            </w:r>
            <w:r>
              <w:rPr>
                <w:rFonts w:hint="eastAsia" w:ascii="仿宋" w:hAnsi="仿宋" w:eastAsia="仿宋"/>
                <w:sz w:val="28"/>
                <w:szCs w:val="28"/>
              </w:rPr>
              <w:t>、府谷县、横山</w:t>
            </w:r>
            <w:r>
              <w:rPr>
                <w:rFonts w:hint="eastAsia" w:ascii="仿宋" w:hAnsi="仿宋" w:eastAsia="仿宋"/>
                <w:sz w:val="28"/>
                <w:szCs w:val="28"/>
                <w:lang w:val="en-US" w:eastAsia="zh-CN"/>
              </w:rPr>
              <w:t>区</w:t>
            </w:r>
            <w:r>
              <w:rPr>
                <w:rFonts w:hint="eastAsia" w:ascii="仿宋" w:hAnsi="仿宋" w:eastAsia="仿宋"/>
                <w:sz w:val="28"/>
                <w:szCs w:val="28"/>
              </w:rPr>
              <w:t>、靖边县、定边县、绥德县、</w:t>
            </w:r>
          </w:p>
          <w:p>
            <w:pPr>
              <w:spacing w:line="640" w:lineRule="exact"/>
              <w:rPr>
                <w:rFonts w:hint="eastAsia" w:ascii="仿宋" w:hAnsi="仿宋" w:eastAsia="仿宋"/>
                <w:sz w:val="28"/>
                <w:szCs w:val="28"/>
              </w:rPr>
            </w:pPr>
            <w:r>
              <w:rPr>
                <w:rFonts w:hint="eastAsia" w:ascii="仿宋" w:hAnsi="仿宋" w:eastAsia="仿宋"/>
                <w:sz w:val="28"/>
                <w:szCs w:val="28"/>
              </w:rPr>
              <w:t>米脂县、吴堡县、清涧县、子洲县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620" w:type="dxa"/>
            <w:vAlign w:val="top"/>
          </w:tcPr>
          <w:p>
            <w:pPr>
              <w:spacing w:line="640" w:lineRule="exact"/>
              <w:jc w:val="center"/>
              <w:rPr>
                <w:rFonts w:hint="eastAsia" w:ascii="仿宋" w:hAnsi="仿宋" w:eastAsia="仿宋"/>
                <w:b/>
                <w:sz w:val="28"/>
                <w:szCs w:val="28"/>
              </w:rPr>
            </w:pPr>
            <w:r>
              <w:rPr>
                <w:rFonts w:hint="eastAsia" w:ascii="仿宋" w:hAnsi="仿宋" w:eastAsia="仿宋"/>
                <w:b/>
                <w:sz w:val="28"/>
                <w:szCs w:val="28"/>
              </w:rPr>
              <w:t>汉中市</w:t>
            </w:r>
          </w:p>
        </w:tc>
        <w:tc>
          <w:tcPr>
            <w:tcW w:w="8100" w:type="dxa"/>
            <w:vAlign w:val="top"/>
          </w:tcPr>
          <w:p>
            <w:pPr>
              <w:spacing w:line="640" w:lineRule="exact"/>
              <w:rPr>
                <w:rFonts w:hint="eastAsia" w:ascii="仿宋" w:hAnsi="仿宋" w:eastAsia="仿宋"/>
                <w:sz w:val="28"/>
                <w:szCs w:val="28"/>
              </w:rPr>
            </w:pPr>
            <w:r>
              <w:rPr>
                <w:rFonts w:hint="eastAsia" w:ascii="仿宋" w:hAnsi="仿宋" w:eastAsia="仿宋"/>
                <w:sz w:val="28"/>
                <w:szCs w:val="28"/>
              </w:rPr>
              <w:t>汉台区、城固县、洋县、勉县、西乡县、略阳县、镇巴县、</w:t>
            </w:r>
          </w:p>
          <w:p>
            <w:pPr>
              <w:spacing w:line="640" w:lineRule="exact"/>
              <w:rPr>
                <w:rFonts w:hint="eastAsia" w:ascii="仿宋" w:hAnsi="仿宋" w:eastAsia="仿宋"/>
                <w:sz w:val="28"/>
                <w:szCs w:val="28"/>
              </w:rPr>
            </w:pPr>
            <w:r>
              <w:rPr>
                <w:rFonts w:hint="eastAsia" w:ascii="仿宋" w:hAnsi="仿宋" w:eastAsia="仿宋"/>
                <w:sz w:val="28"/>
                <w:szCs w:val="28"/>
              </w:rPr>
              <w:t>宁强县、留坝县、佛坪县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620" w:type="dxa"/>
            <w:vAlign w:val="top"/>
          </w:tcPr>
          <w:p>
            <w:pPr>
              <w:spacing w:line="640" w:lineRule="exact"/>
              <w:jc w:val="center"/>
              <w:rPr>
                <w:rFonts w:hint="eastAsia" w:ascii="仿宋" w:hAnsi="仿宋" w:eastAsia="仿宋"/>
                <w:b/>
                <w:sz w:val="28"/>
                <w:szCs w:val="28"/>
              </w:rPr>
            </w:pPr>
            <w:r>
              <w:rPr>
                <w:rFonts w:hint="eastAsia" w:ascii="仿宋" w:hAnsi="仿宋" w:eastAsia="仿宋"/>
                <w:b/>
                <w:sz w:val="28"/>
                <w:szCs w:val="28"/>
              </w:rPr>
              <w:t>安康市</w:t>
            </w:r>
          </w:p>
        </w:tc>
        <w:tc>
          <w:tcPr>
            <w:tcW w:w="8100" w:type="dxa"/>
            <w:vAlign w:val="top"/>
          </w:tcPr>
          <w:p>
            <w:pPr>
              <w:spacing w:line="640" w:lineRule="exact"/>
              <w:rPr>
                <w:rFonts w:hint="eastAsia" w:ascii="仿宋" w:hAnsi="仿宋" w:eastAsia="仿宋"/>
                <w:sz w:val="28"/>
                <w:szCs w:val="28"/>
              </w:rPr>
            </w:pPr>
            <w:r>
              <w:rPr>
                <w:rFonts w:hint="eastAsia" w:ascii="仿宋" w:hAnsi="仿宋" w:eastAsia="仿宋"/>
                <w:sz w:val="28"/>
                <w:szCs w:val="28"/>
              </w:rPr>
              <w:t>汉滨区、平利县、旬阳县、石泉县、紫阳县、白河县、汉阴县、</w:t>
            </w:r>
          </w:p>
          <w:p>
            <w:pPr>
              <w:spacing w:line="640" w:lineRule="exact"/>
              <w:rPr>
                <w:rFonts w:hint="eastAsia" w:ascii="仿宋" w:hAnsi="仿宋" w:eastAsia="仿宋"/>
                <w:sz w:val="28"/>
                <w:szCs w:val="28"/>
              </w:rPr>
            </w:pPr>
            <w:r>
              <w:rPr>
                <w:rFonts w:hint="eastAsia" w:ascii="仿宋" w:hAnsi="仿宋" w:eastAsia="仿宋"/>
                <w:sz w:val="28"/>
                <w:szCs w:val="28"/>
              </w:rPr>
              <w:t>镇坪县、宁陕县、岚皋县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620" w:type="dxa"/>
            <w:vAlign w:val="top"/>
          </w:tcPr>
          <w:p>
            <w:pPr>
              <w:spacing w:line="640" w:lineRule="exact"/>
              <w:jc w:val="center"/>
              <w:rPr>
                <w:rFonts w:hint="eastAsia" w:ascii="仿宋" w:hAnsi="仿宋" w:eastAsia="仿宋"/>
                <w:b/>
                <w:sz w:val="28"/>
                <w:szCs w:val="28"/>
              </w:rPr>
            </w:pPr>
            <w:r>
              <w:rPr>
                <w:rFonts w:hint="eastAsia" w:ascii="仿宋" w:hAnsi="仿宋" w:eastAsia="仿宋"/>
                <w:b/>
                <w:sz w:val="28"/>
                <w:szCs w:val="28"/>
              </w:rPr>
              <w:t>商洛市</w:t>
            </w:r>
          </w:p>
        </w:tc>
        <w:tc>
          <w:tcPr>
            <w:tcW w:w="8100" w:type="dxa"/>
            <w:vAlign w:val="top"/>
          </w:tcPr>
          <w:p>
            <w:pPr>
              <w:spacing w:line="640" w:lineRule="exact"/>
              <w:rPr>
                <w:rFonts w:hint="eastAsia" w:ascii="仿宋" w:hAnsi="仿宋" w:eastAsia="仿宋"/>
                <w:sz w:val="28"/>
                <w:szCs w:val="28"/>
              </w:rPr>
            </w:pPr>
            <w:r>
              <w:rPr>
                <w:rFonts w:hint="eastAsia" w:ascii="仿宋" w:hAnsi="仿宋" w:eastAsia="仿宋"/>
                <w:sz w:val="28"/>
                <w:szCs w:val="28"/>
              </w:rPr>
              <w:t>商州区、洛南县、山阳县、镇安县、丹凤县、商南县、柞水县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620" w:type="dxa"/>
            <w:vAlign w:val="top"/>
          </w:tcPr>
          <w:p>
            <w:pPr>
              <w:spacing w:line="640" w:lineRule="exact"/>
              <w:jc w:val="center"/>
              <w:rPr>
                <w:rFonts w:hint="eastAsia" w:ascii="仿宋" w:hAnsi="仿宋" w:eastAsia="仿宋"/>
                <w:b/>
                <w:spacing w:val="-4"/>
                <w:sz w:val="28"/>
                <w:szCs w:val="28"/>
              </w:rPr>
            </w:pPr>
            <w:r>
              <w:rPr>
                <w:rFonts w:hint="eastAsia" w:ascii="仿宋" w:hAnsi="仿宋" w:eastAsia="仿宋"/>
                <w:b/>
                <w:spacing w:val="-4"/>
                <w:sz w:val="28"/>
                <w:szCs w:val="28"/>
              </w:rPr>
              <w:t>杨凌示范区</w:t>
            </w:r>
          </w:p>
        </w:tc>
        <w:tc>
          <w:tcPr>
            <w:tcW w:w="8100" w:type="dxa"/>
            <w:vAlign w:val="top"/>
          </w:tcPr>
          <w:p>
            <w:pPr>
              <w:spacing w:line="640" w:lineRule="exact"/>
              <w:rPr>
                <w:rFonts w:hint="eastAsia" w:ascii="仿宋" w:hAnsi="仿宋" w:eastAsia="仿宋"/>
                <w:sz w:val="28"/>
                <w:szCs w:val="28"/>
              </w:rPr>
            </w:pPr>
            <w:r>
              <w:rPr>
                <w:rFonts w:hint="eastAsia" w:ascii="仿宋" w:hAnsi="仿宋" w:eastAsia="仿宋"/>
                <w:sz w:val="28"/>
                <w:szCs w:val="28"/>
              </w:rPr>
              <w:t>杨陵区</w:t>
            </w:r>
          </w:p>
        </w:tc>
      </w:tr>
    </w:tbl>
    <w:p>
      <w:pPr>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方正小标宋简体">
    <w:altName w:val="微软雅黑"/>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modern"/>
    <w:pitch w:val="default"/>
    <w:sig w:usb0="A10006FF" w:usb1="4000205B" w:usb2="00000010" w:usb3="00000000" w:csb0="2000019F" w:csb1="00000000"/>
  </w:font>
  <w:font w:name="Courier New">
    <w:panose1 w:val="02070309020205020404"/>
    <w:charset w:val="00"/>
    <w:family w:val="roman"/>
    <w:pitch w:val="default"/>
    <w:sig w:usb0="E0002AFF" w:usb1="C0007843" w:usb2="00000009" w:usb3="00000000" w:csb0="400001FF" w:csb1="FFFF0000"/>
  </w:font>
  <w:font w:name="方正姚体">
    <w:altName w:val="宋体"/>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Courier New">
    <w:panose1 w:val="02070309020205020404"/>
    <w:charset w:val="00"/>
    <w:family w:val="swiss"/>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 w:name="Courier New">
    <w:panose1 w:val="02070309020205020404"/>
    <w:charset w:val="00"/>
    <w:family w:val="decorative"/>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陕西省陕</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20A4FA4"/>
    <w:rsid w:val="152D2DCA"/>
    <w:rsid w:val="1B982D53"/>
    <w:rsid w:val="1DEC284C"/>
    <w:rsid w:val="1E6523AC"/>
    <w:rsid w:val="22440422"/>
    <w:rsid w:val="31A15F24"/>
    <w:rsid w:val="344F06C2"/>
    <w:rsid w:val="3650732A"/>
    <w:rsid w:val="395347B5"/>
    <w:rsid w:val="39A232A0"/>
    <w:rsid w:val="39E745AA"/>
    <w:rsid w:val="3B5A6BBB"/>
    <w:rsid w:val="3EDA13A6"/>
    <w:rsid w:val="42F058B7"/>
    <w:rsid w:val="436109F6"/>
    <w:rsid w:val="441A38D4"/>
    <w:rsid w:val="4BC77339"/>
    <w:rsid w:val="4C6F4469"/>
    <w:rsid w:val="4C9236C5"/>
    <w:rsid w:val="505C172E"/>
    <w:rsid w:val="52F46F0B"/>
    <w:rsid w:val="53D8014D"/>
    <w:rsid w:val="55E064E0"/>
    <w:rsid w:val="572C6D10"/>
    <w:rsid w:val="5C257FCD"/>
    <w:rsid w:val="5DC34279"/>
    <w:rsid w:val="5E4B3C19"/>
    <w:rsid w:val="608816D1"/>
    <w:rsid w:val="60EF4E7F"/>
    <w:rsid w:val="665233C1"/>
    <w:rsid w:val="69CB7D8C"/>
    <w:rsid w:val="6AD9688B"/>
    <w:rsid w:val="6D0E3F22"/>
    <w:rsid w:val="7C9011D9"/>
    <w:rsid w:val="7DC651C5"/>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0"/>
    <w:rPr>
      <w:b/>
      <w:bCs/>
    </w:rPr>
  </w:style>
  <w:style w:type="paragraph" w:styleId="3">
    <w:name w:val="annotation text"/>
    <w:basedOn w:val="1"/>
    <w:link w:val="17"/>
    <w:qFormat/>
    <w:uiPriority w:val="0"/>
    <w:pPr>
      <w:jc w:val="left"/>
    </w:pPr>
  </w:style>
  <w:style w:type="paragraph" w:styleId="4">
    <w:name w:val="Date"/>
    <w:basedOn w:val="1"/>
    <w:next w:val="1"/>
    <w:link w:val="15"/>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4">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5">
    <w:name w:val="日期 字符"/>
    <w:basedOn w:val="9"/>
    <w:link w:val="4"/>
    <w:qFormat/>
    <w:uiPriority w:val="0"/>
    <w:rPr>
      <w:rFonts w:asciiTheme="minorHAnsi" w:hAnsiTheme="minorHAnsi" w:eastAsiaTheme="minorEastAsia" w:cstheme="minorBidi"/>
      <w:kern w:val="2"/>
      <w:sz w:val="21"/>
      <w:szCs w:val="24"/>
    </w:rPr>
  </w:style>
  <w:style w:type="paragraph" w:customStyle="1" w:styleId="16">
    <w:name w:val="List Paragraph"/>
    <w:basedOn w:val="1"/>
    <w:qFormat/>
    <w:uiPriority w:val="99"/>
    <w:pPr>
      <w:ind w:firstLine="420" w:firstLineChars="200"/>
    </w:pPr>
  </w:style>
  <w:style w:type="character" w:customStyle="1" w:styleId="17">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ScaleCrop>false</ScaleCrop>
  <LinksUpToDate>false</LinksUpToDate>
  <CharactersWithSpaces>2512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NTKO</cp:lastModifiedBy>
  <cp:lastPrinted>2022-08-08T09:29:00Z</cp:lastPrinted>
  <dcterms:modified xsi:type="dcterms:W3CDTF">2022-08-18T09:23:30Z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48C61CB29D3F4D9384F5922CF0F7FFB4</vt:lpwstr>
  </property>
</Properties>
</file>