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陕西省人民政府办公厅</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关于印发改善一线医务人员工作条件</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切实关心医务人员身心健康具体措施的通知</w:t>
      </w:r>
    </w:p>
    <w:p>
      <w:pPr>
        <w:widowControl w:val="0"/>
        <w:wordWrap/>
        <w:adjustRightInd/>
        <w:snapToGrid/>
        <w:spacing w:line="240" w:lineRule="auto"/>
        <w:ind w:left="0" w:leftChars="0" w:right="0" w:firstLine="0" w:firstLineChars="0"/>
        <w:jc w:val="center"/>
        <w:textAlignment w:val="auto"/>
        <w:outlineLvl w:val="9"/>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陕政办发〔2020〕3号</w:t>
      </w:r>
    </w:p>
    <w:p>
      <w:pPr>
        <w:spacing w:line="570" w:lineRule="exact"/>
        <w:rPr>
          <w:rFonts w:hint="eastAsia" w:ascii="仿宋_GB2312" w:eastAsia="仿宋_GB2312"/>
          <w:color w:val="333333"/>
          <w:sz w:val="32"/>
          <w:szCs w:val="32"/>
          <w:shd w:val="clear" w:color="auto" w:fill="FFFFFF"/>
        </w:rPr>
      </w:pPr>
    </w:p>
    <w:p>
      <w:pPr>
        <w:widowControl w:val="0"/>
        <w:wordWrap/>
        <w:adjustRightInd/>
        <w:snapToGrid/>
        <w:spacing w:line="570" w:lineRule="exact"/>
        <w:ind w:right="0"/>
        <w:jc w:val="both"/>
        <w:textAlignment w:val="auto"/>
        <w:outlineLvl w:val="9"/>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各设区市人民政府，省人民政府各工作部门、各直属机构：</w:t>
      </w:r>
    </w:p>
    <w:p>
      <w:pPr>
        <w:widowControl w:val="0"/>
        <w:wordWrap/>
        <w:adjustRightInd/>
        <w:snapToGrid/>
        <w:spacing w:line="570" w:lineRule="exact"/>
        <w:ind w:left="0" w:leftChars="0" w:right="0" w:firstLine="640" w:firstLineChars="200"/>
        <w:jc w:val="both"/>
        <w:textAlignment w:val="auto"/>
        <w:outlineLvl w:val="9"/>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国务院办公厅转发国家卫生健康委、人力资源社会保障部、财政部关于改善一线医务人员工作条件切实关心医务人员身心健康若干措施的通知》（国办发〔2020〕4号），明确了7方面工作要求，各地、各部门要认真贯彻落实。经省政府同意，现结合我省实际，同时提出9条具体措施，请一并执行。</w:t>
      </w:r>
    </w:p>
    <w:p>
      <w:pPr>
        <w:widowControl w:val="0"/>
        <w:wordWrap/>
        <w:adjustRightInd/>
        <w:snapToGrid/>
        <w:spacing w:line="570" w:lineRule="exact"/>
        <w:ind w:left="0" w:leftChars="0" w:right="0" w:firstLine="640" w:firstLineChars="200"/>
        <w:jc w:val="both"/>
        <w:textAlignment w:val="auto"/>
        <w:outlineLvl w:val="9"/>
        <w:rPr>
          <w:rFonts w:hint="eastAsia" w:ascii="仿宋_GB2312" w:eastAsia="仿宋_GB2312"/>
          <w:color w:val="333333"/>
          <w:sz w:val="32"/>
          <w:szCs w:val="32"/>
          <w:shd w:val="clear" w:color="auto" w:fill="FFFFFF"/>
        </w:rPr>
      </w:pPr>
    </w:p>
    <w:p>
      <w:pPr>
        <w:widowControl w:val="0"/>
        <w:wordWrap/>
        <w:adjustRightInd/>
        <w:snapToGrid/>
        <w:spacing w:line="570" w:lineRule="exact"/>
        <w:ind w:left="0" w:leftChars="0" w:right="0" w:firstLine="640" w:firstLineChars="200"/>
        <w:jc w:val="both"/>
        <w:textAlignment w:val="auto"/>
        <w:outlineLvl w:val="9"/>
        <w:rPr>
          <w:rFonts w:hint="eastAsia" w:ascii="仿宋_GB2312" w:eastAsia="仿宋_GB2312"/>
          <w:color w:val="333333"/>
          <w:sz w:val="32"/>
          <w:szCs w:val="32"/>
          <w:shd w:val="clear" w:color="auto" w:fill="FFFFFF"/>
        </w:rPr>
      </w:pPr>
    </w:p>
    <w:p>
      <w:pPr>
        <w:widowControl w:val="0"/>
        <w:wordWrap/>
        <w:adjustRightInd/>
        <w:snapToGrid/>
        <w:spacing w:line="570" w:lineRule="exact"/>
        <w:ind w:left="0" w:leftChars="0" w:right="0" w:firstLine="640" w:firstLineChars="200"/>
        <w:jc w:val="both"/>
        <w:textAlignment w:val="auto"/>
        <w:outlineLvl w:val="9"/>
        <w:rPr>
          <w:rFonts w:hint="eastAsia" w:ascii="仿宋_GB2312" w:eastAsia="仿宋_GB2312"/>
          <w:color w:val="333333"/>
          <w:sz w:val="32"/>
          <w:szCs w:val="32"/>
          <w:shd w:val="clear" w:color="auto" w:fill="FFFFFF"/>
        </w:rPr>
      </w:pPr>
    </w:p>
    <w:p>
      <w:pPr>
        <w:widowControl w:val="0"/>
        <w:wordWrap w:val="0"/>
        <w:adjustRightInd/>
        <w:snapToGrid/>
        <w:spacing w:line="570" w:lineRule="exact"/>
        <w:ind w:left="0" w:leftChars="0" w:right="0" w:firstLine="640" w:firstLineChars="200"/>
        <w:jc w:val="right"/>
        <w:textAlignment w:val="auto"/>
        <w:outlineLvl w:val="9"/>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陕西省人民政府办公厅</w:t>
      </w:r>
      <w:r>
        <w:rPr>
          <w:rFonts w:hint="eastAsia" w:ascii="仿宋_GB2312" w:eastAsia="仿宋_GB2312"/>
          <w:color w:val="333333"/>
          <w:sz w:val="32"/>
          <w:szCs w:val="32"/>
          <w:shd w:val="clear" w:color="auto" w:fill="FFFFFF"/>
          <w:lang w:val="en-US" w:eastAsia="zh-CN"/>
        </w:rPr>
        <w:t xml:space="preserve">        </w:t>
      </w:r>
    </w:p>
    <w:p>
      <w:pPr>
        <w:widowControl w:val="0"/>
        <w:wordWrap/>
        <w:adjustRightInd/>
        <w:snapToGrid/>
        <w:spacing w:line="570" w:lineRule="exact"/>
        <w:ind w:left="0" w:leftChars="0" w:right="0" w:firstLine="640" w:firstLineChars="200"/>
        <w:jc w:val="center"/>
        <w:textAlignment w:val="auto"/>
        <w:outlineLvl w:val="9"/>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2020年2月15日</w:t>
      </w:r>
    </w:p>
    <w:p>
      <w:pPr>
        <w:widowControl w:val="0"/>
        <w:wordWrap/>
        <w:adjustRightInd/>
        <w:snapToGrid/>
        <w:spacing w:line="570" w:lineRule="exact"/>
        <w:ind w:left="0" w:leftChars="0" w:right="0" w:firstLine="640" w:firstLineChars="200"/>
        <w:jc w:val="center"/>
        <w:textAlignment w:val="auto"/>
        <w:outlineLvl w:val="9"/>
        <w:rPr>
          <w:rFonts w:hint="eastAsia" w:ascii="仿宋_GB2312" w:eastAsia="仿宋_GB2312"/>
          <w:color w:val="333333"/>
          <w:sz w:val="32"/>
          <w:szCs w:val="32"/>
          <w:shd w:val="clear" w:color="auto" w:fill="FFFFFF"/>
        </w:rPr>
      </w:pPr>
    </w:p>
    <w:p>
      <w:pPr>
        <w:wordWrap/>
        <w:spacing w:line="570" w:lineRule="exact"/>
        <w:jc w:val="center"/>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关于改善一线医务人员工作条件切实关心医务人员身心健康具体措施</w:t>
      </w:r>
    </w:p>
    <w:p>
      <w:pPr>
        <w:wordWrap/>
        <w:spacing w:line="570" w:lineRule="exact"/>
        <w:jc w:val="center"/>
        <w:rPr>
          <w:rFonts w:hint="eastAsia" w:ascii="黑体" w:hAnsi="黑体" w:eastAsia="黑体" w:cs="黑体"/>
          <w:b w:val="0"/>
          <w:bCs w:val="0"/>
          <w:color w:val="333333"/>
          <w:sz w:val="32"/>
          <w:szCs w:val="32"/>
          <w:shd w:val="clear" w:color="auto" w:fill="FFFFFF"/>
          <w:lang w:val="en-US" w:eastAsia="zh-CN"/>
        </w:rPr>
      </w:pP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一、实施定向招聘。</w:t>
      </w:r>
      <w:r>
        <w:rPr>
          <w:rFonts w:hint="eastAsia" w:ascii="仿宋_GB2312" w:eastAsia="仿宋_GB2312"/>
          <w:color w:val="333333"/>
          <w:sz w:val="32"/>
          <w:szCs w:val="32"/>
          <w:shd w:val="clear" w:color="auto" w:fill="FFFFFF"/>
          <w:lang w:val="en-US" w:eastAsia="zh-CN"/>
        </w:rPr>
        <w:t>自2020年起，省、市组织事业单位公开招聘时，对参加疫情防控的一线合同制医护人员，实行所在单位定向招聘，年龄放宽至45周岁。</w:t>
      </w: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二、实行职称倾斜。</w:t>
      </w:r>
      <w:r>
        <w:rPr>
          <w:rFonts w:hint="eastAsia" w:ascii="仿宋_GB2312" w:eastAsia="仿宋_GB2312"/>
          <w:color w:val="333333"/>
          <w:sz w:val="32"/>
          <w:szCs w:val="32"/>
          <w:shd w:val="clear" w:color="auto" w:fill="FFFFFF"/>
          <w:lang w:val="en-US" w:eastAsia="zh-CN"/>
        </w:rPr>
        <w:t>参加支援湖北和在省内收治确诊病患定点医院从事新冠肺炎治疗的一线医护人员，可提前一年申报高级职称，并免除基层服务经历、科研论文、继续教育要求，评聘不受岗位职数限制。</w:t>
      </w: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三、提供岗位支持。</w:t>
      </w:r>
      <w:r>
        <w:rPr>
          <w:rFonts w:hint="eastAsia" w:ascii="仿宋_GB2312" w:eastAsia="仿宋_GB2312"/>
          <w:color w:val="333333"/>
          <w:sz w:val="32"/>
          <w:szCs w:val="32"/>
          <w:shd w:val="clear" w:color="auto" w:fill="FFFFFF"/>
          <w:lang w:val="en-US" w:eastAsia="zh-CN"/>
        </w:rPr>
        <w:t>一线医护人员可提前晋升岗位等级，取得相应职称的直接聘任，不受单位岗位结构比例限制。专业技术二级岗位优先聘用参加疫情防控的一线医务人员。</w:t>
      </w: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四、落实工资待遇。</w:t>
      </w:r>
      <w:r>
        <w:rPr>
          <w:rFonts w:hint="eastAsia" w:ascii="仿宋_GB2312" w:eastAsia="仿宋_GB2312"/>
          <w:color w:val="333333"/>
          <w:sz w:val="32"/>
          <w:szCs w:val="32"/>
          <w:shd w:val="clear" w:color="auto" w:fill="FFFFFF"/>
          <w:lang w:val="en-US" w:eastAsia="zh-CN"/>
        </w:rPr>
        <w:t>对防控任务重、风险程度高的医疗卫生机构，核增不纳入基数的一次性绩效工资总量，额度不低于总量的10%；单位内部分配向一线人员倾斜。落实国家卫生防疫津贴政策，对参与新冠肺炎疫情防疫人员及时足额发放到位。</w:t>
      </w: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五、优化工伤服务。</w:t>
      </w:r>
      <w:r>
        <w:rPr>
          <w:rFonts w:hint="eastAsia" w:ascii="仿宋_GB2312" w:eastAsia="仿宋_GB2312"/>
          <w:color w:val="333333"/>
          <w:sz w:val="32"/>
          <w:szCs w:val="32"/>
          <w:shd w:val="clear" w:color="auto" w:fill="FFFFFF"/>
          <w:lang w:val="en-US" w:eastAsia="zh-CN"/>
        </w:rPr>
        <w:t>对因履行工作职责感染新冠肺炎的医护及相关工作人员，开辟工伤服务保障绿色通道，用人单位申请工伤认定时限延长至60日。各相关单位要主动跟踪服务，3个工作日内受理、认定、发放工伤待遇。</w:t>
      </w: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六、关爱身心健康。</w:t>
      </w:r>
      <w:r>
        <w:rPr>
          <w:rFonts w:hint="eastAsia" w:ascii="仿宋_GB2312" w:eastAsia="仿宋_GB2312"/>
          <w:color w:val="333333"/>
          <w:sz w:val="32"/>
          <w:szCs w:val="32"/>
          <w:shd w:val="clear" w:color="auto" w:fill="FFFFFF"/>
          <w:lang w:val="en-US" w:eastAsia="zh-CN"/>
        </w:rPr>
        <w:t>对援助湖北和省内参加疫情防控的一线医护人员，疫情结束后由单位组织一次全面体检，所需费用由同级财政部门负担。切实做好一线医务人员轮休、补休工作，休假期间薪酬待遇不受影响。</w:t>
      </w: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七、强化表彰激励。</w:t>
      </w:r>
      <w:r>
        <w:rPr>
          <w:rFonts w:hint="eastAsia" w:ascii="仿宋_GB2312" w:eastAsia="仿宋_GB2312"/>
          <w:color w:val="333333"/>
          <w:sz w:val="32"/>
          <w:szCs w:val="32"/>
          <w:shd w:val="clear" w:color="auto" w:fill="FFFFFF"/>
          <w:lang w:val="en-US" w:eastAsia="zh-CN"/>
        </w:rPr>
        <w:t>根据《事业单位工作人员奖励规定》，开展及时奖励。对获得嘉奖、记功、记大功的人员，在一次性奖金基础上，可以追加其他物质奖励。对作出突出贡献的医务团队和个人，给予及时性表彰。</w:t>
      </w: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八、宣传典型事迹。</w:t>
      </w:r>
      <w:r>
        <w:rPr>
          <w:rFonts w:hint="eastAsia" w:ascii="仿宋_GB2312" w:eastAsia="仿宋_GB2312"/>
          <w:color w:val="333333"/>
          <w:sz w:val="32"/>
          <w:szCs w:val="32"/>
          <w:shd w:val="clear" w:color="auto" w:fill="FFFFFF"/>
          <w:lang w:val="en-US" w:eastAsia="zh-CN"/>
        </w:rPr>
        <w:t>积极开展“最美战疫人”等评选工作，深入挖掘宣传贡献突出的医务团队和个人先进事迹，讲好感人故事，凝聚强大力量，形成全社会崇敬、关爱医务工作者的良好氛围。</w:t>
      </w:r>
    </w:p>
    <w:p>
      <w:pPr>
        <w:wordWrap/>
        <w:spacing w:line="570" w:lineRule="exact"/>
        <w:jc w:val="both"/>
      </w:pPr>
      <w:bookmarkStart w:id="1" w:name="_GoBack"/>
      <w:r>
        <w:rPr>
          <w:rFonts w:hint="eastAsia" w:ascii="黑体" w:hAnsi="黑体" w:eastAsia="黑体" w:cs="黑体"/>
          <w:color w:val="333333"/>
          <w:sz w:val="32"/>
          <w:szCs w:val="32"/>
          <w:shd w:val="clear" w:color="auto" w:fill="FFFFFF"/>
          <w:lang w:val="en-US" w:eastAsia="zh-CN"/>
        </w:rPr>
        <w:t>九、加强人文关怀。</w:t>
      </w:r>
      <w:bookmarkEnd w:id="1"/>
      <w:r>
        <w:rPr>
          <w:rFonts w:hint="eastAsia" w:ascii="仿宋_GB2312" w:eastAsia="仿宋_GB2312"/>
          <w:color w:val="333333"/>
          <w:sz w:val="32"/>
          <w:szCs w:val="32"/>
          <w:shd w:val="clear" w:color="auto" w:fill="FFFFFF"/>
          <w:lang w:val="en-US" w:eastAsia="zh-CN"/>
        </w:rPr>
        <w:t xml:space="preserve">对支援湖北的一线医务人员家属、省内一线医务人员及家属，相关单位、社会志愿者实行“一对一”帮扶和专人对口慰问帮扶，优先保障防护物资和防护设备，提供心理疏导服务，帮助解决日常生活需求、照顾老人小孩等困难。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R1fSAAAABgEAAA8AAAAAAAAAAQAgAAAAIgAAAGRycy9kb3ducmV2LnhtbFBLAQIU&#10;ABQAAAAIAIdO4kBU13e0+QEAAOgDAAAOAAAAAAAAAAEAIAAAACEBAABkcnMvZTJvRG9jLnhtbFBL&#10;BQYAAAAABgAGAFkBAACM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hKwnSAAAACQEAAA8AAAAAAAAAAQAgAAAAIgAAAGRycy9kb3ducmV2LnhtbFBLAQIUABQA&#10;AAAIAIdO4kBh0DxL9gEAAOcDAAAOAAAAAAAAAAEAIAAAACEBAABkcnMvZTJvRG9jLnhtbFBLBQYA&#10;AAAABgAGAFkBAACJBQ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0" b="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0DC65909"/>
    <w:rsid w:val="152D2DCA"/>
    <w:rsid w:val="1DEC284C"/>
    <w:rsid w:val="1E6523AC"/>
    <w:rsid w:val="22440422"/>
    <w:rsid w:val="31A15F24"/>
    <w:rsid w:val="36494EBE"/>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annotation reference"/>
    <w:basedOn w:val="8"/>
    <w:qFormat/>
    <w:uiPriority w:val="0"/>
    <w:rPr>
      <w:sz w:val="21"/>
      <w:szCs w:val="21"/>
    </w:rPr>
  </w:style>
  <w:style w:type="paragraph" w:customStyle="1" w:styleId="11">
    <w:name w:val="List Paragraph"/>
    <w:basedOn w:val="1"/>
    <w:uiPriority w:val="99"/>
    <w:pPr>
      <w:ind w:firstLine="420" w:firstLineChars="200"/>
    </w:pPr>
  </w:style>
  <w:style w:type="character" w:customStyle="1" w:styleId="12">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1074</Words>
  <Characters>1091</Characters>
  <Lines>15</Lines>
  <Paragraphs>4</Paragraphs>
  <TotalTime>14</TotalTime>
  <ScaleCrop>false</ScaleCrop>
  <LinksUpToDate>false</LinksUpToDate>
  <CharactersWithSpaces>1118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2022-08-10T07:41:31Z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B5B349222D87438FAAABEB5FB9D6DA68</vt:lpwstr>
  </property>
</Properties>
</file>