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11EEE" w:rsidRDefault="00261BE0">
      <w:pPr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311EEE"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彬州市体育馆</w:t>
      </w:r>
      <w:r w:rsidRPr="00311EEE"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2019</w:t>
      </w:r>
      <w:r w:rsidRPr="00311EEE"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年开放工作方案</w:t>
      </w:r>
    </w:p>
    <w:p w:rsidR="00311EEE" w:rsidRDefault="00311EEE">
      <w:pPr>
        <w:spacing w:line="680" w:lineRule="exact"/>
        <w:ind w:firstLineChars="177" w:firstLine="566"/>
        <w:jc w:val="left"/>
        <w:rPr>
          <w:rFonts w:ascii="仿宋_GB2312" w:eastAsia="仿宋_GB2312" w:hAnsi="Calibri" w:cs="仿宋_GB2312" w:hint="eastAsia"/>
          <w:sz w:val="32"/>
          <w:szCs w:val="32"/>
          <w:lang/>
        </w:rPr>
      </w:pP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sz w:val="32"/>
          <w:szCs w:val="32"/>
        </w:rPr>
      </w:pP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根据《体育总局办公厅关于做好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2019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年大型体育场馆免费或低收费开放工作有关事宜的通知》（体群字</w:t>
      </w:r>
      <w:r w:rsidRPr="00311EEE">
        <w:rPr>
          <w:rFonts w:ascii="仿宋_GB2312" w:eastAsia="仿宋_GB2312" w:hAnsi="仿宋" w:cs="仿宋" w:hint="eastAsia"/>
          <w:sz w:val="32"/>
          <w:szCs w:val="32"/>
          <w:lang/>
        </w:rPr>
        <w:t>〔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2019</w:t>
      </w:r>
      <w:r w:rsidRPr="00311EEE">
        <w:rPr>
          <w:rFonts w:ascii="仿宋_GB2312" w:eastAsia="仿宋_GB2312" w:hAnsi="仿宋" w:cs="仿宋" w:hint="eastAsia"/>
          <w:sz w:val="32"/>
          <w:szCs w:val="32"/>
          <w:lang/>
        </w:rPr>
        <w:t>〕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11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号）要求，现将</w:t>
      </w:r>
      <w:r w:rsidRPr="00311EEE">
        <w:rPr>
          <w:rFonts w:ascii="仿宋_GB2312" w:eastAsia="仿宋_GB2312" w:hAnsi="仿宋" w:cs="仿宋_GB2312" w:hint="eastAsia"/>
          <w:sz w:val="32"/>
          <w:szCs w:val="32"/>
          <w:lang/>
        </w:rPr>
        <w:t>陕西省咸阳市彬州市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体育馆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2019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年免费或低收费开放工作方案公布如下：</w:t>
      </w: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  <w:lang/>
        </w:rPr>
      </w:pPr>
      <w:r w:rsidRPr="00311EEE">
        <w:rPr>
          <w:rFonts w:ascii="黑体" w:eastAsia="黑体" w:hAnsi="黑体" w:cs="仿宋_GB2312" w:hint="eastAsia"/>
          <w:sz w:val="32"/>
          <w:szCs w:val="32"/>
          <w:lang/>
        </w:rPr>
        <w:t>一、体育馆简介</w:t>
      </w: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/>
        </w:rPr>
      </w:pP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彬州市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奥体中心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是由彬州市文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化产业投资有限责任公司运营管理的综合性体育场馆。该中心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始建于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2011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年，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201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5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年全面建成投入使用。奥体中心占地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1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8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万平方米，建筑面积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6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万平方米，总投资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3.6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亿元人民币，建设内容为奥体中心体育场、体育馆、全民健身活动中心、地下停车场、户外健身广场及景观绿化等内容，是一个集体育竞赛、体育培训、全民健身、休闲娱乐为一体的大型综合性全民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运动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中心。</w:t>
      </w: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仿宋_GB2312" w:eastAsia="仿宋_GB2312" w:hAnsi="Calibri" w:cs="仿宋_GB2312" w:hint="eastAsia"/>
          <w:sz w:val="32"/>
          <w:szCs w:val="32"/>
          <w:lang/>
        </w:rPr>
      </w:pP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其中体育馆占地面积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46000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平方米，建筑面积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1.95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万平方米，分主、副馆，主馆看台规模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5000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个座位，灯光、音响、显示屏、赛事管理系统、空调通风系统一应俱全，也是一个多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功能的综合性体育馆。</w:t>
      </w: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  <w:lang/>
        </w:rPr>
      </w:pPr>
      <w:r w:rsidRPr="00311EEE">
        <w:rPr>
          <w:rFonts w:ascii="黑体" w:eastAsia="黑体" w:hAnsi="黑体" w:cs="仿宋_GB2312" w:hint="eastAsia"/>
          <w:sz w:val="32"/>
          <w:szCs w:val="32"/>
          <w:lang/>
        </w:rPr>
        <w:t>二、免费或低收费开放项目、开放时间及收费标准</w:t>
      </w:r>
    </w:p>
    <w:p w:rsidR="00000000" w:rsidRPr="00311EEE" w:rsidRDefault="00261BE0" w:rsidP="00311EEE">
      <w:pPr>
        <w:spacing w:line="560" w:lineRule="exact"/>
        <w:ind w:firstLineChars="200" w:firstLine="643"/>
        <w:jc w:val="left"/>
        <w:rPr>
          <w:rFonts w:ascii="仿宋_GB2312" w:eastAsia="仿宋_GB2312" w:hAnsi="Calibri" w:cs="仿宋_GB2312" w:hint="eastAsia"/>
          <w:b/>
          <w:sz w:val="32"/>
          <w:szCs w:val="32"/>
          <w:lang/>
        </w:rPr>
      </w:pPr>
      <w:r w:rsidRPr="00311EEE">
        <w:rPr>
          <w:rFonts w:ascii="仿宋_GB2312" w:eastAsia="仿宋_GB2312" w:hAnsi="Calibri" w:cs="仿宋_GB2312" w:hint="eastAsia"/>
          <w:b/>
          <w:sz w:val="32"/>
          <w:szCs w:val="32"/>
          <w:lang/>
        </w:rPr>
        <w:t>（一）开放项目和场地</w:t>
      </w: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仿宋_GB2312" w:eastAsia="仿宋_GB2312" w:hAnsi="Calibri" w:cs="仿宋_GB2312" w:hint="eastAsia"/>
          <w:sz w:val="32"/>
          <w:szCs w:val="32"/>
          <w:lang/>
        </w:rPr>
      </w:pP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彬州市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奥体中心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体育馆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重要节假日和全民健身日免费对外开放，平时低收费对外开放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；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进入馆内可以进行任意项目的健身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lastRenderedPageBreak/>
        <w:t>活动。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其中包括：乒乓球场地、羽毛球场地、篮球场地、健身器材及其他设施等。</w:t>
      </w:r>
    </w:p>
    <w:p w:rsidR="00000000" w:rsidRPr="00311EEE" w:rsidRDefault="00261BE0" w:rsidP="00311EEE">
      <w:pPr>
        <w:spacing w:line="560" w:lineRule="exact"/>
        <w:ind w:firstLineChars="200" w:firstLine="643"/>
        <w:jc w:val="left"/>
        <w:rPr>
          <w:rFonts w:ascii="仿宋_GB2312" w:eastAsia="仿宋_GB2312" w:hAnsi="Calibri" w:cs="仿宋_GB2312" w:hint="eastAsia"/>
          <w:b/>
          <w:sz w:val="32"/>
          <w:szCs w:val="32"/>
          <w:lang/>
        </w:rPr>
      </w:pPr>
      <w:r w:rsidRPr="00311EEE">
        <w:rPr>
          <w:rFonts w:ascii="仿宋_GB2312" w:eastAsia="仿宋_GB2312" w:hAnsi="Calibri" w:cs="仿宋_GB2312" w:hint="eastAsia"/>
          <w:b/>
          <w:sz w:val="32"/>
          <w:szCs w:val="32"/>
          <w:lang/>
        </w:rPr>
        <w:t>（二）开放时间</w:t>
      </w: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/>
        </w:rPr>
      </w:pP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彬州市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奥体中心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体育馆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重要节假日和全民健身日免费对外开放，平时低收费对外开放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，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户外活动场所和设施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24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小时免费对外开放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。</w:t>
      </w:r>
    </w:p>
    <w:p w:rsidR="00000000" w:rsidRPr="00311EEE" w:rsidRDefault="00261BE0" w:rsidP="00311EEE">
      <w:pPr>
        <w:spacing w:line="560" w:lineRule="exact"/>
        <w:ind w:firstLineChars="200" w:firstLine="643"/>
        <w:jc w:val="left"/>
        <w:rPr>
          <w:rFonts w:ascii="仿宋_GB2312" w:eastAsia="仿宋_GB2312" w:hAnsi="Calibri" w:cs="仿宋_GB2312" w:hint="eastAsia"/>
          <w:b/>
          <w:sz w:val="32"/>
          <w:szCs w:val="32"/>
          <w:lang/>
        </w:rPr>
      </w:pPr>
      <w:r w:rsidRPr="00311EEE">
        <w:rPr>
          <w:rFonts w:ascii="仿宋_GB2312" w:eastAsia="仿宋_GB2312" w:hAnsi="Calibri" w:cs="仿宋_GB2312" w:hint="eastAsia"/>
          <w:b/>
          <w:sz w:val="32"/>
          <w:szCs w:val="32"/>
          <w:lang/>
        </w:rPr>
        <w:t>（三）收费标准</w:t>
      </w: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仿宋_GB2312" w:eastAsia="仿宋_GB2312" w:hAnsi="Calibri" w:cs="仿宋_GB2312" w:hint="eastAsia"/>
          <w:sz w:val="32"/>
          <w:szCs w:val="32"/>
          <w:lang/>
        </w:rPr>
      </w:pP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体育馆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平时低收费对外开放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，收费标准为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5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元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/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人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/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小时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或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200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元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/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馆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/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小时。</w:t>
      </w: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  <w:lang/>
        </w:rPr>
      </w:pPr>
      <w:r w:rsidRPr="00311EEE">
        <w:rPr>
          <w:rFonts w:ascii="黑体" w:eastAsia="黑体" w:hAnsi="黑体" w:cs="仿宋_GB2312" w:hint="eastAsia"/>
          <w:sz w:val="32"/>
          <w:szCs w:val="32"/>
          <w:lang/>
        </w:rPr>
        <w:t>三、举办体育赛事、</w:t>
      </w:r>
      <w:r w:rsidRPr="00311EEE">
        <w:rPr>
          <w:rFonts w:ascii="黑体" w:eastAsia="黑体" w:hAnsi="黑体" w:cs="仿宋_GB2312" w:hint="eastAsia"/>
          <w:sz w:val="32"/>
          <w:szCs w:val="32"/>
          <w:lang/>
        </w:rPr>
        <w:t>体育活动、体育培训情况</w:t>
      </w: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/>
        </w:rPr>
      </w:pP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201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8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年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以来，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奥体中心体育场馆和区域内的场地、设施对外开放达到了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310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天以上。体育场馆所属户外公共区域及户外健身器材全年免费开放，每天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24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小时对外开放。全民健身日所有场馆及设施全天免费开放，同时对中小学生、老年人、残疾人实行免费开放。在对外开放同时利用场馆免费向公众提供体育赛事讲座、展览、技能培训、体质监测，平均每年进入场馆健身的人数达到了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100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万人次。</w:t>
      </w: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仿宋_GB2312" w:eastAsia="仿宋_GB2312" w:hAnsi="Calibri" w:cs="仿宋_GB2312" w:hint="eastAsia"/>
          <w:sz w:val="32"/>
          <w:szCs w:val="32"/>
          <w:lang/>
        </w:rPr>
      </w:pP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1</w:t>
      </w:r>
      <w:r w:rsidR="00311EEE">
        <w:rPr>
          <w:rFonts w:ascii="仿宋_GB2312" w:eastAsia="仿宋_GB2312" w:hAnsi="Calibri" w:cs="仿宋_GB2312" w:hint="eastAsia"/>
          <w:sz w:val="32"/>
          <w:szCs w:val="32"/>
          <w:lang/>
        </w:rPr>
        <w:t>。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奥体中心体育馆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2018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年来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先后举办了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中国南北女排超级对抗赛、陕西省第十六届运动会篮球赛、陕西省邮政储蓄银行系统运动会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以及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“丝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路之旅”彬州市首届国际马戏艺术节、教育系统中小学校园艺术节节目展演等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文艺演出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等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10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余场次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，其中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迎春杯南北女排超级对抗赛和马戏艺术节的成功举办，参加观看人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lastRenderedPageBreak/>
        <w:t>数达到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10000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余人。</w:t>
      </w:r>
    </w:p>
    <w:p w:rsidR="00000000" w:rsidRPr="00311EEE" w:rsidRDefault="00311EEE" w:rsidP="00311EEE">
      <w:pPr>
        <w:spacing w:line="560" w:lineRule="exact"/>
        <w:ind w:firstLineChars="200" w:firstLine="640"/>
        <w:jc w:val="left"/>
        <w:rPr>
          <w:rFonts w:ascii="仿宋_GB2312" w:eastAsia="仿宋_GB2312" w:hAnsi="Calibri" w:cs="仿宋_GB2312" w:hint="eastAsia"/>
          <w:sz w:val="32"/>
          <w:szCs w:val="32"/>
          <w:lang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2.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承办好各类文化体育赛事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，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坚持政府协调、社会承办、市场化运作的竞赛承办机制，组织举办好各类大型赛事活动。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我们将计划于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2019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年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在体育在体育馆举办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CBA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联赛季前赛及其他文体活动。</w:t>
      </w:r>
    </w:p>
    <w:p w:rsidR="00000000" w:rsidRPr="00311EEE" w:rsidRDefault="00311EEE" w:rsidP="00311EEE">
      <w:pPr>
        <w:spacing w:line="560" w:lineRule="exact"/>
        <w:ind w:firstLineChars="200" w:firstLine="640"/>
        <w:jc w:val="left"/>
        <w:rPr>
          <w:rFonts w:ascii="仿宋_GB2312" w:eastAsia="仿宋_GB2312" w:hAnsi="Calibri" w:cs="仿宋_GB2312" w:hint="eastAsia"/>
          <w:sz w:val="32"/>
          <w:szCs w:val="32"/>
          <w:lang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3.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为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增加场馆的有效利用率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，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我们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新增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设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了武术、篮球、跆拳道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、羽毛球、乒乓球等体育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培训班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，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让场馆从以运动为主的单一经营转为培训和运动共营的发展新思路</w:t>
      </w:r>
      <w:r w:rsidR="00261BE0" w:rsidRPr="00311EEE">
        <w:rPr>
          <w:rFonts w:ascii="仿宋_GB2312" w:eastAsia="仿宋_GB2312" w:hAnsi="Calibri" w:cs="仿宋_GB2312" w:hint="eastAsia"/>
          <w:sz w:val="32"/>
          <w:szCs w:val="32"/>
          <w:lang/>
        </w:rPr>
        <w:t>。</w:t>
      </w: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  <w:lang/>
        </w:rPr>
      </w:pPr>
      <w:r w:rsidRPr="00311EEE">
        <w:rPr>
          <w:rFonts w:ascii="黑体" w:eastAsia="黑体" w:hAnsi="黑体" w:cs="仿宋_GB2312" w:hint="eastAsia"/>
          <w:sz w:val="32"/>
          <w:szCs w:val="32"/>
          <w:lang/>
        </w:rPr>
        <w:t>四、群众</w:t>
      </w:r>
      <w:r w:rsidRPr="00311EEE">
        <w:rPr>
          <w:rFonts w:ascii="黑体" w:eastAsia="黑体" w:hAnsi="黑体" w:cs="仿宋_GB2312" w:hint="eastAsia"/>
          <w:sz w:val="32"/>
          <w:szCs w:val="32"/>
          <w:lang/>
        </w:rPr>
        <w:t>参加体</w:t>
      </w:r>
      <w:r w:rsidRPr="00311EEE">
        <w:rPr>
          <w:rFonts w:ascii="黑体" w:eastAsia="黑体" w:hAnsi="黑体" w:cs="仿宋_GB2312" w:hint="eastAsia"/>
          <w:sz w:val="32"/>
          <w:szCs w:val="32"/>
          <w:lang/>
        </w:rPr>
        <w:t>育赛事和体育活动、接受体育培训、进行日常健身服务情况</w:t>
      </w: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仿宋_GB2312" w:eastAsia="仿宋_GB2312" w:hAnsi="Calibri" w:cs="仿宋_GB2312" w:hint="eastAsia"/>
          <w:sz w:val="32"/>
          <w:szCs w:val="32"/>
          <w:lang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体育馆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计划全年接待不低于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 xml:space="preserve"> 30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万人次、月均接待不低于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2.5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万人次、日均接待不低于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850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人次，全年室内体育场地每万平米平均接待不低于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10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万人次。</w:t>
      </w: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  <w:lang/>
        </w:rPr>
      </w:pPr>
      <w:r w:rsidRPr="00311EEE">
        <w:rPr>
          <w:rFonts w:ascii="黑体" w:eastAsia="黑体" w:hAnsi="黑体" w:cs="仿宋_GB2312" w:hint="eastAsia"/>
          <w:sz w:val="32"/>
          <w:szCs w:val="32"/>
          <w:lang/>
        </w:rPr>
        <w:t>五、为群众身边的体育组织服务情况</w:t>
      </w: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仿宋_GB2312" w:eastAsia="仿宋_GB2312" w:hAnsi="Calibri" w:cs="仿宋_GB2312" w:hint="eastAsia"/>
          <w:sz w:val="32"/>
          <w:szCs w:val="32"/>
          <w:lang/>
        </w:rPr>
      </w:pP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我们将始终坚持公益性为主的场馆运营宗旨，竭力为全市广大市民搞好体育健身服务，特别是为乒乓球、羽毛球等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12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个群众性体育组织（协会）提供好场地服务，进一步推动群众性体育活动的深入开展。</w:t>
      </w: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311EEE">
        <w:rPr>
          <w:rFonts w:ascii="黑体" w:eastAsia="黑体" w:hAnsi="黑体" w:cs="仿宋_GB2312" w:hint="eastAsia"/>
          <w:sz w:val="32"/>
          <w:szCs w:val="32"/>
          <w:lang/>
        </w:rPr>
        <w:t>六、成本支出情况</w:t>
      </w:r>
    </w:p>
    <w:p w:rsidR="00000000" w:rsidRPr="00311EEE" w:rsidRDefault="00261BE0" w:rsidP="00311EEE">
      <w:pPr>
        <w:spacing w:line="560" w:lineRule="exact"/>
        <w:ind w:firstLineChars="200" w:firstLine="640"/>
        <w:jc w:val="left"/>
        <w:rPr>
          <w:rFonts w:ascii="仿宋_GB2312" w:eastAsia="仿宋_GB2312" w:hAnsi="Calibri" w:cs="仿宋_GB2312" w:hint="eastAsia"/>
          <w:sz w:val="32"/>
          <w:szCs w:val="32"/>
          <w:lang/>
        </w:rPr>
      </w:pP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2019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年场馆开放成本支出预计最低为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300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万元，其中水电气热能耗支出最低为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150</w:t>
      </w:r>
      <w:r w:rsidRPr="00311EEE">
        <w:rPr>
          <w:rFonts w:ascii="仿宋_GB2312" w:eastAsia="仿宋_GB2312" w:hAnsi="Calibri" w:cs="仿宋_GB2312" w:hint="eastAsia"/>
          <w:sz w:val="32"/>
          <w:szCs w:val="32"/>
          <w:lang/>
        </w:rPr>
        <w:t>万元。</w:t>
      </w:r>
    </w:p>
    <w:p w:rsidR="00311EEE" w:rsidRDefault="00311EEE" w:rsidP="00311E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311EEE" w:rsidSect="00311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BE0" w:rsidRDefault="00261BE0">
      <w:r>
        <w:separator/>
      </w:r>
    </w:p>
  </w:endnote>
  <w:endnote w:type="continuationSeparator" w:id="1">
    <w:p w:rsidR="00261BE0" w:rsidRDefault="00261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61BE0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>PAGE</w:instrText>
    </w:r>
    <w:r>
      <w:rPr>
        <w:rStyle w:val="a3"/>
      </w:rPr>
      <w:instrText xml:space="preserve">  </w:instrText>
    </w:r>
    <w:r>
      <w:fldChar w:fldCharType="end"/>
    </w:r>
  </w:p>
  <w:p w:rsidR="00000000" w:rsidRDefault="00261B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1548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4"/>
        <w:szCs w:val="24"/>
      </w:rPr>
    </w:sdtEndPr>
    <w:sdtContent>
      <w:p w:rsidR="00311EEE" w:rsidRPr="00311EEE" w:rsidRDefault="00311EEE">
        <w:pPr>
          <w:pStyle w:val="a6"/>
          <w:jc w:val="right"/>
          <w:rPr>
            <w:rFonts w:ascii="Batang" w:eastAsia="Batang" w:hAnsi="Batang"/>
            <w:sz w:val="24"/>
            <w:szCs w:val="24"/>
          </w:rPr>
        </w:pPr>
        <w:r w:rsidRPr="00311EEE">
          <w:rPr>
            <w:rFonts w:ascii="Batang" w:eastAsia="Batang" w:hAnsi="Batang"/>
            <w:sz w:val="24"/>
            <w:szCs w:val="24"/>
          </w:rPr>
          <w:fldChar w:fldCharType="begin"/>
        </w:r>
        <w:r w:rsidRPr="00311EEE">
          <w:rPr>
            <w:rFonts w:ascii="Batang" w:eastAsia="Batang" w:hAnsi="Batang"/>
            <w:sz w:val="24"/>
            <w:szCs w:val="24"/>
          </w:rPr>
          <w:instrText xml:space="preserve"> PAGE   \* MERGEFORMAT </w:instrText>
        </w:r>
        <w:r w:rsidRPr="00311EEE">
          <w:rPr>
            <w:rFonts w:ascii="Batang" w:eastAsia="Batang" w:hAnsi="Batang"/>
            <w:sz w:val="24"/>
            <w:szCs w:val="24"/>
          </w:rPr>
          <w:fldChar w:fldCharType="separate"/>
        </w:r>
        <w:r w:rsidRPr="00311EEE">
          <w:rPr>
            <w:rFonts w:ascii="Batang" w:eastAsia="Batang" w:hAnsi="Batang"/>
            <w:noProof/>
            <w:sz w:val="24"/>
            <w:szCs w:val="24"/>
            <w:lang w:val="zh-CN"/>
          </w:rPr>
          <w:t>-</w:t>
        </w:r>
        <w:r>
          <w:rPr>
            <w:rFonts w:ascii="Batang" w:eastAsia="Batang" w:hAnsi="Batang"/>
            <w:noProof/>
            <w:sz w:val="24"/>
            <w:szCs w:val="24"/>
          </w:rPr>
          <w:t xml:space="preserve"> 3 -</w:t>
        </w:r>
        <w:r w:rsidRPr="00311EEE">
          <w:rPr>
            <w:rFonts w:ascii="Batang" w:eastAsia="Batang" w:hAnsi="Batang"/>
            <w:sz w:val="24"/>
            <w:szCs w:val="24"/>
          </w:rPr>
          <w:fldChar w:fldCharType="end"/>
        </w:r>
      </w:p>
    </w:sdtContent>
  </w:sdt>
  <w:p w:rsidR="00000000" w:rsidRDefault="00261B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EEE" w:rsidRDefault="00311E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BE0" w:rsidRDefault="00261BE0">
      <w:r>
        <w:separator/>
      </w:r>
    </w:p>
  </w:footnote>
  <w:footnote w:type="continuationSeparator" w:id="1">
    <w:p w:rsidR="00261BE0" w:rsidRDefault="00261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EEE" w:rsidRDefault="00311E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61BE0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EEE" w:rsidRDefault="00311E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D2DF95"/>
    <w:multiLevelType w:val="singleLevel"/>
    <w:tmpl w:val="83D2DF9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CB3CE7"/>
    <w:multiLevelType w:val="singleLevel"/>
    <w:tmpl w:val="B1CB3CE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803"/>
    <w:rsid w:val="00261BE0"/>
    <w:rsid w:val="00311EEE"/>
    <w:rsid w:val="00D14803"/>
    <w:rsid w:val="09371932"/>
    <w:rsid w:val="0AF97FEE"/>
    <w:rsid w:val="2A14509D"/>
    <w:rsid w:val="3A0F3916"/>
    <w:rsid w:val="4E11245A"/>
    <w:rsid w:val="5A2061FE"/>
    <w:rsid w:val="65364B98"/>
    <w:rsid w:val="7E181D9A"/>
    <w:rsid w:val="7FE4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Calibri" w:hAnsi="Calibri" w:cs="宋体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6"/>
    <w:uiPriority w:val="99"/>
    <w:rsid w:val="00311E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2019-02-15T03:03:00Z</cp:lastPrinted>
  <dcterms:created xsi:type="dcterms:W3CDTF">2019-03-04T10:59:00Z</dcterms:created>
  <dcterms:modified xsi:type="dcterms:W3CDTF">2019-03-04T11:02:00Z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