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jc w:val="center"/>
        <w:rPr>
          <w:rFonts w:asciiTheme="minorEastAsia" w:hAnsiTheme="minorEastAsia" w:cstheme="minorEastAsia"/>
          <w:sz w:val="44"/>
          <w:szCs w:val="44"/>
        </w:rPr>
      </w:pPr>
    </w:p>
    <w:p>
      <w:pPr>
        <w:jc w:val="center"/>
        <w:rPr>
          <w:rFonts w:hint="eastAsia" w:asciiTheme="minorEastAsia" w:hAnsiTheme="minorEastAsia"/>
          <w:color w:val="333333"/>
          <w:sz w:val="44"/>
          <w:szCs w:val="44"/>
          <w:shd w:val="clear" w:color="auto" w:fill="FFFFFF"/>
        </w:rPr>
      </w:pPr>
      <w:r>
        <w:rPr>
          <w:rFonts w:hint="eastAsia" w:asciiTheme="minorEastAsia" w:hAnsiTheme="minorEastAsia"/>
          <w:color w:val="333333"/>
          <w:sz w:val="44"/>
          <w:szCs w:val="44"/>
          <w:shd w:val="clear" w:color="auto" w:fill="FFFFFF"/>
        </w:rPr>
        <w:t>陕西省渔</w:t>
      </w:r>
      <w:bookmarkStart w:id="1" w:name="_GoBack"/>
      <w:bookmarkEnd w:id="1"/>
      <w:r>
        <w:rPr>
          <w:rFonts w:hint="eastAsia" w:asciiTheme="minorEastAsia" w:hAnsiTheme="minorEastAsia"/>
          <w:color w:val="333333"/>
          <w:sz w:val="44"/>
          <w:szCs w:val="44"/>
          <w:shd w:val="clear" w:color="auto" w:fill="FFFFFF"/>
        </w:rPr>
        <w:t>业船舶管理办法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 xml:space="preserve"> (2012年4月24日陕西省人民政府令第159号公布 自2012年7月1日起施行)</w:t>
      </w:r>
    </w:p>
    <w:p>
      <w:pPr>
        <w:rPr>
          <w:rFonts w:ascii="宋体" w:hAnsi="宋体" w:eastAsia="宋体" w:cs="宋体"/>
          <w:color w:val="333333"/>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第一条</w:t>
      </w:r>
      <w:r>
        <w:rPr>
          <w:rFonts w:hint="eastAsia" w:ascii="宋体" w:hAnsi="宋体" w:eastAsia="宋体" w:cs="宋体"/>
          <w:color w:val="333333"/>
          <w:sz w:val="36"/>
          <w:szCs w:val="36"/>
          <w:shd w:val="clear" w:color="auto" w:fill="FFFFFF"/>
        </w:rPr>
        <w:t xml:space="preserve">  </w:t>
      </w:r>
      <w:r>
        <w:rPr>
          <w:rFonts w:hint="eastAsia" w:ascii="仿宋_GB2312" w:hAnsi="宋体" w:eastAsia="仿宋_GB2312" w:cs="宋体"/>
          <w:color w:val="333333"/>
          <w:kern w:val="0"/>
          <w:sz w:val="32"/>
          <w:szCs w:val="32"/>
          <w:shd w:val="clear" w:color="auto" w:fill="FFFFFF"/>
          <w:lang w:val="en-US" w:eastAsia="zh-CN" w:bidi="ar-SA"/>
        </w:rPr>
        <w:t>为加强渔业船舶管理，保障渔业船舶航行和作业安全，根据《中华人民共和国渔业法》、《中华人民共和国渔业船舶检验条例》、《中华人民共和国内河交通安全管理条例》等法律法规，结合本省实际，制定本办法。</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黑体" w:hAnsi="黑体" w:eastAsia="黑体" w:cs="黑体"/>
          <w:color w:val="333333"/>
          <w:sz w:val="32"/>
          <w:szCs w:val="32"/>
          <w:shd w:val="clear" w:color="auto" w:fill="FFFFFF"/>
        </w:rPr>
        <w:t>第二条 </w:t>
      </w:r>
      <w:r>
        <w:rPr>
          <w:rFonts w:hint="eastAsia" w:ascii="宋体" w:hAnsi="宋体" w:eastAsia="宋体" w:cs="宋体"/>
          <w:color w:val="333333"/>
          <w:sz w:val="36"/>
          <w:szCs w:val="36"/>
          <w:shd w:val="clear" w:color="auto" w:fill="FFFFFF"/>
        </w:rPr>
        <w:t xml:space="preserve"> </w:t>
      </w:r>
      <w:r>
        <w:rPr>
          <w:rFonts w:hint="eastAsia" w:ascii="仿宋_GB2312" w:hAnsi="宋体" w:eastAsia="仿宋_GB2312" w:cs="宋体"/>
          <w:color w:val="333333"/>
          <w:kern w:val="0"/>
          <w:sz w:val="32"/>
          <w:szCs w:val="32"/>
          <w:shd w:val="clear" w:color="auto" w:fill="FFFFFF"/>
          <w:lang w:val="en-US" w:eastAsia="zh-CN" w:bidi="ar-SA"/>
        </w:rPr>
        <w:t>在本省行政区域内渔业船舶的检验、登记、航行、作业以及船员管理等活动，适用本办法。</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    渔业行政执法船舶的管理按照国家有关规定执行。</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 xml:space="preserve">第三条  </w:t>
      </w:r>
      <w:r>
        <w:rPr>
          <w:rFonts w:hint="eastAsia" w:ascii="仿宋_GB2312" w:hAnsi="宋体" w:eastAsia="仿宋_GB2312" w:cs="宋体"/>
          <w:color w:val="333333"/>
          <w:kern w:val="0"/>
          <w:sz w:val="32"/>
          <w:szCs w:val="32"/>
          <w:shd w:val="clear" w:color="auto" w:fill="FFFFFF"/>
          <w:lang w:val="en-US" w:eastAsia="zh-CN" w:bidi="ar-SA"/>
        </w:rPr>
        <w:t>县级以上人民政府渔业行政主管部门负责本行政区域内渔业船舶的管理工作。各级负责渔政监督管理、渔业船舶检验的机构按照国家和省有关规定，对渔业船舶实施具体监督管理。</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第四条 </w:t>
      </w:r>
      <w:r>
        <w:rPr>
          <w:rFonts w:hint="eastAsia" w:ascii="宋体" w:hAnsi="宋体" w:eastAsia="宋体" w:cs="宋体"/>
          <w:color w:val="333333"/>
          <w:sz w:val="36"/>
          <w:szCs w:val="36"/>
          <w:shd w:val="clear" w:color="auto" w:fill="FFFFFF"/>
        </w:rPr>
        <w:t xml:space="preserve"> </w:t>
      </w:r>
      <w:r>
        <w:rPr>
          <w:rFonts w:hint="eastAsia" w:ascii="仿宋_GB2312" w:hAnsi="宋体" w:eastAsia="仿宋_GB2312" w:cs="宋体"/>
          <w:color w:val="333333"/>
          <w:kern w:val="0"/>
          <w:sz w:val="32"/>
          <w:szCs w:val="32"/>
          <w:shd w:val="clear" w:color="auto" w:fill="FFFFFF"/>
          <w:lang w:val="en-US" w:eastAsia="zh-CN" w:bidi="ar-SA"/>
        </w:rPr>
        <w:t>渔业船舶所有人是渔业船舶生产安全的直接责任人，应当采取安全措施，确保渔业船舶的航行和作业安全。</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黑体" w:hAnsi="黑体" w:eastAsia="黑体" w:cs="黑体"/>
          <w:color w:val="333333"/>
          <w:sz w:val="32"/>
          <w:szCs w:val="32"/>
          <w:shd w:val="clear" w:color="auto" w:fill="FFFFFF"/>
        </w:rPr>
        <w:t xml:space="preserve">第五条  </w:t>
      </w:r>
      <w:r>
        <w:rPr>
          <w:rFonts w:hint="eastAsia" w:ascii="仿宋_GB2312" w:hAnsi="宋体" w:eastAsia="仿宋_GB2312" w:cs="宋体"/>
          <w:color w:val="333333"/>
          <w:kern w:val="0"/>
          <w:sz w:val="32"/>
          <w:szCs w:val="32"/>
          <w:shd w:val="clear" w:color="auto" w:fill="FFFFFF"/>
          <w:lang w:val="en-US" w:eastAsia="zh-CN" w:bidi="ar-SA"/>
        </w:rPr>
        <w:t>县级以上人民政府渔业行政主管部门，应当确保渔业船舶强制检验制度的落实。</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    渔业船舶所有人应当按照国家规定，向渔业船舶检验机构申请对渔业船舶进行初次检验、营运检验和临时检验。</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 xml:space="preserve">第六条  </w:t>
      </w:r>
      <w:r>
        <w:rPr>
          <w:rFonts w:hint="eastAsia" w:ascii="仿宋_GB2312" w:hAnsi="宋体" w:eastAsia="仿宋_GB2312" w:cs="宋体"/>
          <w:color w:val="333333"/>
          <w:kern w:val="0"/>
          <w:sz w:val="32"/>
          <w:szCs w:val="32"/>
          <w:shd w:val="clear" w:color="auto" w:fill="FFFFFF"/>
          <w:lang w:val="en-US" w:eastAsia="zh-CN" w:bidi="ar-SA"/>
        </w:rPr>
        <w:t>用于渔业船舶的有关航行、作业和人身财产安全以及防止污染环境的重要设备、部件和材料，在使用前应当经渔业船舶检验机构检验，检验合格的方可使用。</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黑体" w:hAnsi="黑体" w:eastAsia="黑体" w:cs="黑体"/>
          <w:color w:val="333333"/>
          <w:sz w:val="32"/>
          <w:szCs w:val="32"/>
          <w:shd w:val="clear" w:color="auto" w:fill="FFFFFF"/>
        </w:rPr>
        <w:t xml:space="preserve">第七条  </w:t>
      </w:r>
      <w:r>
        <w:rPr>
          <w:rFonts w:hint="eastAsia" w:ascii="仿宋_GB2312" w:hAnsi="宋体" w:eastAsia="仿宋_GB2312" w:cs="宋体"/>
          <w:color w:val="333333"/>
          <w:kern w:val="0"/>
          <w:sz w:val="32"/>
          <w:szCs w:val="32"/>
          <w:shd w:val="clear" w:color="auto" w:fill="FFFFFF"/>
          <w:lang w:val="en-US" w:eastAsia="zh-CN" w:bidi="ar-SA"/>
        </w:rPr>
        <w:t>渔业船舶检验人员依法履行职责时，可以采取以下措施：</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   （一）检查渔业船舶检验证书，设计单位、修造厂和船用产品生产厂的资格证书；</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（二）检查渔业船舶的建造、维修质量及执行国家规定情况；</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   （三）检查渔业船舶的技术状况、适航条件；</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   （四）法律法规规定的其他措施。</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第八条 </w:t>
      </w:r>
      <w:r>
        <w:rPr>
          <w:rFonts w:hint="eastAsia" w:ascii="宋体" w:hAnsi="宋体" w:eastAsia="宋体" w:cs="宋体"/>
          <w:color w:val="333333"/>
          <w:sz w:val="36"/>
          <w:szCs w:val="36"/>
          <w:shd w:val="clear" w:color="auto" w:fill="FFFFFF"/>
        </w:rPr>
        <w:t xml:space="preserve"> </w:t>
      </w:r>
      <w:r>
        <w:rPr>
          <w:rFonts w:hint="eastAsia" w:ascii="仿宋_GB2312" w:hAnsi="宋体" w:eastAsia="仿宋_GB2312" w:cs="宋体"/>
          <w:color w:val="333333"/>
          <w:kern w:val="0"/>
          <w:sz w:val="32"/>
          <w:szCs w:val="32"/>
          <w:shd w:val="clear" w:color="auto" w:fill="FFFFFF"/>
          <w:lang w:val="en-US" w:eastAsia="zh-CN" w:bidi="ar-SA"/>
        </w:rPr>
        <w:t>渔业船舶及船用产品检验收费，按照国家有关标准执行。</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 xml:space="preserve">第九条  </w:t>
      </w:r>
      <w:r>
        <w:rPr>
          <w:rFonts w:hint="eastAsia" w:ascii="仿宋_GB2312" w:hAnsi="宋体" w:eastAsia="仿宋_GB2312" w:cs="宋体"/>
          <w:color w:val="333333"/>
          <w:kern w:val="0"/>
          <w:sz w:val="32"/>
          <w:szCs w:val="32"/>
          <w:shd w:val="clear" w:color="auto" w:fill="FFFFFF"/>
          <w:lang w:val="en-US" w:eastAsia="zh-CN" w:bidi="ar-SA"/>
        </w:rPr>
        <w:t>渔业船舶实行登记制度。船舶所有人应当向户籍所在地的县级渔政监督管理机构申请办理渔业船舶登记；未设立渔政监督管理机构的，向县级渔业行政主管部门申请办理渔业船舶登记。</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黑体" w:hAnsi="黑体" w:eastAsia="黑体" w:cs="黑体"/>
          <w:color w:val="333333"/>
          <w:sz w:val="32"/>
          <w:szCs w:val="32"/>
          <w:shd w:val="clear" w:color="auto" w:fill="FFFFFF"/>
        </w:rPr>
        <w:t xml:space="preserve">第十条  </w:t>
      </w:r>
      <w:r>
        <w:rPr>
          <w:rFonts w:hint="eastAsia" w:ascii="仿宋_GB2312" w:hAnsi="宋体" w:eastAsia="仿宋_GB2312" w:cs="宋体"/>
          <w:color w:val="333333"/>
          <w:kern w:val="0"/>
          <w:sz w:val="32"/>
          <w:szCs w:val="32"/>
          <w:shd w:val="clear" w:color="auto" w:fill="FFFFFF"/>
          <w:lang w:val="en-US" w:eastAsia="zh-CN" w:bidi="ar-SA"/>
        </w:rPr>
        <w:t>申请渔业船舶登记，应当填写渔业船舶登记申请表，提交下列材料：</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   （一）船舶所有权的合法证明；</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   （二）船舶所有人的身份证明；</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   （三）渔业船舶检验机构出具的渔业船舶技术证书；</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   （四）渔业船网工具批准书或者水域滩涂养殖使用证。</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第十一条 </w:t>
      </w:r>
      <w:r>
        <w:rPr>
          <w:rFonts w:hint="eastAsia" w:ascii="宋体" w:hAnsi="宋体" w:eastAsia="宋体" w:cs="宋体"/>
          <w:color w:val="333333"/>
          <w:sz w:val="36"/>
          <w:szCs w:val="36"/>
          <w:shd w:val="clear" w:color="auto" w:fill="FFFFFF"/>
        </w:rPr>
        <w:t xml:space="preserve"> </w:t>
      </w:r>
      <w:r>
        <w:rPr>
          <w:rFonts w:hint="eastAsia" w:ascii="仿宋_GB2312" w:hAnsi="宋体" w:eastAsia="仿宋_GB2312" w:cs="宋体"/>
          <w:color w:val="333333"/>
          <w:kern w:val="0"/>
          <w:sz w:val="32"/>
          <w:szCs w:val="32"/>
          <w:shd w:val="clear" w:color="auto" w:fill="FFFFFF"/>
          <w:lang w:val="en-US" w:eastAsia="zh-CN" w:bidi="ar-SA"/>
        </w:rPr>
        <w:t>县级渔政监督管理机构或者县级渔业行政主管部门应当自受理之日起 20个工作日内做出是否核准登记的决定。核准登记的，应当授予或者核定船名，并向船舶所有人签发渔业船舶登记证书；不予核准的应当书面告知当事人并说明理由。</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 xml:space="preserve">第十二条  </w:t>
      </w:r>
      <w:r>
        <w:rPr>
          <w:rFonts w:hint="eastAsia" w:ascii="仿宋_GB2312" w:hAnsi="宋体" w:eastAsia="仿宋_GB2312" w:cs="宋体"/>
          <w:color w:val="333333"/>
          <w:kern w:val="0"/>
          <w:sz w:val="32"/>
          <w:szCs w:val="32"/>
          <w:shd w:val="clear" w:color="auto" w:fill="FFFFFF"/>
          <w:lang w:val="en-US" w:eastAsia="zh-CN" w:bidi="ar-SA"/>
        </w:rPr>
        <w:t>渔业船舶登记项目发生变更时，船舶所有人应当填写渔业船舶变更登记申请表，并持渔业船舶登记证书、渔业船舶技术证书，向原登记机关申请办理变更登记。</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 xml:space="preserve">第十三条  </w:t>
      </w:r>
      <w:r>
        <w:rPr>
          <w:rFonts w:hint="eastAsia" w:ascii="仿宋_GB2312" w:hAnsi="宋体" w:eastAsia="仿宋_GB2312" w:cs="宋体"/>
          <w:color w:val="333333"/>
          <w:kern w:val="0"/>
          <w:sz w:val="32"/>
          <w:szCs w:val="32"/>
          <w:shd w:val="clear" w:color="auto" w:fill="FFFFFF"/>
          <w:lang w:val="en-US" w:eastAsia="zh-CN" w:bidi="ar-SA"/>
        </w:rPr>
        <w:t>渔业船舶登记证书遗失或者灭失，船舶所有人应当在公开发行的报刊公告，并持本人身份证明，向原登记机关申请补发证书。</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黑体" w:hAnsi="黑体" w:eastAsia="黑体" w:cs="黑体"/>
          <w:color w:val="333333"/>
          <w:sz w:val="32"/>
          <w:szCs w:val="32"/>
          <w:shd w:val="clear" w:color="auto" w:fill="FFFFFF"/>
        </w:rPr>
        <w:t>第十四条 </w:t>
      </w:r>
      <w:r>
        <w:rPr>
          <w:rFonts w:hint="eastAsia" w:ascii="宋体" w:hAnsi="宋体" w:eastAsia="宋体" w:cs="宋体"/>
          <w:color w:val="333333"/>
          <w:sz w:val="36"/>
          <w:szCs w:val="36"/>
          <w:shd w:val="clear" w:color="auto" w:fill="FFFFFF"/>
        </w:rPr>
        <w:t xml:space="preserve"> </w:t>
      </w:r>
      <w:r>
        <w:rPr>
          <w:rFonts w:hint="eastAsia" w:ascii="仿宋_GB2312" w:hAnsi="宋体" w:eastAsia="仿宋_GB2312" w:cs="宋体"/>
          <w:color w:val="333333"/>
          <w:kern w:val="0"/>
          <w:sz w:val="32"/>
          <w:szCs w:val="32"/>
          <w:shd w:val="clear" w:color="auto" w:fill="FFFFFF"/>
          <w:lang w:val="en-US" w:eastAsia="zh-CN" w:bidi="ar-SA"/>
        </w:rPr>
        <w:t>有下列情形之一的，船舶所有人应当向原登记机关申请办理渔业船舶注销登记，由原登记机关收回渔业船舶登记证书：</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   （一） 船舶所有权转移；</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   （二） 渔业船舶改作他用；</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   （三） 船舶报废或者拆毁；</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   （四） 船舶灭失或者失踪满六个月。</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 xml:space="preserve">第十五条  </w:t>
      </w:r>
      <w:r>
        <w:rPr>
          <w:rFonts w:hint="eastAsia" w:ascii="仿宋_GB2312" w:hAnsi="宋体" w:eastAsia="仿宋_GB2312" w:cs="宋体"/>
          <w:color w:val="333333"/>
          <w:kern w:val="0"/>
          <w:sz w:val="32"/>
          <w:szCs w:val="32"/>
          <w:shd w:val="clear" w:color="auto" w:fill="FFFFFF"/>
          <w:lang w:val="en-US" w:eastAsia="zh-CN" w:bidi="ar-SA"/>
        </w:rPr>
        <w:t>渔业船舶船员实行持证上岗制度。经过培训考核，职务船员应当取得渔业船舶职务船员证书，非职务船员应当取得渔业船舶的上岗证书。</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黑体" w:hAnsi="黑体" w:eastAsia="黑体" w:cs="黑体"/>
          <w:color w:val="333333"/>
          <w:sz w:val="32"/>
          <w:szCs w:val="32"/>
          <w:shd w:val="clear" w:color="auto" w:fill="FFFFFF"/>
        </w:rPr>
        <w:t xml:space="preserve">第十六条  </w:t>
      </w:r>
      <w:r>
        <w:rPr>
          <w:rFonts w:hint="eastAsia" w:ascii="仿宋_GB2312" w:hAnsi="宋体" w:eastAsia="仿宋_GB2312" w:cs="宋体"/>
          <w:color w:val="333333"/>
          <w:kern w:val="0"/>
          <w:sz w:val="32"/>
          <w:szCs w:val="32"/>
          <w:shd w:val="clear" w:color="auto" w:fill="FFFFFF"/>
          <w:lang w:val="en-US" w:eastAsia="zh-CN" w:bidi="ar-SA"/>
        </w:rPr>
        <w:t>具备下列条件，渔业船舶方可航行和作业：</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   （一）证书齐全有效；</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   （二）按规定配备船员；</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   （三）船舶技术状况良好，消防、救生和信号等设备齐全；</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   （四）法律法规规定的其他条件。</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黑体" w:hAnsi="黑体" w:eastAsia="黑体" w:cs="黑体"/>
          <w:color w:val="333333"/>
          <w:sz w:val="32"/>
          <w:szCs w:val="32"/>
          <w:shd w:val="clear" w:color="auto" w:fill="FFFFFF"/>
        </w:rPr>
        <w:t xml:space="preserve">第十七条  </w:t>
      </w:r>
      <w:r>
        <w:rPr>
          <w:rFonts w:hint="eastAsia" w:ascii="仿宋_GB2312" w:hAnsi="宋体" w:eastAsia="仿宋_GB2312" w:cs="宋体"/>
          <w:color w:val="333333"/>
          <w:kern w:val="0"/>
          <w:sz w:val="32"/>
          <w:szCs w:val="32"/>
          <w:shd w:val="clear" w:color="auto" w:fill="FFFFFF"/>
          <w:lang w:val="en-US" w:eastAsia="zh-CN" w:bidi="ar-SA"/>
        </w:rPr>
        <w:t>渔业船舶禁止下列行为：</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   （一）超载、载客；</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   （二）在能见度达不到安全航行要求的条件下航行和作业；</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   （三）不具备条件夜间航行和作业；</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   （四）超过船舶设计抗风等级航行和作业；</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   （五）船员酒后作业；</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   （六）法规禁止的其他行为。</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 xml:space="preserve">第十八条  </w:t>
      </w:r>
      <w:r>
        <w:rPr>
          <w:rFonts w:hint="eastAsia" w:ascii="仿宋_GB2312" w:hAnsi="宋体" w:eastAsia="仿宋_GB2312" w:cs="宋体"/>
          <w:color w:val="333333"/>
          <w:kern w:val="0"/>
          <w:sz w:val="32"/>
          <w:szCs w:val="32"/>
          <w:shd w:val="clear" w:color="auto" w:fill="FFFFFF"/>
          <w:lang w:val="en-US" w:eastAsia="zh-CN" w:bidi="ar-SA"/>
        </w:rPr>
        <w:t>渔业船舶自身、渔业船舶之间发生事故的，由事故发生地的县级渔业行政主管部门调查处理，当地县级人民政府依照国家有关规定做好善后工作。</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黑体" w:hAnsi="黑体" w:eastAsia="黑体" w:cs="黑体"/>
          <w:color w:val="333333"/>
          <w:sz w:val="32"/>
          <w:szCs w:val="32"/>
          <w:shd w:val="clear" w:color="auto" w:fill="FFFFFF"/>
        </w:rPr>
        <w:t xml:space="preserve">第十九条  </w:t>
      </w:r>
      <w:r>
        <w:rPr>
          <w:rFonts w:hint="eastAsia" w:ascii="仿宋_GB2312" w:hAnsi="宋体" w:eastAsia="仿宋_GB2312" w:cs="宋体"/>
          <w:color w:val="333333"/>
          <w:kern w:val="0"/>
          <w:sz w:val="32"/>
          <w:szCs w:val="32"/>
          <w:shd w:val="clear" w:color="auto" w:fill="FFFFFF"/>
          <w:lang w:val="en-US" w:eastAsia="zh-CN" w:bidi="ar-SA"/>
        </w:rPr>
        <w:t>违反本办法规定，有下列行为之一的，由县级以上渔业行政主管部门责令改正，并处200元以上1000元以下的罚款。</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   （一）未经登记或者渔业船舶登记证书失效航行和作业的；</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   （二）未按规定配备船员的；</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   （三）未按规定配备合格的消防、救生和信号设备的。</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 xml:space="preserve">第二十条  </w:t>
      </w:r>
      <w:r>
        <w:rPr>
          <w:rFonts w:hint="eastAsia" w:ascii="仿宋_GB2312" w:hAnsi="宋体" w:eastAsia="仿宋_GB2312" w:cs="宋体"/>
          <w:color w:val="333333"/>
          <w:kern w:val="0"/>
          <w:sz w:val="32"/>
          <w:szCs w:val="32"/>
          <w:shd w:val="clear" w:color="auto" w:fill="FFFFFF"/>
          <w:lang w:val="en-US" w:eastAsia="zh-CN" w:bidi="ar-SA"/>
        </w:rPr>
        <w:t>有违反本办法第十七条所列（一）（二）（三）（四）（五）之一的，由县级以上渔业行政主管部门责令改正，并处500元以上5000元以下的罚款；情节严重的，依法吊销有关人员的职务船员证书。</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 xml:space="preserve">第二十一条  </w:t>
      </w:r>
      <w:r>
        <w:rPr>
          <w:rFonts w:hint="eastAsia" w:ascii="仿宋_GB2312" w:hAnsi="宋体" w:eastAsia="仿宋_GB2312" w:cs="宋体"/>
          <w:color w:val="333333"/>
          <w:kern w:val="0"/>
          <w:sz w:val="32"/>
          <w:szCs w:val="32"/>
          <w:shd w:val="clear" w:color="auto" w:fill="FFFFFF"/>
          <w:lang w:val="en-US" w:eastAsia="zh-CN" w:bidi="ar-SA"/>
        </w:rPr>
        <w:t>违反本办法规定的其他行为，法律、法规、规章另有处罚规定的，从其规定。</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黑体" w:hAnsi="黑体" w:eastAsia="黑体" w:cs="黑体"/>
          <w:color w:val="333333"/>
          <w:sz w:val="32"/>
          <w:szCs w:val="32"/>
          <w:shd w:val="clear" w:color="auto" w:fill="FFFFFF"/>
        </w:rPr>
        <w:t xml:space="preserve">第二十二条  </w:t>
      </w:r>
      <w:r>
        <w:rPr>
          <w:rFonts w:hint="eastAsia" w:ascii="仿宋_GB2312" w:hAnsi="宋体" w:eastAsia="仿宋_GB2312" w:cs="宋体"/>
          <w:color w:val="333333"/>
          <w:kern w:val="0"/>
          <w:sz w:val="32"/>
          <w:szCs w:val="32"/>
          <w:shd w:val="clear" w:color="auto" w:fill="FFFFFF"/>
          <w:lang w:val="en-US" w:eastAsia="zh-CN" w:bidi="ar-SA"/>
        </w:rPr>
        <w:t>渔业行政主管部门对当事人处3000元以上罚款，应当告知当事人有要求听证的权利。</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当事人对行政处罚决定不服的，可以依法申请行政复议或者提起行政诉讼。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 xml:space="preserve">第二十三条  </w:t>
      </w:r>
      <w:r>
        <w:rPr>
          <w:rFonts w:hint="eastAsia" w:ascii="仿宋_GB2312" w:hAnsi="宋体" w:eastAsia="仿宋_GB2312" w:cs="宋体"/>
          <w:color w:val="333333"/>
          <w:kern w:val="0"/>
          <w:sz w:val="32"/>
          <w:szCs w:val="32"/>
          <w:shd w:val="clear" w:color="auto" w:fill="FFFFFF"/>
          <w:lang w:val="en-US" w:eastAsia="zh-CN" w:bidi="ar-SA"/>
        </w:rPr>
        <w:t>渔业行政主管部门和渔政监督管理、渔船检验机构工作人员在执行公务中滥用职权，玩忽职守，徇私舞弊的，由其所在单位或者上级主管部门给予行政处分；构成犯罪的，依法追究刑事责任。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 xml:space="preserve">第二十四条  </w:t>
      </w:r>
      <w:r>
        <w:rPr>
          <w:rFonts w:hint="eastAsia" w:ascii="仿宋_GB2312" w:hAnsi="宋体" w:eastAsia="仿宋_GB2312" w:cs="宋体"/>
          <w:color w:val="333333"/>
          <w:kern w:val="0"/>
          <w:sz w:val="32"/>
          <w:szCs w:val="32"/>
          <w:shd w:val="clear" w:color="auto" w:fill="FFFFFF"/>
          <w:lang w:val="en-US" w:eastAsia="zh-CN" w:bidi="ar-SA"/>
        </w:rPr>
        <w:t>省渔业行政主管部门可以根据需要制定小型（含船长5米以下）渔业船舶的管理规定。</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s="黑体"/>
          <w:color w:val="333333"/>
          <w:sz w:val="32"/>
          <w:szCs w:val="32"/>
          <w:shd w:val="clear" w:color="auto" w:fill="FFFFFF"/>
        </w:rPr>
        <w:t>第二十五条 </w:t>
      </w:r>
      <w:r>
        <w:rPr>
          <w:rFonts w:hint="eastAsia" w:ascii="宋体" w:hAnsi="宋体" w:eastAsia="宋体" w:cs="宋体"/>
          <w:color w:val="333333"/>
          <w:sz w:val="36"/>
          <w:szCs w:val="36"/>
          <w:shd w:val="clear" w:color="auto" w:fill="FFFFFF"/>
        </w:rPr>
        <w:t xml:space="preserve"> </w:t>
      </w:r>
      <w:r>
        <w:rPr>
          <w:rFonts w:hint="eastAsia" w:ascii="仿宋_GB2312" w:hAnsi="宋体" w:eastAsia="仿宋_GB2312" w:cs="宋体"/>
          <w:color w:val="333333"/>
          <w:kern w:val="0"/>
          <w:sz w:val="32"/>
          <w:szCs w:val="32"/>
          <w:shd w:val="clear" w:color="auto" w:fill="FFFFFF"/>
          <w:lang w:val="en-US" w:eastAsia="zh-CN" w:bidi="ar-SA"/>
        </w:rPr>
        <w:t>本办法自2012年7月1日起施行。</w:t>
      </w:r>
    </w:p>
    <w:p>
      <w:pPr>
        <w:pStyle w:val="6"/>
        <w:shd w:val="clear" w:color="auto" w:fill="FFFFFF"/>
        <w:spacing w:before="0" w:beforeAutospacing="0" w:after="0" w:afterAutospacing="0" w:line="570" w:lineRule="exact"/>
        <w:rPr>
          <w:rFonts w:hint="eastAsia" w:ascii="仿宋_GB2312" w:eastAsia="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YjU1NGZjMWQ4ZmIyY2M2NTlkZjQ1YWU5Yzk3YjMifQ=="/>
  </w:docVars>
  <w:rsids>
    <w:rsidRoot w:val="00172A27"/>
    <w:rsid w:val="000102C8"/>
    <w:rsid w:val="00045270"/>
    <w:rsid w:val="00046993"/>
    <w:rsid w:val="000674F0"/>
    <w:rsid w:val="00077FA1"/>
    <w:rsid w:val="00082A6A"/>
    <w:rsid w:val="000C0D40"/>
    <w:rsid w:val="000C446F"/>
    <w:rsid w:val="000E01DF"/>
    <w:rsid w:val="000F0374"/>
    <w:rsid w:val="000F3B66"/>
    <w:rsid w:val="000F7E2E"/>
    <w:rsid w:val="00141111"/>
    <w:rsid w:val="00154C8D"/>
    <w:rsid w:val="00172A27"/>
    <w:rsid w:val="00196A77"/>
    <w:rsid w:val="001A3828"/>
    <w:rsid w:val="001C529D"/>
    <w:rsid w:val="002027B8"/>
    <w:rsid w:val="002108C8"/>
    <w:rsid w:val="0023005C"/>
    <w:rsid w:val="00240DFD"/>
    <w:rsid w:val="00245867"/>
    <w:rsid w:val="0024710B"/>
    <w:rsid w:val="00251E7D"/>
    <w:rsid w:val="00264F77"/>
    <w:rsid w:val="0027445A"/>
    <w:rsid w:val="002A1C79"/>
    <w:rsid w:val="002B5203"/>
    <w:rsid w:val="002D4311"/>
    <w:rsid w:val="002F08DA"/>
    <w:rsid w:val="002F2B80"/>
    <w:rsid w:val="002F3BEE"/>
    <w:rsid w:val="00300A70"/>
    <w:rsid w:val="0030273D"/>
    <w:rsid w:val="003151B0"/>
    <w:rsid w:val="0036697B"/>
    <w:rsid w:val="0036781B"/>
    <w:rsid w:val="003A107A"/>
    <w:rsid w:val="003F2D22"/>
    <w:rsid w:val="003F615D"/>
    <w:rsid w:val="004B05F0"/>
    <w:rsid w:val="004B798C"/>
    <w:rsid w:val="004D324F"/>
    <w:rsid w:val="004D5222"/>
    <w:rsid w:val="00551D1C"/>
    <w:rsid w:val="005704E2"/>
    <w:rsid w:val="0057521D"/>
    <w:rsid w:val="005767A1"/>
    <w:rsid w:val="00582F83"/>
    <w:rsid w:val="005A7BF0"/>
    <w:rsid w:val="005D6405"/>
    <w:rsid w:val="005E2D42"/>
    <w:rsid w:val="005F08CC"/>
    <w:rsid w:val="00602F3B"/>
    <w:rsid w:val="0060702A"/>
    <w:rsid w:val="0062602D"/>
    <w:rsid w:val="00641B22"/>
    <w:rsid w:val="00641F4E"/>
    <w:rsid w:val="00647BF9"/>
    <w:rsid w:val="00665742"/>
    <w:rsid w:val="006E48E1"/>
    <w:rsid w:val="00744087"/>
    <w:rsid w:val="00751763"/>
    <w:rsid w:val="00752648"/>
    <w:rsid w:val="00752757"/>
    <w:rsid w:val="00754135"/>
    <w:rsid w:val="00773877"/>
    <w:rsid w:val="0079152F"/>
    <w:rsid w:val="00794921"/>
    <w:rsid w:val="00796A26"/>
    <w:rsid w:val="007A7922"/>
    <w:rsid w:val="007E266B"/>
    <w:rsid w:val="008024B3"/>
    <w:rsid w:val="00853A8A"/>
    <w:rsid w:val="00854687"/>
    <w:rsid w:val="00870B2B"/>
    <w:rsid w:val="00870E76"/>
    <w:rsid w:val="0087150A"/>
    <w:rsid w:val="008829E1"/>
    <w:rsid w:val="008876BC"/>
    <w:rsid w:val="00891B2B"/>
    <w:rsid w:val="00892FF1"/>
    <w:rsid w:val="008F3F5E"/>
    <w:rsid w:val="009013D3"/>
    <w:rsid w:val="0091694C"/>
    <w:rsid w:val="00924BEE"/>
    <w:rsid w:val="00936EFD"/>
    <w:rsid w:val="009549BB"/>
    <w:rsid w:val="00965949"/>
    <w:rsid w:val="009926B1"/>
    <w:rsid w:val="009A243B"/>
    <w:rsid w:val="009C4B74"/>
    <w:rsid w:val="00A01E13"/>
    <w:rsid w:val="00A056C3"/>
    <w:rsid w:val="00A05D64"/>
    <w:rsid w:val="00A13856"/>
    <w:rsid w:val="00A35990"/>
    <w:rsid w:val="00A36424"/>
    <w:rsid w:val="00A364A1"/>
    <w:rsid w:val="00A57232"/>
    <w:rsid w:val="00A91971"/>
    <w:rsid w:val="00AB2CB2"/>
    <w:rsid w:val="00B05459"/>
    <w:rsid w:val="00B103B5"/>
    <w:rsid w:val="00B13B27"/>
    <w:rsid w:val="00B14E06"/>
    <w:rsid w:val="00B209BB"/>
    <w:rsid w:val="00B231C1"/>
    <w:rsid w:val="00B30642"/>
    <w:rsid w:val="00B55B17"/>
    <w:rsid w:val="00B63ABF"/>
    <w:rsid w:val="00B71AAE"/>
    <w:rsid w:val="00B90F66"/>
    <w:rsid w:val="00BA2E94"/>
    <w:rsid w:val="00BD3B9A"/>
    <w:rsid w:val="00BE0BA7"/>
    <w:rsid w:val="00BF00B2"/>
    <w:rsid w:val="00C006C6"/>
    <w:rsid w:val="00C1088E"/>
    <w:rsid w:val="00C30BED"/>
    <w:rsid w:val="00C6303B"/>
    <w:rsid w:val="00C67428"/>
    <w:rsid w:val="00C726B1"/>
    <w:rsid w:val="00CB0E04"/>
    <w:rsid w:val="00CC446A"/>
    <w:rsid w:val="00CD46B4"/>
    <w:rsid w:val="00D16E56"/>
    <w:rsid w:val="00D232C0"/>
    <w:rsid w:val="00D60A27"/>
    <w:rsid w:val="00D628F6"/>
    <w:rsid w:val="00D639B0"/>
    <w:rsid w:val="00D64696"/>
    <w:rsid w:val="00D76B4C"/>
    <w:rsid w:val="00D9223D"/>
    <w:rsid w:val="00DA496B"/>
    <w:rsid w:val="00DA699A"/>
    <w:rsid w:val="00DC0158"/>
    <w:rsid w:val="00DE2CB3"/>
    <w:rsid w:val="00DF2C12"/>
    <w:rsid w:val="00E3043B"/>
    <w:rsid w:val="00E641DE"/>
    <w:rsid w:val="00E96748"/>
    <w:rsid w:val="00EA14FF"/>
    <w:rsid w:val="00EC1320"/>
    <w:rsid w:val="00EC515C"/>
    <w:rsid w:val="00EC652D"/>
    <w:rsid w:val="00F0631E"/>
    <w:rsid w:val="00F114E6"/>
    <w:rsid w:val="00F122C2"/>
    <w:rsid w:val="00F36366"/>
    <w:rsid w:val="00F47E97"/>
    <w:rsid w:val="00F644B8"/>
    <w:rsid w:val="00F64F4A"/>
    <w:rsid w:val="00F67BBB"/>
    <w:rsid w:val="00F806C1"/>
    <w:rsid w:val="00F822B1"/>
    <w:rsid w:val="00F90DAF"/>
    <w:rsid w:val="00FD5B8A"/>
    <w:rsid w:val="00FD65DD"/>
    <w:rsid w:val="019E71BD"/>
    <w:rsid w:val="04B679C3"/>
    <w:rsid w:val="080F63D8"/>
    <w:rsid w:val="09341458"/>
    <w:rsid w:val="0B0912D7"/>
    <w:rsid w:val="0F594E47"/>
    <w:rsid w:val="152D2DCA"/>
    <w:rsid w:val="1AC02A77"/>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17598C"/>
    <w:rsid w:val="52F46F0B"/>
    <w:rsid w:val="53D8014D"/>
    <w:rsid w:val="55E064E0"/>
    <w:rsid w:val="572C6D10"/>
    <w:rsid w:val="592E1372"/>
    <w:rsid w:val="5DC34279"/>
    <w:rsid w:val="608816D1"/>
    <w:rsid w:val="60EF4E7F"/>
    <w:rsid w:val="665233C1"/>
    <w:rsid w:val="6AD9688B"/>
    <w:rsid w:val="6D0E3F22"/>
    <w:rsid w:val="782D565A"/>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annotation reference"/>
    <w:basedOn w:val="8"/>
    <w:qFormat/>
    <w:uiPriority w:val="0"/>
    <w:rPr>
      <w:sz w:val="21"/>
      <w:szCs w:val="21"/>
    </w:rPr>
  </w:style>
  <w:style w:type="character" w:customStyle="1" w:styleId="11">
    <w:name w:val="标题 1 字符"/>
    <w:basedOn w:val="8"/>
    <w:link w:val="2"/>
    <w:uiPriority w:val="0"/>
    <w:rPr>
      <w:rFonts w:ascii="宋体" w:hAnsi="宋体"/>
      <w:b/>
      <w:bCs/>
      <w:kern w:val="44"/>
      <w:sz w:val="48"/>
      <w:szCs w:val="48"/>
    </w:rPr>
  </w:style>
  <w:style w:type="paragraph"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2034</Words>
  <Characters>2116</Characters>
  <Lines>20</Lines>
  <Paragraphs>5</Paragraphs>
  <TotalTime>25</TotalTime>
  <ScaleCrop>false</ScaleCrop>
  <LinksUpToDate>false</LinksUpToDate>
  <CharactersWithSpaces>2149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2021-12-28T09:24:00Z</dcterms:created>
  <dc:creator>t</dc:creator>
  <cp:lastModifiedBy>就说好的.</cp:lastModifiedBy>
  <cp:lastPrinted>2021-12-28T09:21:00Z</cp:lastPrinted>
  <dcterms:modified xsi:type="dcterms:W3CDTF">2023-03-29T02:16:46Z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6BF4A4250F2B4CB6BC6FD8A0DC0A5F48</vt:lpwstr>
  </property>
</Properties>
</file>